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0BCD5" w14:textId="4ADCEDC2" w:rsidR="005B02A1" w:rsidRDefault="00BA28D0" w:rsidP="00CE5D82">
      <w:pPr>
        <w:tabs>
          <w:tab w:val="left" w:pos="12090"/>
        </w:tabs>
        <w:rPr>
          <w:szCs w:val="17"/>
        </w:rPr>
      </w:pPr>
      <w:r>
        <w:rPr>
          <w:noProof/>
        </w:rPr>
        <w:drawing>
          <wp:anchor distT="0" distB="0" distL="114300" distR="114300" simplePos="0" relativeHeight="251658241" behindDoc="1" locked="0" layoutInCell="1" allowOverlap="1" wp14:anchorId="0F4AC7E9" wp14:editId="5DF32496">
            <wp:simplePos x="0" y="0"/>
            <wp:positionH relativeFrom="page">
              <wp:align>left</wp:align>
            </wp:positionH>
            <wp:positionV relativeFrom="margin">
              <wp:align>center</wp:align>
            </wp:positionV>
            <wp:extent cx="10821804" cy="7653619"/>
            <wp:effectExtent l="0" t="0" r="0" b="5080"/>
            <wp:wrapNone/>
            <wp:docPr id="1140276998" name="Picture 1" descr="Australian Government - The Treasury. Regulatory Initiatives Grid. Edition 3 &#10;April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76998" name="Picture 1" descr="Australian Government - The Treasury. Regulatory Initiatives Grid. Edition 3 &#10;April 20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21804" cy="7653619"/>
                    </a:xfrm>
                    <a:prstGeom prst="rect">
                      <a:avLst/>
                    </a:prstGeom>
                  </pic:spPr>
                </pic:pic>
              </a:graphicData>
            </a:graphic>
            <wp14:sizeRelH relativeFrom="margin">
              <wp14:pctWidth>0</wp14:pctWidth>
            </wp14:sizeRelH>
            <wp14:sizeRelV relativeFrom="margin">
              <wp14:pctHeight>0</wp14:pctHeight>
            </wp14:sizeRelV>
          </wp:anchor>
        </w:drawing>
      </w:r>
      <w:r w:rsidR="00FE3767">
        <w:rPr>
          <w:szCs w:val="17"/>
        </w:rPr>
        <w:t>f</w:t>
      </w:r>
      <w:r w:rsidR="005B02A1">
        <w:rPr>
          <w:szCs w:val="17"/>
        </w:rPr>
        <w:br w:type="page"/>
      </w:r>
    </w:p>
    <w:p w14:paraId="287671EA" w14:textId="77777777" w:rsidR="00CE5D82" w:rsidRDefault="00CE5D82" w:rsidP="009E1ED1">
      <w:pPr>
        <w:pStyle w:val="CreativeCommons"/>
        <w:spacing w:before="0" w:after="0"/>
        <w:rPr>
          <w:szCs w:val="17"/>
        </w:rPr>
      </w:pPr>
    </w:p>
    <w:p w14:paraId="75FC76C9" w14:textId="77777777" w:rsidR="00CE5D82" w:rsidRDefault="00CE5D82" w:rsidP="009E1ED1">
      <w:pPr>
        <w:pStyle w:val="CreativeCommons"/>
        <w:spacing w:before="0" w:after="0"/>
        <w:rPr>
          <w:szCs w:val="17"/>
        </w:rPr>
        <w:sectPr w:rsidR="00CE5D82" w:rsidSect="00CE5D82">
          <w:headerReference w:type="even" r:id="rId8"/>
          <w:footerReference w:type="even" r:id="rId9"/>
          <w:type w:val="continuous"/>
          <w:pgSz w:w="16838" w:h="11906" w:orient="landscape" w:code="9"/>
          <w:pgMar w:top="1418" w:right="1418" w:bottom="1418" w:left="1418" w:header="709" w:footer="709" w:gutter="0"/>
          <w:pgNumType w:fmt="lowerRoman" w:start="0"/>
          <w:cols w:space="1755"/>
          <w:titlePg/>
          <w:docGrid w:linePitch="360"/>
        </w:sectPr>
      </w:pPr>
    </w:p>
    <w:p w14:paraId="5B776116" w14:textId="55BA7B0E" w:rsidR="00E07027" w:rsidRDefault="005B02A1" w:rsidP="009E1ED1">
      <w:pPr>
        <w:pStyle w:val="CreativeCommons"/>
        <w:spacing w:before="0" w:after="0"/>
        <w:rPr>
          <w:szCs w:val="17"/>
        </w:rPr>
      </w:pPr>
      <w:r>
        <w:rPr>
          <w:szCs w:val="17"/>
        </w:rPr>
        <w:br w:type="column"/>
      </w:r>
      <w:r w:rsidR="009B5EA5" w:rsidRPr="00571A20">
        <w:rPr>
          <w:szCs w:val="17"/>
        </w:rPr>
        <w:t>© Commonwealth of Australia 202</w:t>
      </w:r>
      <w:r w:rsidR="00BD429C">
        <w:rPr>
          <w:szCs w:val="17"/>
        </w:rPr>
        <w:t>6</w:t>
      </w:r>
    </w:p>
    <w:p w14:paraId="6260153E" w14:textId="0CBEF0A2" w:rsidR="009B5EA5" w:rsidRPr="00E07027" w:rsidRDefault="009B5EA5" w:rsidP="009E1ED1">
      <w:pPr>
        <w:pStyle w:val="CreativeCommons"/>
        <w:spacing w:before="0"/>
        <w:rPr>
          <w:szCs w:val="17"/>
        </w:rPr>
      </w:pPr>
      <w:r w:rsidRPr="00F35BD5">
        <w:t>ISBN:</w:t>
      </w:r>
      <w:r w:rsidR="00F35BD5" w:rsidRPr="00F35BD5">
        <w:t xml:space="preserve"> </w:t>
      </w:r>
      <w:r w:rsidR="00FA6FC7" w:rsidRPr="00FA6FC7">
        <w:t>978-1-923278-40-0</w:t>
      </w:r>
    </w:p>
    <w:p w14:paraId="1B1BCCC8" w14:textId="25E0F638" w:rsidR="009B5EA5" w:rsidRPr="00571A20" w:rsidRDefault="009B5EA5" w:rsidP="009B5EA5">
      <w:pPr>
        <w:pStyle w:val="CreativeCommons"/>
        <w:rPr>
          <w:szCs w:val="17"/>
        </w:rPr>
      </w:pPr>
      <w:r w:rsidRPr="00571A20">
        <w:rPr>
          <w:szCs w:val="17"/>
        </w:rPr>
        <w:t xml:space="preserve">This publication is available for your use under a </w:t>
      </w:r>
      <w:r w:rsidRPr="001545DB">
        <w:rPr>
          <w:rStyle w:val="Hyperlink"/>
          <w:szCs w:val="17"/>
        </w:rPr>
        <w:t>Creative Commons Attribution 4.0 International</w:t>
      </w:r>
      <w:r w:rsidRPr="001545DB">
        <w:rPr>
          <w:sz w:val="18"/>
          <w:szCs w:val="18"/>
        </w:rPr>
        <w:t xml:space="preserve"> </w:t>
      </w:r>
      <w:r w:rsidRPr="00571A20">
        <w:rPr>
          <w:szCs w:val="17"/>
        </w:rPr>
        <w:t>licence, with the exception of the Commonwealth Coat of Arms, the Treasury logo, photographs, images, third party materials, materials protected by a</w:t>
      </w:r>
      <w:r w:rsidR="00223305" w:rsidRPr="00571A20">
        <w:rPr>
          <w:szCs w:val="17"/>
        </w:rPr>
        <w:t> </w:t>
      </w:r>
      <w:r w:rsidRPr="00571A20">
        <w:rPr>
          <w:szCs w:val="17"/>
        </w:rPr>
        <w:t xml:space="preserve">trademark, signatures and where otherwise stated. The full licence terms are available from </w:t>
      </w:r>
      <w:r w:rsidRPr="001545DB">
        <w:rPr>
          <w:rStyle w:val="Hyperlink"/>
          <w:szCs w:val="17"/>
        </w:rPr>
        <w:t>creativecommons.org/licenses/by/4.0/</w:t>
      </w:r>
      <w:r w:rsidR="0017477D" w:rsidRPr="001545DB">
        <w:rPr>
          <w:rStyle w:val="Hyperlink"/>
          <w:szCs w:val="17"/>
        </w:rPr>
        <w:t>legal code</w:t>
      </w:r>
      <w:r w:rsidRPr="001545DB">
        <w:rPr>
          <w:sz w:val="18"/>
          <w:szCs w:val="18"/>
        </w:rPr>
        <w:t xml:space="preserve">. </w:t>
      </w:r>
    </w:p>
    <w:p w14:paraId="148BE5A8" w14:textId="7D8C1C95" w:rsidR="009B5EA5" w:rsidRPr="00571A20" w:rsidRDefault="009B5EA5" w:rsidP="009B5EA5">
      <w:pPr>
        <w:pStyle w:val="CreativeCommons"/>
      </w:pPr>
      <w:r w:rsidRPr="00571A20">
        <w:rPr>
          <w:szCs w:val="17"/>
        </w:rPr>
        <w:t xml:space="preserve"> </w:t>
      </w:r>
      <w:r w:rsidRPr="00571A20">
        <w:rPr>
          <w:noProof/>
          <w:szCs w:val="17"/>
        </w:rPr>
        <w:drawing>
          <wp:inline distT="0" distB="0" distL="0" distR="0" wp14:anchorId="03316DFA" wp14:editId="0696F6A4">
            <wp:extent cx="809625" cy="285750"/>
            <wp:effectExtent l="0" t="0" r="9525" b="0"/>
            <wp:docPr id="3" name="Picture 3" descr="Creative Commons badge: 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badge: CC-B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5F61F11" w14:textId="558CFC75" w:rsidR="009B5EA5" w:rsidRPr="00571A20" w:rsidRDefault="009B5EA5" w:rsidP="009B5EA5">
      <w:pPr>
        <w:pStyle w:val="CreativeCommons"/>
        <w:rPr>
          <w:szCs w:val="17"/>
        </w:rPr>
      </w:pPr>
      <w:r w:rsidRPr="00571A20">
        <w:rPr>
          <w:szCs w:val="17"/>
        </w:rPr>
        <w:t xml:space="preserve">Use of Treasury material under a </w:t>
      </w:r>
      <w:r w:rsidRPr="001545DB">
        <w:rPr>
          <w:rStyle w:val="Hyperlink"/>
          <w:szCs w:val="17"/>
        </w:rPr>
        <w:t>Creative Commons Attribution 4.0 International</w:t>
      </w:r>
      <w:r w:rsidRPr="001545DB">
        <w:rPr>
          <w:sz w:val="18"/>
          <w:szCs w:val="18"/>
        </w:rPr>
        <w:t xml:space="preserve"> </w:t>
      </w:r>
      <w:r w:rsidRPr="00571A20">
        <w:rPr>
          <w:szCs w:val="17"/>
        </w:rPr>
        <w:t>licence requires you to attribute the work (but not in any way that suggests that the Treasury endorses you or your use of the work).</w:t>
      </w:r>
    </w:p>
    <w:p w14:paraId="5E12C27D" w14:textId="5999B7D6" w:rsidR="009B5EA5" w:rsidRPr="00571A20" w:rsidRDefault="009B5EA5" w:rsidP="00571A20">
      <w:pPr>
        <w:pStyle w:val="CreativeCommons"/>
        <w:spacing w:before="180"/>
        <w:rPr>
          <w:rStyle w:val="Strong"/>
          <w:szCs w:val="17"/>
        </w:rPr>
      </w:pPr>
      <w:r w:rsidRPr="00571A20">
        <w:rPr>
          <w:rStyle w:val="Strong"/>
          <w:szCs w:val="17"/>
        </w:rPr>
        <w:t xml:space="preserve">Treasury material used </w:t>
      </w:r>
      <w:r w:rsidR="009E7CA0">
        <w:rPr>
          <w:rStyle w:val="Strong"/>
          <w:szCs w:val="17"/>
        </w:rPr>
        <w:t>‘</w:t>
      </w:r>
      <w:r w:rsidRPr="00571A20">
        <w:rPr>
          <w:rStyle w:val="Strong"/>
          <w:szCs w:val="17"/>
        </w:rPr>
        <w:t>as supplied</w:t>
      </w:r>
      <w:r w:rsidR="009E7CA0">
        <w:rPr>
          <w:rStyle w:val="Strong"/>
          <w:szCs w:val="17"/>
        </w:rPr>
        <w:t>’</w:t>
      </w:r>
    </w:p>
    <w:p w14:paraId="10BC2428" w14:textId="77777777" w:rsidR="009B5EA5" w:rsidRPr="00571A20" w:rsidRDefault="009B5EA5" w:rsidP="009B5EA5">
      <w:pPr>
        <w:pStyle w:val="CreativeCommons"/>
        <w:rPr>
          <w:szCs w:val="17"/>
        </w:rPr>
      </w:pPr>
      <w:r w:rsidRPr="00571A20">
        <w:rPr>
          <w:szCs w:val="17"/>
        </w:rPr>
        <w:t xml:space="preserve">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 </w:t>
      </w:r>
    </w:p>
    <w:p w14:paraId="1CC3D7D8" w14:textId="5D75127D" w:rsidR="009B5EA5" w:rsidRPr="00571A20" w:rsidRDefault="009B5EA5" w:rsidP="00571A20">
      <w:pPr>
        <w:pStyle w:val="CreativeCommons"/>
        <w:rPr>
          <w:i/>
          <w:iCs/>
          <w:szCs w:val="17"/>
        </w:rPr>
      </w:pPr>
      <w:r w:rsidRPr="00571A20">
        <w:rPr>
          <w:i/>
          <w:iCs/>
          <w:szCs w:val="17"/>
        </w:rPr>
        <w:t xml:space="preserve">Source: The </w:t>
      </w:r>
      <w:r w:rsidR="007A5FD4" w:rsidRPr="007A5FD4">
        <w:rPr>
          <w:i/>
          <w:iCs/>
          <w:szCs w:val="17"/>
        </w:rPr>
        <w:t>Australian Government</w:t>
      </w:r>
      <w:r w:rsidR="007A5FD4">
        <w:rPr>
          <w:i/>
          <w:iCs/>
          <w:szCs w:val="17"/>
        </w:rPr>
        <w:t xml:space="preserve"> the </w:t>
      </w:r>
      <w:r w:rsidR="00571A20" w:rsidRPr="00571A20">
        <w:rPr>
          <w:i/>
          <w:iCs/>
          <w:szCs w:val="17"/>
        </w:rPr>
        <w:t xml:space="preserve">Treasury, Australian Taxation Office (ATO) Australian Securities and Investments Commission (ASIC), </w:t>
      </w:r>
      <w:r w:rsidR="00CF271D">
        <w:rPr>
          <w:i/>
          <w:iCs/>
          <w:szCs w:val="17"/>
        </w:rPr>
        <w:t>Department of Home Affairs</w:t>
      </w:r>
      <w:r w:rsidR="00571A20" w:rsidRPr="00571A20">
        <w:rPr>
          <w:i/>
          <w:iCs/>
          <w:szCs w:val="17"/>
        </w:rPr>
        <w:t xml:space="preserve"> (</w:t>
      </w:r>
      <w:r w:rsidR="00CF271D">
        <w:rPr>
          <w:i/>
          <w:iCs/>
          <w:szCs w:val="17"/>
        </w:rPr>
        <w:t>Home Affairs</w:t>
      </w:r>
      <w:r w:rsidR="00571A20" w:rsidRPr="00571A20">
        <w:rPr>
          <w:i/>
          <w:iCs/>
          <w:szCs w:val="17"/>
        </w:rPr>
        <w:t>), Australian Prudential Regulation Authority (APRA), Australian Transaction Reports and Analysis Centre (AUSTRAC), Reserve Bank of Australia (RBA), Australian Financial Security Authority (AFSA) and the Australian Competition and Consumer Commission (ACCC)</w:t>
      </w:r>
      <w:r w:rsidR="007B1691">
        <w:rPr>
          <w:i/>
          <w:iCs/>
          <w:szCs w:val="17"/>
        </w:rPr>
        <w:t>.</w:t>
      </w:r>
    </w:p>
    <w:p w14:paraId="203C2D9F" w14:textId="77777777" w:rsidR="009B5EA5" w:rsidRPr="00571A20" w:rsidRDefault="009B5EA5" w:rsidP="00571A20">
      <w:pPr>
        <w:pStyle w:val="CreativeCommons"/>
        <w:spacing w:before="180"/>
        <w:rPr>
          <w:rStyle w:val="Strong"/>
          <w:szCs w:val="17"/>
        </w:rPr>
      </w:pPr>
      <w:r w:rsidRPr="00571A20">
        <w:rPr>
          <w:rStyle w:val="Strong"/>
          <w:szCs w:val="17"/>
        </w:rPr>
        <w:t>Derivative material</w:t>
      </w:r>
    </w:p>
    <w:p w14:paraId="354A39E6" w14:textId="0080AB00" w:rsidR="009B5EA5" w:rsidRPr="00E07027" w:rsidRDefault="009B5EA5" w:rsidP="00571A20">
      <w:pPr>
        <w:pStyle w:val="CreativeCommons"/>
        <w:rPr>
          <w:szCs w:val="17"/>
        </w:rPr>
      </w:pPr>
      <w:r w:rsidRPr="00571A20">
        <w:rPr>
          <w:szCs w:val="17"/>
        </w:rPr>
        <w:t xml:space="preserve">If you have modified or transformed Treasury material, or derived new material from those of the Treasury in any way, then Treasury prefers the following </w:t>
      </w:r>
      <w:r w:rsidR="009E1ED1" w:rsidRPr="00571A20">
        <w:rPr>
          <w:szCs w:val="17"/>
        </w:rPr>
        <w:t>attribution:</w:t>
      </w:r>
      <w:r w:rsidR="009E1ED1" w:rsidRPr="00571A20">
        <w:rPr>
          <w:i/>
          <w:iCs/>
          <w:szCs w:val="17"/>
        </w:rPr>
        <w:t xml:space="preserve"> Based</w:t>
      </w:r>
      <w:r w:rsidRPr="00571A20">
        <w:rPr>
          <w:i/>
          <w:iCs/>
          <w:szCs w:val="17"/>
        </w:rPr>
        <w:t xml:space="preserve"> on Commonwealth of Australia data.</w:t>
      </w:r>
    </w:p>
    <w:p w14:paraId="7B9BFE26" w14:textId="77777777" w:rsidR="009B5EA5" w:rsidRPr="00571A20" w:rsidRDefault="009B5EA5" w:rsidP="00571A20">
      <w:pPr>
        <w:pStyle w:val="CreativeCommons"/>
        <w:spacing w:before="180"/>
        <w:rPr>
          <w:rStyle w:val="Strong"/>
          <w:szCs w:val="17"/>
        </w:rPr>
      </w:pPr>
      <w:r w:rsidRPr="00571A20">
        <w:rPr>
          <w:rStyle w:val="Strong"/>
          <w:szCs w:val="17"/>
        </w:rPr>
        <w:t>Use of the Coat of Arms</w:t>
      </w:r>
    </w:p>
    <w:p w14:paraId="2A71F097" w14:textId="1668BCE8" w:rsidR="009B5EA5" w:rsidRPr="00571A20" w:rsidRDefault="009B5EA5" w:rsidP="009B5EA5">
      <w:pPr>
        <w:pStyle w:val="CreativeCommons"/>
        <w:rPr>
          <w:szCs w:val="17"/>
        </w:rPr>
      </w:pPr>
      <w:r w:rsidRPr="00571A20">
        <w:rPr>
          <w:szCs w:val="17"/>
        </w:rPr>
        <w:t>The terms under which the Coat of Arms can be used are set out on the Department of the Prime Minister and Cabinet website (see</w:t>
      </w:r>
      <w:r w:rsidR="001545DB">
        <w:rPr>
          <w:szCs w:val="17"/>
        </w:rPr>
        <w:t> </w:t>
      </w:r>
      <w:r w:rsidRPr="001545DB">
        <w:rPr>
          <w:rStyle w:val="Hyperlink"/>
          <w:szCs w:val="17"/>
        </w:rPr>
        <w:t>www.pmc.gov.au/government/commonwealth</w:t>
      </w:r>
      <w:r w:rsidR="009E7CA0">
        <w:rPr>
          <w:rStyle w:val="Hyperlink"/>
          <w:szCs w:val="17"/>
        </w:rPr>
        <w:noBreakHyphen/>
      </w:r>
      <w:r w:rsidRPr="001545DB">
        <w:rPr>
          <w:rStyle w:val="Hyperlink"/>
          <w:szCs w:val="17"/>
        </w:rPr>
        <w:t>coat</w:t>
      </w:r>
      <w:r w:rsidR="009E7CA0">
        <w:rPr>
          <w:rStyle w:val="Hyperlink"/>
          <w:szCs w:val="17"/>
        </w:rPr>
        <w:noBreakHyphen/>
      </w:r>
      <w:r w:rsidRPr="001545DB">
        <w:rPr>
          <w:rStyle w:val="Hyperlink"/>
          <w:szCs w:val="17"/>
        </w:rPr>
        <w:t>arms</w:t>
      </w:r>
      <w:r w:rsidRPr="00571A20">
        <w:rPr>
          <w:szCs w:val="17"/>
        </w:rPr>
        <w:t>).</w:t>
      </w:r>
    </w:p>
    <w:p w14:paraId="7027A333" w14:textId="77777777" w:rsidR="009B5EA5" w:rsidRPr="00571A20" w:rsidRDefault="009B5EA5" w:rsidP="00571A20">
      <w:pPr>
        <w:pStyle w:val="CreativeCommons"/>
        <w:spacing w:before="180"/>
        <w:rPr>
          <w:rStyle w:val="Strong"/>
          <w:szCs w:val="17"/>
        </w:rPr>
      </w:pPr>
      <w:r w:rsidRPr="00571A20">
        <w:rPr>
          <w:rStyle w:val="Strong"/>
          <w:szCs w:val="17"/>
        </w:rPr>
        <w:t>Other uses</w:t>
      </w:r>
    </w:p>
    <w:p w14:paraId="3BACCD45" w14:textId="77777777" w:rsidR="009B5EA5" w:rsidRPr="00571A20" w:rsidRDefault="009B5EA5" w:rsidP="009B5EA5">
      <w:pPr>
        <w:pStyle w:val="CreativeCommons"/>
        <w:rPr>
          <w:szCs w:val="17"/>
        </w:rPr>
      </w:pPr>
      <w:r w:rsidRPr="00571A20">
        <w:rPr>
          <w:szCs w:val="17"/>
        </w:rPr>
        <w:t>Enquiries regarding this licence and any other use of this document are welcome at:</w:t>
      </w:r>
    </w:p>
    <w:p w14:paraId="4B5CFB0D" w14:textId="5A73C41A" w:rsidR="009B5EA5" w:rsidRPr="00571A20" w:rsidRDefault="009B5EA5" w:rsidP="00571A20">
      <w:pPr>
        <w:pStyle w:val="CreativeCommons"/>
        <w:spacing w:after="0"/>
        <w:rPr>
          <w:szCs w:val="17"/>
        </w:rPr>
      </w:pPr>
      <w:r w:rsidRPr="00571A20">
        <w:rPr>
          <w:szCs w:val="17"/>
        </w:rPr>
        <w:t>Manager, Media Unit</w:t>
      </w:r>
      <w:r w:rsidR="00571A20">
        <w:rPr>
          <w:szCs w:val="17"/>
        </w:rPr>
        <w:br/>
      </w:r>
      <w:r w:rsidRPr="00571A20">
        <w:rPr>
          <w:szCs w:val="17"/>
        </w:rPr>
        <w:t>The Treasury</w:t>
      </w:r>
    </w:p>
    <w:p w14:paraId="3690C6B4" w14:textId="74C8CE0F" w:rsidR="009B5EA5" w:rsidRPr="00571A20" w:rsidRDefault="009B5EA5" w:rsidP="009B5EA5">
      <w:pPr>
        <w:pStyle w:val="CreativeCommons"/>
        <w:spacing w:before="0" w:after="0"/>
        <w:rPr>
          <w:szCs w:val="17"/>
        </w:rPr>
      </w:pPr>
      <w:r w:rsidRPr="00571A20">
        <w:rPr>
          <w:szCs w:val="17"/>
        </w:rPr>
        <w:t>Langton Crescent</w:t>
      </w:r>
      <w:r w:rsidR="00571A20" w:rsidRPr="00571A20">
        <w:rPr>
          <w:szCs w:val="17"/>
        </w:rPr>
        <w:t>,</w:t>
      </w:r>
      <w:r w:rsidRPr="00571A20">
        <w:rPr>
          <w:szCs w:val="17"/>
        </w:rPr>
        <w:t xml:space="preserve"> Parkes</w:t>
      </w:r>
      <w:r w:rsidR="00571A20" w:rsidRPr="00571A20">
        <w:rPr>
          <w:szCs w:val="17"/>
        </w:rPr>
        <w:t xml:space="preserve">, </w:t>
      </w:r>
      <w:r w:rsidRPr="00571A20">
        <w:rPr>
          <w:szCs w:val="17"/>
        </w:rPr>
        <w:t>AC</w:t>
      </w:r>
      <w:r w:rsidR="00571A20" w:rsidRPr="00571A20">
        <w:rPr>
          <w:szCs w:val="17"/>
        </w:rPr>
        <w:t>T</w:t>
      </w:r>
      <w:r w:rsidRPr="00571A20">
        <w:rPr>
          <w:szCs w:val="17"/>
        </w:rPr>
        <w:t xml:space="preserve"> 2600</w:t>
      </w:r>
    </w:p>
    <w:p w14:paraId="6B23B5EA" w14:textId="77777777" w:rsidR="009B5EA5" w:rsidRPr="001545DB" w:rsidRDefault="009B5EA5" w:rsidP="009B5EA5">
      <w:pPr>
        <w:pStyle w:val="CreativeCommons"/>
        <w:spacing w:before="0"/>
        <w:rPr>
          <w:szCs w:val="17"/>
        </w:rPr>
      </w:pPr>
      <w:r w:rsidRPr="00571A20">
        <w:rPr>
          <w:szCs w:val="17"/>
        </w:rPr>
        <w:t xml:space="preserve">Email: </w:t>
      </w:r>
      <w:r w:rsidRPr="001545DB">
        <w:rPr>
          <w:rStyle w:val="Hyperlink"/>
          <w:szCs w:val="17"/>
        </w:rPr>
        <w:t>media@treasury.gov.au</w:t>
      </w:r>
    </w:p>
    <w:p w14:paraId="17E537B2" w14:textId="77777777" w:rsidR="00635703" w:rsidRPr="00571A20" w:rsidRDefault="009B5EA5" w:rsidP="009B5EA5">
      <w:pPr>
        <w:pStyle w:val="CreativeCommons"/>
        <w:rPr>
          <w:szCs w:val="17"/>
        </w:rPr>
        <w:sectPr w:rsidR="00635703" w:rsidRPr="00571A20" w:rsidSect="0000027C">
          <w:type w:val="continuous"/>
          <w:pgSz w:w="16838" w:h="11906" w:orient="landscape" w:code="9"/>
          <w:pgMar w:top="1418" w:right="1418" w:bottom="1418" w:left="1418" w:header="709" w:footer="709" w:gutter="0"/>
          <w:pgNumType w:fmt="lowerRoman" w:start="0"/>
          <w:cols w:num="2" w:space="1755" w:equalWidth="0">
            <w:col w:w="3175" w:space="1755"/>
            <w:col w:w="9072"/>
          </w:cols>
          <w:titlePg/>
          <w:docGrid w:linePitch="360"/>
        </w:sectPr>
      </w:pPr>
      <w:r w:rsidRPr="00571A20">
        <w:rPr>
          <w:szCs w:val="17"/>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p>
    <w:p w14:paraId="3B9A67F2" w14:textId="77777777" w:rsidR="00542846" w:rsidRDefault="000E0B74" w:rsidP="00A4740C">
      <w:pPr>
        <w:pStyle w:val="Heading1"/>
        <w:spacing w:before="0"/>
        <w:rPr>
          <w:rStyle w:val="Heading1Char"/>
          <w:bCs/>
        </w:rPr>
      </w:pPr>
      <w:bookmarkStart w:id="0" w:name="_Toc111026801"/>
      <w:bookmarkStart w:id="1" w:name="_Toc173760498"/>
      <w:bookmarkStart w:id="2" w:name="_Toc177049569"/>
      <w:bookmarkStart w:id="3" w:name="_Toc183095601"/>
      <w:bookmarkStart w:id="4" w:name="_Toc203651280"/>
      <w:bookmarkStart w:id="5" w:name="_Toc209785804"/>
      <w:r w:rsidRPr="00EF3274">
        <w:rPr>
          <w:rStyle w:val="Heading1Char"/>
          <w:b/>
        </w:rPr>
        <w:lastRenderedPageBreak/>
        <w:t>Contents</w:t>
      </w:r>
      <w:bookmarkEnd w:id="0"/>
      <w:bookmarkEnd w:id="1"/>
      <w:bookmarkEnd w:id="2"/>
      <w:bookmarkEnd w:id="3"/>
      <w:bookmarkEnd w:id="4"/>
      <w:bookmarkEnd w:id="5"/>
    </w:p>
    <w:p w14:paraId="60EA4478" w14:textId="77777777" w:rsidR="00DF73F9" w:rsidRDefault="00542846" w:rsidP="00DF73F9">
      <w:pPr>
        <w:pStyle w:val="GhostLine"/>
        <w:rPr>
          <w:noProof/>
        </w:rPr>
      </w:pPr>
      <w:r>
        <w:rPr>
          <w:rStyle w:val="Heading1Char"/>
          <w:b w:val="0"/>
          <w:bCs/>
        </w:rPr>
        <w:br w:type="column"/>
      </w:r>
      <w:r w:rsidR="00DF73F9">
        <w:fldChar w:fldCharType="begin"/>
      </w:r>
      <w:r w:rsidR="00DF73F9">
        <w:instrText xml:space="preserve"> TOC \o "1-2" \h \z \u </w:instrText>
      </w:r>
      <w:r w:rsidR="00DF73F9">
        <w:fldChar w:fldCharType="separate"/>
      </w:r>
    </w:p>
    <w:p w14:paraId="54A72FBD" w14:textId="619CC635" w:rsidR="00DF73F9" w:rsidRDefault="00DF73F9">
      <w:pPr>
        <w:pStyle w:val="TOC1"/>
        <w:rPr>
          <w:rFonts w:asciiTheme="minorHAnsi" w:eastAsiaTheme="minorEastAsia" w:hAnsiTheme="minorHAnsi" w:cstheme="minorBidi"/>
          <w:b w:val="0"/>
          <w:color w:val="auto"/>
          <w:kern w:val="2"/>
          <w:sz w:val="24"/>
          <w:szCs w:val="24"/>
          <w14:ligatures w14:val="standardContextual"/>
        </w:rPr>
      </w:pPr>
      <w:hyperlink w:anchor="_Toc209785805" w:history="1">
        <w:r w:rsidRPr="00414680">
          <w:rPr>
            <w:rStyle w:val="Hyperlink"/>
          </w:rPr>
          <w:t>Foreword</w:t>
        </w:r>
        <w:r>
          <w:rPr>
            <w:webHidden/>
          </w:rPr>
          <w:tab/>
        </w:r>
        <w:r>
          <w:rPr>
            <w:webHidden/>
          </w:rPr>
          <w:fldChar w:fldCharType="begin"/>
        </w:r>
        <w:r>
          <w:rPr>
            <w:webHidden/>
          </w:rPr>
          <w:instrText xml:space="preserve"> PAGEREF _Toc209785805 \h </w:instrText>
        </w:r>
        <w:r>
          <w:rPr>
            <w:webHidden/>
          </w:rPr>
        </w:r>
        <w:r>
          <w:rPr>
            <w:webHidden/>
          </w:rPr>
          <w:fldChar w:fldCharType="separate"/>
        </w:r>
        <w:r w:rsidR="00002908">
          <w:rPr>
            <w:webHidden/>
          </w:rPr>
          <w:t>1</w:t>
        </w:r>
        <w:r>
          <w:rPr>
            <w:webHidden/>
          </w:rPr>
          <w:fldChar w:fldCharType="end"/>
        </w:r>
      </w:hyperlink>
    </w:p>
    <w:p w14:paraId="2CDF5B26" w14:textId="4250C356" w:rsidR="00DF73F9" w:rsidRDefault="00DF73F9">
      <w:pPr>
        <w:pStyle w:val="TOC1"/>
        <w:rPr>
          <w:rFonts w:asciiTheme="minorHAnsi" w:eastAsiaTheme="minorEastAsia" w:hAnsiTheme="minorHAnsi" w:cstheme="minorBidi"/>
          <w:b w:val="0"/>
          <w:color w:val="auto"/>
          <w:kern w:val="2"/>
          <w:sz w:val="24"/>
          <w:szCs w:val="24"/>
          <w14:ligatures w14:val="standardContextual"/>
        </w:rPr>
      </w:pPr>
      <w:hyperlink w:anchor="_Toc209785806" w:history="1">
        <w:r w:rsidRPr="00414680">
          <w:rPr>
            <w:rStyle w:val="Hyperlink"/>
          </w:rPr>
          <w:t>Snapshot of regulatory initiatives</w:t>
        </w:r>
        <w:r>
          <w:rPr>
            <w:webHidden/>
          </w:rPr>
          <w:tab/>
        </w:r>
        <w:r>
          <w:rPr>
            <w:webHidden/>
          </w:rPr>
          <w:fldChar w:fldCharType="begin"/>
        </w:r>
        <w:r>
          <w:rPr>
            <w:webHidden/>
          </w:rPr>
          <w:instrText xml:space="preserve"> PAGEREF _Toc209785806 \h </w:instrText>
        </w:r>
        <w:r>
          <w:rPr>
            <w:webHidden/>
          </w:rPr>
        </w:r>
        <w:r>
          <w:rPr>
            <w:webHidden/>
          </w:rPr>
          <w:fldChar w:fldCharType="separate"/>
        </w:r>
        <w:r w:rsidR="00002908">
          <w:rPr>
            <w:webHidden/>
          </w:rPr>
          <w:t>2</w:t>
        </w:r>
        <w:r>
          <w:rPr>
            <w:webHidden/>
          </w:rPr>
          <w:fldChar w:fldCharType="end"/>
        </w:r>
      </w:hyperlink>
    </w:p>
    <w:p w14:paraId="0FB89374" w14:textId="72848A8F" w:rsidR="00DF73F9" w:rsidRDefault="00DF73F9">
      <w:pPr>
        <w:pStyle w:val="TOC1"/>
        <w:rPr>
          <w:rFonts w:asciiTheme="minorHAnsi" w:eastAsiaTheme="minorEastAsia" w:hAnsiTheme="minorHAnsi" w:cstheme="minorBidi"/>
          <w:b w:val="0"/>
          <w:color w:val="auto"/>
          <w:kern w:val="2"/>
          <w:sz w:val="24"/>
          <w:szCs w:val="24"/>
          <w14:ligatures w14:val="standardContextual"/>
        </w:rPr>
      </w:pPr>
      <w:hyperlink w:anchor="_Toc209785807" w:history="1">
        <w:r w:rsidRPr="00414680">
          <w:rPr>
            <w:rStyle w:val="Hyperlink"/>
          </w:rPr>
          <w:t>Introduction</w:t>
        </w:r>
        <w:r>
          <w:rPr>
            <w:webHidden/>
          </w:rPr>
          <w:tab/>
        </w:r>
        <w:r>
          <w:rPr>
            <w:webHidden/>
          </w:rPr>
          <w:fldChar w:fldCharType="begin"/>
        </w:r>
        <w:r>
          <w:rPr>
            <w:webHidden/>
          </w:rPr>
          <w:instrText xml:space="preserve"> PAGEREF _Toc209785807 \h </w:instrText>
        </w:r>
        <w:r>
          <w:rPr>
            <w:webHidden/>
          </w:rPr>
        </w:r>
        <w:r>
          <w:rPr>
            <w:webHidden/>
          </w:rPr>
          <w:fldChar w:fldCharType="separate"/>
        </w:r>
        <w:r w:rsidR="00002908">
          <w:rPr>
            <w:webHidden/>
          </w:rPr>
          <w:t>4</w:t>
        </w:r>
        <w:r>
          <w:rPr>
            <w:webHidden/>
          </w:rPr>
          <w:fldChar w:fldCharType="end"/>
        </w:r>
      </w:hyperlink>
    </w:p>
    <w:p w14:paraId="36FD8A08" w14:textId="4AEC9029" w:rsidR="00DF73F9" w:rsidRDefault="00DF73F9">
      <w:pPr>
        <w:pStyle w:val="TOC1"/>
        <w:rPr>
          <w:rFonts w:asciiTheme="minorHAnsi" w:eastAsiaTheme="minorEastAsia" w:hAnsiTheme="minorHAnsi" w:cstheme="minorBidi"/>
          <w:b w:val="0"/>
          <w:color w:val="auto"/>
          <w:kern w:val="2"/>
          <w:sz w:val="24"/>
          <w:szCs w:val="24"/>
          <w14:ligatures w14:val="standardContextual"/>
        </w:rPr>
      </w:pPr>
      <w:hyperlink w:anchor="_Toc209785808" w:history="1">
        <w:r w:rsidRPr="00414680">
          <w:rPr>
            <w:rStyle w:val="Hyperlink"/>
          </w:rPr>
          <w:t>Supporting improved regulatory coordination</w:t>
        </w:r>
        <w:r>
          <w:rPr>
            <w:webHidden/>
          </w:rPr>
          <w:tab/>
        </w:r>
        <w:r>
          <w:rPr>
            <w:webHidden/>
          </w:rPr>
          <w:fldChar w:fldCharType="begin"/>
        </w:r>
        <w:r>
          <w:rPr>
            <w:webHidden/>
          </w:rPr>
          <w:instrText xml:space="preserve"> PAGEREF _Toc209785808 \h </w:instrText>
        </w:r>
        <w:r>
          <w:rPr>
            <w:webHidden/>
          </w:rPr>
        </w:r>
        <w:r>
          <w:rPr>
            <w:webHidden/>
          </w:rPr>
          <w:fldChar w:fldCharType="separate"/>
        </w:r>
        <w:r w:rsidR="00002908">
          <w:rPr>
            <w:webHidden/>
          </w:rPr>
          <w:t>5</w:t>
        </w:r>
        <w:r>
          <w:rPr>
            <w:webHidden/>
          </w:rPr>
          <w:fldChar w:fldCharType="end"/>
        </w:r>
      </w:hyperlink>
    </w:p>
    <w:p w14:paraId="37A513EC" w14:textId="2AC80B61" w:rsidR="00DF73F9" w:rsidRDefault="00DF73F9">
      <w:pPr>
        <w:pStyle w:val="TOC2"/>
        <w:rPr>
          <w:rFonts w:asciiTheme="minorHAnsi" w:eastAsiaTheme="minorEastAsia" w:hAnsiTheme="minorHAnsi" w:cstheme="minorBidi"/>
          <w:color w:val="auto"/>
          <w:kern w:val="2"/>
          <w:sz w:val="24"/>
          <w:szCs w:val="24"/>
          <w14:ligatures w14:val="standardContextual"/>
        </w:rPr>
      </w:pPr>
      <w:hyperlink w:anchor="_Toc209785809" w:history="1">
        <w:r w:rsidRPr="00414680">
          <w:rPr>
            <w:rStyle w:val="Hyperlink"/>
          </w:rPr>
          <w:t>Sectors</w:t>
        </w:r>
        <w:r>
          <w:rPr>
            <w:webHidden/>
          </w:rPr>
          <w:tab/>
        </w:r>
        <w:r>
          <w:rPr>
            <w:webHidden/>
          </w:rPr>
          <w:fldChar w:fldCharType="begin"/>
        </w:r>
        <w:r>
          <w:rPr>
            <w:webHidden/>
          </w:rPr>
          <w:instrText xml:space="preserve"> PAGEREF _Toc209785809 \h </w:instrText>
        </w:r>
        <w:r>
          <w:rPr>
            <w:webHidden/>
          </w:rPr>
        </w:r>
        <w:r>
          <w:rPr>
            <w:webHidden/>
          </w:rPr>
          <w:fldChar w:fldCharType="separate"/>
        </w:r>
        <w:r w:rsidR="00002908">
          <w:rPr>
            <w:webHidden/>
          </w:rPr>
          <w:t>6</w:t>
        </w:r>
        <w:r>
          <w:rPr>
            <w:webHidden/>
          </w:rPr>
          <w:fldChar w:fldCharType="end"/>
        </w:r>
      </w:hyperlink>
    </w:p>
    <w:p w14:paraId="52FA155B" w14:textId="7DA2D070" w:rsidR="00DF73F9" w:rsidRDefault="00DF73F9">
      <w:pPr>
        <w:pStyle w:val="TOC2"/>
        <w:rPr>
          <w:rFonts w:asciiTheme="minorHAnsi" w:eastAsiaTheme="minorEastAsia" w:hAnsiTheme="minorHAnsi" w:cstheme="minorBidi"/>
          <w:color w:val="auto"/>
          <w:kern w:val="2"/>
          <w:sz w:val="24"/>
          <w:szCs w:val="24"/>
          <w14:ligatures w14:val="standardContextual"/>
        </w:rPr>
      </w:pPr>
      <w:hyperlink w:anchor="_Toc209785810" w:history="1">
        <w:r w:rsidRPr="00414680">
          <w:rPr>
            <w:rStyle w:val="Hyperlink"/>
          </w:rPr>
          <w:t>Categories</w:t>
        </w:r>
        <w:r>
          <w:rPr>
            <w:webHidden/>
          </w:rPr>
          <w:tab/>
        </w:r>
        <w:r>
          <w:rPr>
            <w:webHidden/>
          </w:rPr>
          <w:fldChar w:fldCharType="begin"/>
        </w:r>
        <w:r>
          <w:rPr>
            <w:webHidden/>
          </w:rPr>
          <w:instrText xml:space="preserve"> PAGEREF _Toc209785810 \h </w:instrText>
        </w:r>
        <w:r>
          <w:rPr>
            <w:webHidden/>
          </w:rPr>
        </w:r>
        <w:r>
          <w:rPr>
            <w:webHidden/>
          </w:rPr>
          <w:fldChar w:fldCharType="separate"/>
        </w:r>
        <w:r w:rsidR="00002908">
          <w:rPr>
            <w:webHidden/>
          </w:rPr>
          <w:t>7</w:t>
        </w:r>
        <w:r>
          <w:rPr>
            <w:webHidden/>
          </w:rPr>
          <w:fldChar w:fldCharType="end"/>
        </w:r>
      </w:hyperlink>
    </w:p>
    <w:p w14:paraId="5F122EFB" w14:textId="69E4EB43" w:rsidR="00DF73F9" w:rsidRDefault="00DF73F9">
      <w:pPr>
        <w:pStyle w:val="TOC2"/>
        <w:rPr>
          <w:rFonts w:asciiTheme="minorHAnsi" w:eastAsiaTheme="minorEastAsia" w:hAnsiTheme="minorHAnsi" w:cstheme="minorBidi"/>
          <w:color w:val="auto"/>
          <w:kern w:val="2"/>
          <w:sz w:val="24"/>
          <w:szCs w:val="24"/>
          <w14:ligatures w14:val="standardContextual"/>
        </w:rPr>
      </w:pPr>
      <w:hyperlink w:anchor="_Toc209785811" w:history="1">
        <w:r w:rsidRPr="00414680">
          <w:rPr>
            <w:rStyle w:val="Hyperlink"/>
          </w:rPr>
          <w:t>Contributing agencies</w:t>
        </w:r>
        <w:r>
          <w:rPr>
            <w:webHidden/>
          </w:rPr>
          <w:tab/>
        </w:r>
        <w:r>
          <w:rPr>
            <w:webHidden/>
          </w:rPr>
          <w:fldChar w:fldCharType="begin"/>
        </w:r>
        <w:r>
          <w:rPr>
            <w:webHidden/>
          </w:rPr>
          <w:instrText xml:space="preserve"> PAGEREF _Toc209785811 \h </w:instrText>
        </w:r>
        <w:r>
          <w:rPr>
            <w:webHidden/>
          </w:rPr>
        </w:r>
        <w:r>
          <w:rPr>
            <w:webHidden/>
          </w:rPr>
          <w:fldChar w:fldCharType="separate"/>
        </w:r>
        <w:r w:rsidR="00002908">
          <w:rPr>
            <w:webHidden/>
          </w:rPr>
          <w:t>8</w:t>
        </w:r>
        <w:r>
          <w:rPr>
            <w:webHidden/>
          </w:rPr>
          <w:fldChar w:fldCharType="end"/>
        </w:r>
      </w:hyperlink>
    </w:p>
    <w:p w14:paraId="57A134BD" w14:textId="55F9108B" w:rsidR="00DF73F9" w:rsidRDefault="00DF73F9">
      <w:pPr>
        <w:pStyle w:val="TOC2"/>
        <w:rPr>
          <w:rFonts w:asciiTheme="minorHAnsi" w:eastAsiaTheme="minorEastAsia" w:hAnsiTheme="minorHAnsi" w:cstheme="minorBidi"/>
          <w:color w:val="auto"/>
          <w:kern w:val="2"/>
          <w:sz w:val="24"/>
          <w:szCs w:val="24"/>
          <w14:ligatures w14:val="standardContextual"/>
        </w:rPr>
      </w:pPr>
      <w:hyperlink w:anchor="_Toc209785812" w:history="1">
        <w:r w:rsidRPr="00414680">
          <w:rPr>
            <w:rStyle w:val="Hyperlink"/>
          </w:rPr>
          <w:t>Scope</w:t>
        </w:r>
        <w:r>
          <w:rPr>
            <w:webHidden/>
          </w:rPr>
          <w:tab/>
        </w:r>
        <w:r>
          <w:rPr>
            <w:webHidden/>
          </w:rPr>
          <w:fldChar w:fldCharType="begin"/>
        </w:r>
        <w:r>
          <w:rPr>
            <w:webHidden/>
          </w:rPr>
          <w:instrText xml:space="preserve"> PAGEREF _Toc209785812 \h </w:instrText>
        </w:r>
        <w:r>
          <w:rPr>
            <w:webHidden/>
          </w:rPr>
        </w:r>
        <w:r>
          <w:rPr>
            <w:webHidden/>
          </w:rPr>
          <w:fldChar w:fldCharType="separate"/>
        </w:r>
        <w:r w:rsidR="00002908">
          <w:rPr>
            <w:webHidden/>
          </w:rPr>
          <w:t>9</w:t>
        </w:r>
        <w:r>
          <w:rPr>
            <w:webHidden/>
          </w:rPr>
          <w:fldChar w:fldCharType="end"/>
        </w:r>
      </w:hyperlink>
    </w:p>
    <w:p w14:paraId="5E712388" w14:textId="47B858B7" w:rsidR="00DF73F9" w:rsidRDefault="00DF73F9">
      <w:pPr>
        <w:pStyle w:val="TOC2"/>
        <w:rPr>
          <w:rFonts w:asciiTheme="minorHAnsi" w:eastAsiaTheme="minorEastAsia" w:hAnsiTheme="minorHAnsi" w:cstheme="minorBidi"/>
          <w:color w:val="auto"/>
          <w:kern w:val="2"/>
          <w:sz w:val="24"/>
          <w:szCs w:val="24"/>
          <w14:ligatures w14:val="standardContextual"/>
        </w:rPr>
      </w:pPr>
      <w:hyperlink w:anchor="_Toc209785813" w:history="1">
        <w:r w:rsidRPr="00414680">
          <w:rPr>
            <w:rStyle w:val="Hyperlink"/>
          </w:rPr>
          <w:t>How to read the RIG</w:t>
        </w:r>
        <w:r>
          <w:rPr>
            <w:webHidden/>
          </w:rPr>
          <w:tab/>
        </w:r>
        <w:r>
          <w:rPr>
            <w:webHidden/>
          </w:rPr>
          <w:fldChar w:fldCharType="begin"/>
        </w:r>
        <w:r>
          <w:rPr>
            <w:webHidden/>
          </w:rPr>
          <w:instrText xml:space="preserve"> PAGEREF _Toc209785813 \h </w:instrText>
        </w:r>
        <w:r>
          <w:rPr>
            <w:webHidden/>
          </w:rPr>
        </w:r>
        <w:r>
          <w:rPr>
            <w:webHidden/>
          </w:rPr>
          <w:fldChar w:fldCharType="separate"/>
        </w:r>
        <w:r w:rsidR="00002908">
          <w:rPr>
            <w:webHidden/>
          </w:rPr>
          <w:t>10</w:t>
        </w:r>
        <w:r>
          <w:rPr>
            <w:webHidden/>
          </w:rPr>
          <w:fldChar w:fldCharType="end"/>
        </w:r>
      </w:hyperlink>
    </w:p>
    <w:p w14:paraId="356CEF53" w14:textId="04C236BB" w:rsidR="00DF73F9" w:rsidRDefault="00DF73F9">
      <w:pPr>
        <w:pStyle w:val="TOC2"/>
        <w:rPr>
          <w:rFonts w:asciiTheme="minorHAnsi" w:eastAsiaTheme="minorEastAsia" w:hAnsiTheme="minorHAnsi" w:cstheme="minorBidi"/>
          <w:color w:val="auto"/>
          <w:kern w:val="2"/>
          <w:sz w:val="24"/>
          <w:szCs w:val="24"/>
          <w14:ligatures w14:val="standardContextual"/>
        </w:rPr>
      </w:pPr>
      <w:hyperlink w:anchor="_Toc209785814" w:history="1">
        <w:r w:rsidRPr="00414680">
          <w:rPr>
            <w:rStyle w:val="Hyperlink"/>
          </w:rPr>
          <w:t>Feedback</w:t>
        </w:r>
        <w:r>
          <w:rPr>
            <w:webHidden/>
          </w:rPr>
          <w:tab/>
        </w:r>
        <w:r>
          <w:rPr>
            <w:webHidden/>
          </w:rPr>
          <w:fldChar w:fldCharType="begin"/>
        </w:r>
        <w:r>
          <w:rPr>
            <w:webHidden/>
          </w:rPr>
          <w:instrText xml:space="preserve"> PAGEREF _Toc209785814 \h </w:instrText>
        </w:r>
        <w:r>
          <w:rPr>
            <w:webHidden/>
          </w:rPr>
        </w:r>
        <w:r>
          <w:rPr>
            <w:webHidden/>
          </w:rPr>
          <w:fldChar w:fldCharType="separate"/>
        </w:r>
        <w:r w:rsidR="00002908">
          <w:rPr>
            <w:webHidden/>
          </w:rPr>
          <w:t>11</w:t>
        </w:r>
        <w:r>
          <w:rPr>
            <w:webHidden/>
          </w:rPr>
          <w:fldChar w:fldCharType="end"/>
        </w:r>
      </w:hyperlink>
    </w:p>
    <w:p w14:paraId="2F26119B" w14:textId="6D228407" w:rsidR="00DF73F9" w:rsidRDefault="00DF73F9">
      <w:pPr>
        <w:pStyle w:val="TOC2"/>
        <w:rPr>
          <w:rFonts w:asciiTheme="minorHAnsi" w:eastAsiaTheme="minorEastAsia" w:hAnsiTheme="minorHAnsi" w:cstheme="minorBidi"/>
          <w:color w:val="auto"/>
          <w:kern w:val="2"/>
          <w:sz w:val="24"/>
          <w:szCs w:val="24"/>
          <w14:ligatures w14:val="standardContextual"/>
        </w:rPr>
      </w:pPr>
      <w:hyperlink w:anchor="_Toc209785815" w:history="1">
        <w:r w:rsidRPr="00414680">
          <w:rPr>
            <w:rStyle w:val="Hyperlink"/>
          </w:rPr>
          <w:t>Future updates</w:t>
        </w:r>
        <w:r>
          <w:rPr>
            <w:webHidden/>
          </w:rPr>
          <w:tab/>
        </w:r>
        <w:r>
          <w:rPr>
            <w:webHidden/>
          </w:rPr>
          <w:fldChar w:fldCharType="begin"/>
        </w:r>
        <w:r>
          <w:rPr>
            <w:webHidden/>
          </w:rPr>
          <w:instrText xml:space="preserve"> PAGEREF _Toc209785815 \h </w:instrText>
        </w:r>
        <w:r>
          <w:rPr>
            <w:webHidden/>
          </w:rPr>
        </w:r>
        <w:r>
          <w:rPr>
            <w:webHidden/>
          </w:rPr>
          <w:fldChar w:fldCharType="separate"/>
        </w:r>
        <w:r w:rsidR="00002908">
          <w:rPr>
            <w:webHidden/>
          </w:rPr>
          <w:t>11</w:t>
        </w:r>
        <w:r>
          <w:rPr>
            <w:webHidden/>
          </w:rPr>
          <w:fldChar w:fldCharType="end"/>
        </w:r>
      </w:hyperlink>
    </w:p>
    <w:p w14:paraId="627E219A" w14:textId="2CAD904E" w:rsidR="00DF73F9" w:rsidRDefault="00DF73F9">
      <w:pPr>
        <w:pStyle w:val="TOC1"/>
        <w:tabs>
          <w:tab w:val="left" w:pos="720"/>
        </w:tabs>
        <w:rPr>
          <w:rFonts w:asciiTheme="minorHAnsi" w:eastAsiaTheme="minorEastAsia" w:hAnsiTheme="minorHAnsi" w:cstheme="minorBidi"/>
          <w:b w:val="0"/>
          <w:color w:val="auto"/>
          <w:kern w:val="2"/>
          <w:sz w:val="24"/>
          <w:szCs w:val="24"/>
          <w14:ligatures w14:val="standardContextual"/>
        </w:rPr>
      </w:pPr>
      <w:hyperlink w:anchor="_Toc209785816" w:history="1">
        <w:r w:rsidRPr="00414680">
          <w:rPr>
            <w:rStyle w:val="Hyperlink"/>
          </w:rPr>
          <w:t>1.</w:t>
        </w:r>
        <w:r>
          <w:rPr>
            <w:rFonts w:asciiTheme="minorHAnsi" w:eastAsiaTheme="minorEastAsia" w:hAnsiTheme="minorHAnsi" w:cstheme="minorBidi"/>
            <w:b w:val="0"/>
            <w:color w:val="auto"/>
            <w:kern w:val="2"/>
            <w:sz w:val="24"/>
            <w:szCs w:val="24"/>
            <w14:ligatures w14:val="standardContextual"/>
          </w:rPr>
          <w:t xml:space="preserve"> </w:t>
        </w:r>
        <w:r w:rsidRPr="00414680">
          <w:rPr>
            <w:rStyle w:val="Hyperlink"/>
          </w:rPr>
          <w:t>Policy development</w:t>
        </w:r>
        <w:r>
          <w:rPr>
            <w:webHidden/>
          </w:rPr>
          <w:tab/>
        </w:r>
        <w:r>
          <w:rPr>
            <w:webHidden/>
          </w:rPr>
          <w:fldChar w:fldCharType="begin"/>
        </w:r>
        <w:r>
          <w:rPr>
            <w:webHidden/>
          </w:rPr>
          <w:instrText xml:space="preserve"> PAGEREF _Toc209785816 \h </w:instrText>
        </w:r>
        <w:r>
          <w:rPr>
            <w:webHidden/>
          </w:rPr>
        </w:r>
        <w:r>
          <w:rPr>
            <w:webHidden/>
          </w:rPr>
          <w:fldChar w:fldCharType="separate"/>
        </w:r>
        <w:r w:rsidR="00002908">
          <w:rPr>
            <w:webHidden/>
          </w:rPr>
          <w:t>12</w:t>
        </w:r>
        <w:r>
          <w:rPr>
            <w:webHidden/>
          </w:rPr>
          <w:fldChar w:fldCharType="end"/>
        </w:r>
      </w:hyperlink>
    </w:p>
    <w:p w14:paraId="1BDBF6ED" w14:textId="3CC27C88" w:rsidR="00DF73F9" w:rsidRDefault="00DF73F9">
      <w:pPr>
        <w:pStyle w:val="TOC1"/>
        <w:tabs>
          <w:tab w:val="left" w:pos="720"/>
        </w:tabs>
        <w:rPr>
          <w:rFonts w:asciiTheme="minorHAnsi" w:eastAsiaTheme="minorEastAsia" w:hAnsiTheme="minorHAnsi" w:cstheme="minorBidi"/>
          <w:b w:val="0"/>
          <w:color w:val="auto"/>
          <w:kern w:val="2"/>
          <w:sz w:val="24"/>
          <w:szCs w:val="24"/>
          <w14:ligatures w14:val="standardContextual"/>
        </w:rPr>
      </w:pPr>
      <w:hyperlink w:anchor="_Toc209785817" w:history="1">
        <w:r w:rsidRPr="00414680">
          <w:rPr>
            <w:rStyle w:val="Hyperlink"/>
          </w:rPr>
          <w:t>2.</w:t>
        </w:r>
        <w:r>
          <w:rPr>
            <w:rFonts w:asciiTheme="minorHAnsi" w:eastAsiaTheme="minorEastAsia" w:hAnsiTheme="minorHAnsi" w:cstheme="minorBidi"/>
            <w:b w:val="0"/>
            <w:color w:val="auto"/>
            <w:kern w:val="2"/>
            <w:sz w:val="24"/>
            <w:szCs w:val="24"/>
            <w14:ligatures w14:val="standardContextual"/>
          </w:rPr>
          <w:t xml:space="preserve"> </w:t>
        </w:r>
        <w:r w:rsidRPr="00414680">
          <w:rPr>
            <w:rStyle w:val="Hyperlink"/>
          </w:rPr>
          <w:t>Development of legislation, regulations and instruments</w:t>
        </w:r>
        <w:r>
          <w:rPr>
            <w:webHidden/>
          </w:rPr>
          <w:tab/>
        </w:r>
        <w:r>
          <w:rPr>
            <w:webHidden/>
          </w:rPr>
          <w:fldChar w:fldCharType="begin"/>
        </w:r>
        <w:r>
          <w:rPr>
            <w:webHidden/>
          </w:rPr>
          <w:instrText xml:space="preserve"> PAGEREF _Toc209785817 \h </w:instrText>
        </w:r>
        <w:r>
          <w:rPr>
            <w:webHidden/>
          </w:rPr>
        </w:r>
        <w:r>
          <w:rPr>
            <w:webHidden/>
          </w:rPr>
          <w:fldChar w:fldCharType="separate"/>
        </w:r>
        <w:r w:rsidR="00002908">
          <w:rPr>
            <w:webHidden/>
          </w:rPr>
          <w:t>17</w:t>
        </w:r>
        <w:r>
          <w:rPr>
            <w:webHidden/>
          </w:rPr>
          <w:fldChar w:fldCharType="end"/>
        </w:r>
      </w:hyperlink>
    </w:p>
    <w:p w14:paraId="609C9DBD" w14:textId="33386CEA" w:rsidR="00DF73F9" w:rsidRDefault="00DF73F9">
      <w:pPr>
        <w:pStyle w:val="TOC1"/>
        <w:tabs>
          <w:tab w:val="left" w:pos="720"/>
        </w:tabs>
        <w:rPr>
          <w:rFonts w:asciiTheme="minorHAnsi" w:eastAsiaTheme="minorEastAsia" w:hAnsiTheme="minorHAnsi" w:cstheme="minorBidi"/>
          <w:b w:val="0"/>
          <w:color w:val="auto"/>
          <w:kern w:val="2"/>
          <w:sz w:val="24"/>
          <w:szCs w:val="24"/>
          <w14:ligatures w14:val="standardContextual"/>
        </w:rPr>
      </w:pPr>
      <w:hyperlink w:anchor="_Toc209785818" w:history="1">
        <w:r w:rsidRPr="00414680">
          <w:rPr>
            <w:rStyle w:val="Hyperlink"/>
          </w:rPr>
          <w:t>3.</w:t>
        </w:r>
        <w:r>
          <w:rPr>
            <w:rFonts w:asciiTheme="minorHAnsi" w:eastAsiaTheme="minorEastAsia" w:hAnsiTheme="minorHAnsi" w:cstheme="minorBidi"/>
            <w:b w:val="0"/>
            <w:color w:val="auto"/>
            <w:kern w:val="2"/>
            <w:sz w:val="24"/>
            <w:szCs w:val="24"/>
            <w14:ligatures w14:val="standardContextual"/>
          </w:rPr>
          <w:t xml:space="preserve"> </w:t>
        </w:r>
        <w:r w:rsidRPr="00414680">
          <w:rPr>
            <w:rStyle w:val="Hyperlink"/>
          </w:rPr>
          <w:t>Ongoing program implementation</w:t>
        </w:r>
        <w:r>
          <w:rPr>
            <w:webHidden/>
          </w:rPr>
          <w:tab/>
        </w:r>
        <w:r>
          <w:rPr>
            <w:webHidden/>
          </w:rPr>
          <w:fldChar w:fldCharType="begin"/>
        </w:r>
        <w:r>
          <w:rPr>
            <w:webHidden/>
          </w:rPr>
          <w:instrText xml:space="preserve"> PAGEREF _Toc209785818 \h </w:instrText>
        </w:r>
        <w:r>
          <w:rPr>
            <w:webHidden/>
          </w:rPr>
        </w:r>
        <w:r>
          <w:rPr>
            <w:webHidden/>
          </w:rPr>
          <w:fldChar w:fldCharType="separate"/>
        </w:r>
        <w:r w:rsidR="00002908">
          <w:rPr>
            <w:webHidden/>
          </w:rPr>
          <w:t>38</w:t>
        </w:r>
        <w:r>
          <w:rPr>
            <w:webHidden/>
          </w:rPr>
          <w:fldChar w:fldCharType="end"/>
        </w:r>
      </w:hyperlink>
    </w:p>
    <w:p w14:paraId="735C4BFA" w14:textId="083268D9" w:rsidR="00DF73F9" w:rsidRDefault="00DF73F9">
      <w:pPr>
        <w:pStyle w:val="TOC1"/>
        <w:tabs>
          <w:tab w:val="left" w:pos="720"/>
        </w:tabs>
        <w:rPr>
          <w:rFonts w:asciiTheme="minorHAnsi" w:eastAsiaTheme="minorEastAsia" w:hAnsiTheme="minorHAnsi" w:cstheme="minorBidi"/>
          <w:b w:val="0"/>
          <w:color w:val="auto"/>
          <w:kern w:val="2"/>
          <w:sz w:val="24"/>
          <w:szCs w:val="24"/>
          <w14:ligatures w14:val="standardContextual"/>
        </w:rPr>
      </w:pPr>
      <w:hyperlink w:anchor="_Toc209785819" w:history="1">
        <w:r w:rsidRPr="00414680">
          <w:rPr>
            <w:rStyle w:val="Hyperlink"/>
          </w:rPr>
          <w:t>4.</w:t>
        </w:r>
        <w:r>
          <w:rPr>
            <w:rFonts w:asciiTheme="minorHAnsi" w:eastAsiaTheme="minorEastAsia" w:hAnsiTheme="minorHAnsi" w:cstheme="minorBidi"/>
            <w:b w:val="0"/>
            <w:color w:val="auto"/>
            <w:kern w:val="2"/>
            <w:sz w:val="24"/>
            <w:szCs w:val="24"/>
            <w14:ligatures w14:val="standardContextual"/>
          </w:rPr>
          <w:t xml:space="preserve"> </w:t>
        </w:r>
        <w:r w:rsidRPr="00414680">
          <w:rPr>
            <w:rStyle w:val="Hyperlink"/>
          </w:rPr>
          <w:t>Review and evaluation</w:t>
        </w:r>
        <w:r>
          <w:rPr>
            <w:webHidden/>
          </w:rPr>
          <w:tab/>
        </w:r>
        <w:r>
          <w:rPr>
            <w:webHidden/>
          </w:rPr>
          <w:fldChar w:fldCharType="begin"/>
        </w:r>
        <w:r>
          <w:rPr>
            <w:webHidden/>
          </w:rPr>
          <w:instrText xml:space="preserve"> PAGEREF _Toc209785819 \h </w:instrText>
        </w:r>
        <w:r>
          <w:rPr>
            <w:webHidden/>
          </w:rPr>
        </w:r>
        <w:r>
          <w:rPr>
            <w:webHidden/>
          </w:rPr>
          <w:fldChar w:fldCharType="separate"/>
        </w:r>
        <w:r w:rsidR="00002908">
          <w:rPr>
            <w:webHidden/>
          </w:rPr>
          <w:t>51</w:t>
        </w:r>
        <w:r>
          <w:rPr>
            <w:webHidden/>
          </w:rPr>
          <w:fldChar w:fldCharType="end"/>
        </w:r>
      </w:hyperlink>
    </w:p>
    <w:p w14:paraId="36DB9A60" w14:textId="70317CDC" w:rsidR="00DF73F9" w:rsidRDefault="00DF73F9">
      <w:pPr>
        <w:pStyle w:val="TOC1"/>
        <w:rPr>
          <w:rFonts w:asciiTheme="minorHAnsi" w:eastAsiaTheme="minorEastAsia" w:hAnsiTheme="minorHAnsi" w:cstheme="minorBidi"/>
          <w:b w:val="0"/>
          <w:color w:val="auto"/>
          <w:kern w:val="2"/>
          <w:sz w:val="24"/>
          <w:szCs w:val="24"/>
          <w14:ligatures w14:val="standardContextual"/>
        </w:rPr>
      </w:pPr>
      <w:hyperlink w:anchor="_Toc209785820" w:history="1">
        <w:r w:rsidRPr="00414680">
          <w:rPr>
            <w:rStyle w:val="Hyperlink"/>
          </w:rPr>
          <w:t xml:space="preserve">Changes to initiatives included in Edition </w:t>
        </w:r>
        <w:r w:rsidR="0077226B">
          <w:rPr>
            <w:rStyle w:val="Hyperlink"/>
          </w:rPr>
          <w:t>3</w:t>
        </w:r>
        <w:r>
          <w:rPr>
            <w:webHidden/>
          </w:rPr>
          <w:tab/>
        </w:r>
        <w:r>
          <w:rPr>
            <w:webHidden/>
          </w:rPr>
          <w:fldChar w:fldCharType="begin"/>
        </w:r>
        <w:r>
          <w:rPr>
            <w:webHidden/>
          </w:rPr>
          <w:instrText xml:space="preserve"> PAGEREF _Toc209785820 \h </w:instrText>
        </w:r>
        <w:r>
          <w:rPr>
            <w:webHidden/>
          </w:rPr>
        </w:r>
        <w:r>
          <w:rPr>
            <w:webHidden/>
          </w:rPr>
          <w:fldChar w:fldCharType="separate"/>
        </w:r>
        <w:r w:rsidR="00002908">
          <w:rPr>
            <w:webHidden/>
          </w:rPr>
          <w:t>59</w:t>
        </w:r>
        <w:r>
          <w:rPr>
            <w:webHidden/>
          </w:rPr>
          <w:fldChar w:fldCharType="end"/>
        </w:r>
      </w:hyperlink>
    </w:p>
    <w:p w14:paraId="3682F864" w14:textId="3693D8A0" w:rsidR="00B775EE" w:rsidRPr="00A343D5" w:rsidRDefault="00DF73F9" w:rsidP="00DF73F9">
      <w:pPr>
        <w:pStyle w:val="GhostLine"/>
        <w:sectPr w:rsidR="00B775EE" w:rsidRPr="00A343D5" w:rsidSect="00395588">
          <w:headerReference w:type="even" r:id="rId11"/>
          <w:headerReference w:type="default" r:id="rId12"/>
          <w:footerReference w:type="even" r:id="rId13"/>
          <w:footerReference w:type="default" r:id="rId14"/>
          <w:headerReference w:type="first" r:id="rId15"/>
          <w:footerReference w:type="first" r:id="rId16"/>
          <w:pgSz w:w="16838" w:h="11906" w:orient="landscape" w:code="9"/>
          <w:pgMar w:top="1843" w:right="1418" w:bottom="1021" w:left="1418" w:header="709" w:footer="397" w:gutter="0"/>
          <w:pgNumType w:fmt="lowerRoman" w:start="3"/>
          <w:cols w:num="2" w:space="1755" w:equalWidth="0">
            <w:col w:w="3175" w:space="1755"/>
            <w:col w:w="9072"/>
          </w:cols>
          <w:titlePg/>
          <w:docGrid w:linePitch="360"/>
        </w:sectPr>
      </w:pPr>
      <w:r>
        <w:fldChar w:fldCharType="end"/>
      </w:r>
      <w:bookmarkStart w:id="6" w:name="_Toc432067103"/>
      <w:bookmarkStart w:id="7" w:name="_Toc452635030"/>
    </w:p>
    <w:p w14:paraId="597FF4E9" w14:textId="160E5DE4" w:rsidR="00475085" w:rsidRPr="00A343D5" w:rsidRDefault="00475085" w:rsidP="00A343D5">
      <w:pPr>
        <w:pStyle w:val="Heading1"/>
        <w:spacing w:before="0"/>
      </w:pPr>
      <w:bookmarkStart w:id="8" w:name="_Toc209785805"/>
      <w:r w:rsidRPr="00A343D5">
        <w:lastRenderedPageBreak/>
        <w:t>Foreword</w:t>
      </w:r>
      <w:bookmarkEnd w:id="6"/>
      <w:bookmarkEnd w:id="7"/>
      <w:bookmarkEnd w:id="8"/>
    </w:p>
    <w:p w14:paraId="159FABB9" w14:textId="38A35DEC" w:rsidR="00E705BD" w:rsidRDefault="00141113" w:rsidP="00E705BD">
      <w:r>
        <w:rPr>
          <w:rFonts w:cs="Arial"/>
          <w:bCs/>
          <w:szCs w:val="24"/>
        </w:rPr>
        <w:br w:type="column"/>
      </w:r>
      <w:r w:rsidR="00E705BD">
        <w:t>The Government is delivering better regulation to lift productivity and support long</w:t>
      </w:r>
      <w:r w:rsidR="009E7CA0">
        <w:noBreakHyphen/>
      </w:r>
      <w:r w:rsidR="00E705BD">
        <w:t>term growth.</w:t>
      </w:r>
    </w:p>
    <w:p w14:paraId="298BA77C" w14:textId="77777777" w:rsidR="00E705BD" w:rsidRDefault="00E705BD" w:rsidP="00E705BD">
      <w:r>
        <w:t xml:space="preserve">This third edition of the Regulatory Initiatives Grid (RIG) is an important step in that process, building a stronger, more productive economy supported by regulation that is clear, efficient and fit for purpose. </w:t>
      </w:r>
    </w:p>
    <w:p w14:paraId="6DA4FA44" w14:textId="77777777" w:rsidR="00E705BD" w:rsidRDefault="00E705BD" w:rsidP="00E705BD">
      <w:r>
        <w:t>Good regulation supports investment, innovation and growth. Poorly targeted regulation, on the other hand, can slow activity and add unnecessary cost to businesses and consumers.</w:t>
      </w:r>
    </w:p>
    <w:p w14:paraId="6D21E1B6" w14:textId="050B0954" w:rsidR="00E705BD" w:rsidRDefault="00E705BD" w:rsidP="00E705BD">
      <w:r>
        <w:t>That is why improving the quality of regulation remains a central focus of the Government</w:t>
      </w:r>
      <w:r w:rsidR="009E7CA0">
        <w:t>’</w:t>
      </w:r>
      <w:r>
        <w:t>s economic agenda, and why it was such a consistent message coming out of the Economic Reform Roundtable.</w:t>
      </w:r>
    </w:p>
    <w:p w14:paraId="47DCE93F" w14:textId="77777777" w:rsidR="00E705BD" w:rsidRDefault="00E705BD" w:rsidP="00E705BD">
      <w:r>
        <w:t>The RIG provides a transparent view of upcoming regulatory initiatives across government and independent regulators, helping industry to plan with greater confidence and engage more effectively. It also assists regulators to coordinate their efforts and reduce duplication.</w:t>
      </w:r>
    </w:p>
    <w:p w14:paraId="00ECDF8C" w14:textId="77777777" w:rsidR="00E705BD" w:rsidRDefault="00E705BD" w:rsidP="00E705BD">
      <w:r>
        <w:t>This edition further embeds the Coordination Principles introduced last year, strengthening collaboration across agencies and helping ensure regulatory activity is streamlined, proportionate and targeted. These improvements support a more efficient regulatory environment and allow both regulators and industry to focus their resources where they will make the biggest difference.</w:t>
      </w:r>
    </w:p>
    <w:p w14:paraId="1A48A02E" w14:textId="77777777" w:rsidR="00E705BD" w:rsidRDefault="00E705BD" w:rsidP="00E705BD">
      <w:r>
        <w:t>I would like to thank industry and stakeholders for their constructive engagement in shaping and supporting the operation of the RIG.</w:t>
      </w:r>
    </w:p>
    <w:p w14:paraId="53D43E5B" w14:textId="19146C38" w:rsidR="00D46213" w:rsidRDefault="00E705BD" w:rsidP="007D0A80">
      <w:r>
        <w:t>Better regulation is a long</w:t>
      </w:r>
      <w:r w:rsidR="009E7CA0">
        <w:noBreakHyphen/>
      </w:r>
      <w:r>
        <w:t>term commitment, and the Government will continue working with the sector as the RIG evolves and contributes to a more productive and resilient economy.</w:t>
      </w:r>
    </w:p>
    <w:p w14:paraId="290293DC" w14:textId="1985B5C1" w:rsidR="00E705BD" w:rsidRDefault="00670BC6" w:rsidP="007D0A80">
      <w:r>
        <w:rPr>
          <w:noProof/>
        </w:rPr>
        <w:drawing>
          <wp:inline distT="0" distB="0" distL="0" distR="0" wp14:anchorId="399A6DF7" wp14:editId="1D0274B5">
            <wp:extent cx="2016125" cy="614680"/>
            <wp:effectExtent l="0" t="0" r="3175" b="0"/>
            <wp:docPr id="1949292043" name="Picture 1949292043" descr="Signature of The Hon Dr Jim Chalmers M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92043" name="Picture 1949292043" descr="Signature of The Hon Dr Jim Chalmers MP">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6125" cy="614680"/>
                    </a:xfrm>
                    <a:prstGeom prst="rect">
                      <a:avLst/>
                    </a:prstGeom>
                  </pic:spPr>
                </pic:pic>
              </a:graphicData>
            </a:graphic>
          </wp:inline>
        </w:drawing>
      </w:r>
    </w:p>
    <w:p w14:paraId="3FB7C7D1" w14:textId="5B3E445F" w:rsidR="00E0372F" w:rsidRPr="00710C01" w:rsidRDefault="00E0372F" w:rsidP="00E0372F">
      <w:pPr>
        <w:rPr>
          <w:b/>
          <w:bCs/>
        </w:rPr>
      </w:pPr>
      <w:r>
        <w:rPr>
          <w:b/>
          <w:bCs/>
        </w:rPr>
        <w:t>The Hon Dr Jim Chalmers MP</w:t>
      </w:r>
    </w:p>
    <w:p w14:paraId="0879799E" w14:textId="77777777" w:rsidR="00E0372F" w:rsidRDefault="00E0372F" w:rsidP="00E0372F">
      <w:r>
        <w:t xml:space="preserve">Treasurer </w:t>
      </w:r>
    </w:p>
    <w:p w14:paraId="0B633F76" w14:textId="2DBEB817" w:rsidR="00ED5A20" w:rsidRDefault="00ED5A20" w:rsidP="00A343D5">
      <w:pPr>
        <w:sectPr w:rsidR="00ED5A20" w:rsidSect="00670BC6">
          <w:headerReference w:type="even" r:id="rId18"/>
          <w:headerReference w:type="default" r:id="rId19"/>
          <w:footerReference w:type="even" r:id="rId20"/>
          <w:headerReference w:type="first" r:id="rId21"/>
          <w:footerReference w:type="first" r:id="rId22"/>
          <w:pgSz w:w="16838" w:h="11906" w:orient="landscape" w:code="9"/>
          <w:pgMar w:top="1843" w:right="1418" w:bottom="1021" w:left="1418" w:header="709" w:footer="397" w:gutter="0"/>
          <w:pgNumType w:start="1"/>
          <w:cols w:num="2" w:space="1755" w:equalWidth="0">
            <w:col w:w="3175" w:space="1755"/>
            <w:col w:w="9072"/>
          </w:cols>
          <w:docGrid w:linePitch="360"/>
        </w:sectPr>
      </w:pPr>
    </w:p>
    <w:p w14:paraId="41E3358A" w14:textId="02AB4343" w:rsidR="00C11026" w:rsidRDefault="00A26577" w:rsidP="006C59EF">
      <w:pPr>
        <w:pStyle w:val="Heading1"/>
        <w:spacing w:before="0"/>
      </w:pPr>
      <w:bookmarkStart w:id="9" w:name="_Toc209785806"/>
      <w:r w:rsidRPr="006C59EF">
        <w:lastRenderedPageBreak/>
        <w:t>Snapshot</w:t>
      </w:r>
      <w:r>
        <w:t xml:space="preserve"> of regulatory initiatives</w:t>
      </w:r>
      <w:bookmarkEnd w:id="9"/>
      <w:r w:rsidR="003E163D">
        <w:t xml:space="preserve"> </w:t>
      </w:r>
    </w:p>
    <w:p w14:paraId="07ABCF35" w14:textId="17130CC6" w:rsidR="003E163D" w:rsidRPr="003E163D" w:rsidRDefault="003E163D" w:rsidP="003E163D">
      <w:pPr>
        <w:pStyle w:val="ChartGraphic"/>
      </w:pPr>
      <w:r>
        <w:rPr>
          <w:noProof/>
        </w:rPr>
        <w:drawing>
          <wp:inline distT="0" distB="0" distL="0" distR="0" wp14:anchorId="50DDC260" wp14:editId="46730740">
            <wp:extent cx="8857506" cy="5300482"/>
            <wp:effectExtent l="0" t="0" r="1270" b="0"/>
            <wp:docPr id="423208900" name="Picture 1" descr="89 total initiatives. Initiatives by category: Policy development: 11; Development of legislation, regulations and instruments: 34; Ongoing program implementation: 23; Review and evaluation: 21. 20 Initiatives with data collection. 24 Initiatives expected to involve consultation. Consultation timing: 18 initiatives in Q2 of 2026; 2 initiatives in Q3 2026, 4 initiatives in Q4 2026. Note: some initiatives involve more than one consultation. What percentage of initiatives is each agency involved in? TSY: 54%; ASIC: 15%; APRA: 12%; ACCC: 1%; RBA: 7%; ATO: 3%; Home Affairs: 6%; AFSA: 0%; AUSTRAC: 1%; Other: 1%. Note: some initiatives involve multipl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08900" name="Picture 1" descr="89 total initiatives. Initiatives by category: Policy development: 11; Development of legislation, regulations and instruments: 34; Ongoing program implementation: 23; Review and evaluation: 21. 20 Initiatives with data collection. 24 Initiatives expected to involve consultation. Consultation timing: 18 initiatives in Q2 of 2026; 2 initiatives in Q3 2026, 4 initiatives in Q4 2026. Note: some initiatives involve more than one consultation. What percentage of initiatives is each agency involved in? TSY: 54%; ASIC: 15%; APRA: 12%; ACCC: 1%; RBA: 7%; ATO: 3%; Home Affairs: 6%; AFSA: 0%; AUSTRAC: 1%; Other: 1%. Note: some initiatives involve multiple agencie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57506" cy="5300482"/>
                    </a:xfrm>
                    <a:prstGeom prst="rect">
                      <a:avLst/>
                    </a:prstGeom>
                  </pic:spPr>
                </pic:pic>
              </a:graphicData>
            </a:graphic>
          </wp:inline>
        </w:drawing>
      </w:r>
    </w:p>
    <w:p w14:paraId="5FA46A13" w14:textId="08337EF5" w:rsidR="003F0624" w:rsidRDefault="003F020F" w:rsidP="00E91862">
      <w:pPr>
        <w:pStyle w:val="ChartGraphic"/>
        <w:jc w:val="left"/>
      </w:pPr>
      <w:r w:rsidRPr="003F020F">
        <w:rPr>
          <w:noProof/>
        </w:rPr>
        <w:lastRenderedPageBreak/>
        <w:drawing>
          <wp:inline distT="0" distB="0" distL="0" distR="0" wp14:anchorId="4E36BDF8" wp14:editId="78E25BD3">
            <wp:extent cx="8879290" cy="5014078"/>
            <wp:effectExtent l="0" t="0" r="0" b="0"/>
            <wp:docPr id="1319742596" name="Picture 1" descr="Initiatives in each sector. Number of initiatives that only impact each sector: All:15; Banking, Credit and Lending: 17; Financial advice: 2; Financial markets: 8;  Insurance and reinsurance: 7; Payment services and digital assets: 8; Superannuation and retirement income: 12; Collective management and investment management: 4;  Other: 0. Total number of initiatives by category in each sector. Sector: Banking, Credit and Lending. Initiatives by category: Policy development: 3; Development of legislation, regulations and instruments: 16; Ongoing program implementation: 5; Review and evaluation: 14. Sector: Financial advice. Initiatives by category: Policy development: 3: Development of legislation, regulations and instruments: 9; Ongoing program implementation: 4; Review and evaluation: 5. Sector: Financial markets. Initiatives by category: Policy development: 1; Development of legislation, regulations and instruments: 9; Ongoing program implementation: 9; Review and evaluation: 6. Sector: Insurance and reinsurance. Initiatives by category: Policy development: 2; Development of legislation, regulations and instruments: 10; Ongoing program implementation: 3; Review and evaluation: 9. Sector: Payment services and digital assets. Initiatives by category: Policy development: 1: Development of legislation, regulations and instruments: 13; Ongoing program implementation: 6; Review and evaluation: 6. Sector: Superannuation and retirement income. Initiatives by category: Policy development: 5; Development of legislation, regulations and instruments: 15; Ongoing program implementation: 9; Review and evaluation: 5. Sector: Collective management and investment management. Initiatives by category: Policy development: 2; Development of legislation, regulations and instruments: 8; Ongoing program implementation: 5; Review and evaluation: 6. Sector: Other. Initiatives by category: Development of legislation, regulations and instrumen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42596" name="Picture 1" descr="Initiatives in each sector. Number of initiatives that only impact each sector: All:15; Banking, Credit and Lending: 17; Financial advice: 2; Financial markets: 8;  Insurance and reinsurance: 7; Payment services and digital assets: 8; Superannuation and retirement income: 12; Collective management and investment management: 4;  Other: 0. Total number of initiatives by category in each sector. Sector: Banking, Credit and Lending. Initiatives by category: Policy development: 3; Development of legislation, regulations and instruments: 16; Ongoing program implementation: 5; Review and evaluation: 14. Sector: Financial advice. Initiatives by category: Policy development: 3: Development of legislation, regulations and instruments: 9; Ongoing program implementation: 4; Review and evaluation: 5. Sector: Financial markets. Initiatives by category: Policy development: 1; Development of legislation, regulations and instruments: 9; Ongoing program implementation: 9; Review and evaluation: 6. Sector: Insurance and reinsurance. Initiatives by category: Policy development: 2; Development of legislation, regulations and instruments: 10; Ongoing program implementation: 3; Review and evaluation: 9. Sector: Payment services and digital assets. Initiatives by category: Policy development: 1: Development of legislation, regulations and instruments: 13; Ongoing program implementation: 6; Review and evaluation: 6. Sector: Superannuation and retirement income. Initiatives by category: Policy development: 5; Development of legislation, regulations and instruments: 15; Ongoing program implementation: 9; Review and evaluation: 5. Sector: Collective management and investment management. Initiatives by category: Policy development: 2; Development of legislation, regulations and instruments: 8; Ongoing program implementation: 5; Review and evaluation: 6. Sector: Other. Initiatives by category: Development of legislation, regulations and instrument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79290" cy="5014078"/>
                    </a:xfrm>
                    <a:prstGeom prst="rect">
                      <a:avLst/>
                    </a:prstGeom>
                  </pic:spPr>
                </pic:pic>
              </a:graphicData>
            </a:graphic>
          </wp:inline>
        </w:drawing>
      </w:r>
    </w:p>
    <w:p w14:paraId="2D9ADDB3" w14:textId="0FDC48AC" w:rsidR="00825CBB" w:rsidRPr="006C59EF" w:rsidRDefault="00825CBB" w:rsidP="006C59EF"/>
    <w:p w14:paraId="4BC9833B" w14:textId="77777777" w:rsidR="003F0624" w:rsidRPr="0069353D" w:rsidRDefault="003F0624" w:rsidP="0086668B">
      <w:pPr>
        <w:pStyle w:val="ChartGraphic"/>
        <w:jc w:val="left"/>
        <w:rPr>
          <w:sz w:val="24"/>
          <w:szCs w:val="24"/>
        </w:rPr>
        <w:sectPr w:rsidR="003F0624" w:rsidRPr="0069353D" w:rsidSect="0000027C">
          <w:headerReference w:type="even" r:id="rId25"/>
          <w:headerReference w:type="default" r:id="rId26"/>
          <w:footerReference w:type="even" r:id="rId27"/>
          <w:footerReference w:type="default" r:id="rId28"/>
          <w:headerReference w:type="first" r:id="rId29"/>
          <w:footerReference w:type="first" r:id="rId30"/>
          <w:pgSz w:w="16838" w:h="11906" w:orient="landscape" w:code="9"/>
          <w:pgMar w:top="1843" w:right="1418" w:bottom="1021" w:left="1418" w:header="709" w:footer="397" w:gutter="0"/>
          <w:cols w:space="708"/>
          <w:docGrid w:linePitch="360"/>
        </w:sectPr>
      </w:pPr>
      <w:bookmarkStart w:id="10" w:name="_Toc172625999"/>
      <w:bookmarkStart w:id="11" w:name="_Toc1843991616"/>
      <w:bookmarkStart w:id="12" w:name="_Toc173243833"/>
    </w:p>
    <w:p w14:paraId="7C24C084" w14:textId="7159F01A" w:rsidR="00FD557E" w:rsidRDefault="00FD557E" w:rsidP="00E0372F">
      <w:pPr>
        <w:pStyle w:val="Heading1"/>
        <w:spacing w:before="0"/>
      </w:pPr>
      <w:bookmarkStart w:id="13" w:name="_Toc209785807"/>
      <w:bookmarkEnd w:id="10"/>
      <w:bookmarkEnd w:id="11"/>
      <w:bookmarkEnd w:id="12"/>
      <w:r>
        <w:lastRenderedPageBreak/>
        <w:t>Introduction</w:t>
      </w:r>
      <w:bookmarkEnd w:id="13"/>
    </w:p>
    <w:p w14:paraId="6222710A" w14:textId="0830E4CF" w:rsidR="00DE0D94" w:rsidRPr="0040457E" w:rsidRDefault="005E2AF9" w:rsidP="00C47A61">
      <w:bookmarkStart w:id="14" w:name="_Toc173243834"/>
      <w:r>
        <w:br w:type="column"/>
      </w:r>
      <w:r w:rsidR="00A70769">
        <w:rPr>
          <w:rFonts w:eastAsia="Calibri Light" w:cs="Calibri Light"/>
        </w:rPr>
        <w:t>T</w:t>
      </w:r>
      <w:r w:rsidR="00C47A61" w:rsidRPr="00C47A61">
        <w:rPr>
          <w:rFonts w:eastAsia="Calibri Light" w:cs="Calibri Light"/>
        </w:rPr>
        <w:t>he Regulatory Initiatives Grid (RIG) reflects the Australian Government</w:t>
      </w:r>
      <w:r w:rsidR="009E7CA0">
        <w:rPr>
          <w:rFonts w:eastAsia="Calibri Light" w:cs="Calibri Light"/>
        </w:rPr>
        <w:t>’</w:t>
      </w:r>
      <w:r w:rsidR="00C47A61" w:rsidRPr="00C47A61">
        <w:rPr>
          <w:rFonts w:eastAsia="Calibri Light" w:cs="Calibri Light"/>
        </w:rPr>
        <w:t>s commitment to better regulation: reducing unnecessary burden, improving coordination among regulators, and strengthening the effectiveness of oversight in the financial sector.</w:t>
      </w:r>
      <w:r w:rsidR="002C75CD">
        <w:rPr>
          <w:rFonts w:eastAsia="Calibri Light" w:cs="Calibri Light"/>
        </w:rPr>
        <w:t xml:space="preserve"> This </w:t>
      </w:r>
      <w:r w:rsidR="00B31CB2">
        <w:rPr>
          <w:rFonts w:eastAsia="Calibri Light" w:cs="Calibri Light"/>
        </w:rPr>
        <w:t xml:space="preserve">edition </w:t>
      </w:r>
      <w:r w:rsidR="001F1386">
        <w:rPr>
          <w:rFonts w:eastAsia="Calibri Light" w:cs="Calibri Light"/>
        </w:rPr>
        <w:t xml:space="preserve">contains the </w:t>
      </w:r>
      <w:r w:rsidR="008B5744">
        <w:rPr>
          <w:rFonts w:eastAsia="Calibri Light" w:cs="Calibri Light"/>
        </w:rPr>
        <w:t>mid</w:t>
      </w:r>
      <w:r w:rsidR="009E7CA0">
        <w:rPr>
          <w:rFonts w:eastAsia="Calibri Light" w:cs="Calibri Light"/>
        </w:rPr>
        <w:noBreakHyphen/>
      </w:r>
      <w:r w:rsidR="008B5744">
        <w:rPr>
          <w:rFonts w:eastAsia="Calibri Light" w:cs="Calibri Light"/>
        </w:rPr>
        <w:t>year</w:t>
      </w:r>
      <w:r w:rsidR="002C75CD">
        <w:rPr>
          <w:rFonts w:eastAsia="Calibri Light" w:cs="Calibri Light"/>
        </w:rPr>
        <w:t xml:space="preserve"> update, providing </w:t>
      </w:r>
      <w:r w:rsidR="006C792F">
        <w:rPr>
          <w:rFonts w:eastAsia="Calibri Light" w:cs="Calibri Light"/>
        </w:rPr>
        <w:t>details about initiatives and milestones</w:t>
      </w:r>
      <w:r w:rsidR="00627F1C">
        <w:rPr>
          <w:rFonts w:eastAsia="Calibri Light" w:cs="Calibri Light"/>
        </w:rPr>
        <w:t xml:space="preserve"> since</w:t>
      </w:r>
      <w:r w:rsidR="00801279">
        <w:rPr>
          <w:rFonts w:eastAsia="Calibri Light" w:cs="Calibri Light"/>
        </w:rPr>
        <w:t xml:space="preserve"> September</w:t>
      </w:r>
      <w:r w:rsidR="00D628F2">
        <w:rPr>
          <w:rFonts w:eastAsia="Calibri Light" w:cs="Calibri Light"/>
        </w:rPr>
        <w:t xml:space="preserve"> 2025</w:t>
      </w:r>
      <w:r w:rsidR="006C792F">
        <w:rPr>
          <w:rFonts w:eastAsia="Calibri Light" w:cs="Calibri Light"/>
        </w:rPr>
        <w:t xml:space="preserve">. The September version </w:t>
      </w:r>
      <w:r w:rsidR="002B1646">
        <w:rPr>
          <w:rFonts w:eastAsia="Calibri Light" w:cs="Calibri Light"/>
        </w:rPr>
        <w:t>is</w:t>
      </w:r>
      <w:r w:rsidR="00A84D78">
        <w:rPr>
          <w:rFonts w:eastAsia="Calibri Light" w:cs="Calibri Light"/>
        </w:rPr>
        <w:t xml:space="preserve"> the substantial update, with more developments on data harmonisation and streamlining to be included. </w:t>
      </w:r>
    </w:p>
    <w:p w14:paraId="0CDF54BC" w14:textId="1A93D493" w:rsidR="00C47A61" w:rsidRPr="00C47A61" w:rsidRDefault="00C47A61" w:rsidP="00C47A61">
      <w:pPr>
        <w:rPr>
          <w:rFonts w:eastAsia="Calibri Light" w:cs="Calibri Light"/>
        </w:rPr>
      </w:pPr>
      <w:r w:rsidRPr="00C47A61">
        <w:rPr>
          <w:rFonts w:eastAsia="Calibri Light" w:cs="Calibri Light"/>
        </w:rPr>
        <w:t>The RIG is an important part of the Government</w:t>
      </w:r>
      <w:r w:rsidR="009E7CA0">
        <w:rPr>
          <w:rFonts w:eastAsia="Calibri Light" w:cs="Calibri Light"/>
        </w:rPr>
        <w:t>’</w:t>
      </w:r>
      <w:r w:rsidRPr="00C47A61">
        <w:rPr>
          <w:rFonts w:eastAsia="Calibri Light" w:cs="Calibri Light"/>
        </w:rPr>
        <w:t>s agenda to support productivity and competition. By providing a clear and consolidated view of upcoming regulatory initiatives, it enables more effective engagement between industry, government and regulators. This helps identify shared challenges and opportunities, and supports a more dynamic, resilient and inclusive economy.</w:t>
      </w:r>
    </w:p>
    <w:p w14:paraId="5DAC1778" w14:textId="77777777" w:rsidR="00C47A61" w:rsidRPr="00C47A61" w:rsidRDefault="00C47A61" w:rsidP="00C47A61">
      <w:pPr>
        <w:rPr>
          <w:rFonts w:eastAsia="Calibri Light" w:cs="Calibri Light"/>
        </w:rPr>
      </w:pPr>
      <w:r w:rsidRPr="00C47A61">
        <w:rPr>
          <w:rFonts w:eastAsia="Calibri Light" w:cs="Calibri Light"/>
        </w:rPr>
        <w:t>The RIG increases transparency of the reform priorities and regulatory initiatives likely to affect the financial sector over the next two years. This visibility assists businesses—particularly smaller firms—to plan with greater confidence and to engage with regulatory processes in a more targeted and timely way.</w:t>
      </w:r>
    </w:p>
    <w:p w14:paraId="2E0D2F3C" w14:textId="1B7CFFF4" w:rsidR="00C47A61" w:rsidRPr="00C47A61" w:rsidRDefault="00C47A61" w:rsidP="00C47A61">
      <w:pPr>
        <w:rPr>
          <w:rFonts w:eastAsia="Calibri Light" w:cs="Calibri Light"/>
        </w:rPr>
      </w:pPr>
      <w:r w:rsidRPr="00C47A61">
        <w:rPr>
          <w:rFonts w:eastAsia="Calibri Light" w:cs="Calibri Light"/>
        </w:rPr>
        <w:t xml:space="preserve">The second edition </w:t>
      </w:r>
      <w:r w:rsidR="00C40B82">
        <w:rPr>
          <w:rFonts w:eastAsia="Calibri Light" w:cs="Calibri Light"/>
        </w:rPr>
        <w:t>of the RIG,</w:t>
      </w:r>
      <w:r w:rsidR="00900642">
        <w:rPr>
          <w:rFonts w:eastAsia="Calibri Light" w:cs="Calibri Light"/>
        </w:rPr>
        <w:t xml:space="preserve"> released in </w:t>
      </w:r>
      <w:r w:rsidR="00C40B82">
        <w:rPr>
          <w:rFonts w:eastAsia="Calibri Light" w:cs="Calibri Light"/>
        </w:rPr>
        <w:t xml:space="preserve">October 2025, </w:t>
      </w:r>
      <w:r w:rsidRPr="00C47A61">
        <w:rPr>
          <w:rFonts w:eastAsia="Calibri Light" w:cs="Calibri Light"/>
        </w:rPr>
        <w:t xml:space="preserve">introduced new Coordination Principles to strengthen collaboration among regulators. These principles </w:t>
      </w:r>
      <w:r w:rsidR="003913E0">
        <w:rPr>
          <w:rFonts w:eastAsia="Calibri Light" w:cs="Calibri Light"/>
        </w:rPr>
        <w:t xml:space="preserve">are intended to </w:t>
      </w:r>
      <w:r w:rsidRPr="00C47A61">
        <w:rPr>
          <w:rFonts w:eastAsia="Calibri Light" w:cs="Calibri Light"/>
        </w:rPr>
        <w:t>help streamline regulatory processes, reduce duplication and avoid unnecessary burden on industry, while ensuring regulatory objectives continue to be met.</w:t>
      </w:r>
    </w:p>
    <w:p w14:paraId="6497E45C" w14:textId="4C428C4E" w:rsidR="008F1A77" w:rsidRPr="008F1A77" w:rsidRDefault="008F1A77" w:rsidP="008F1A77">
      <w:r w:rsidRPr="008F1A77">
        <w:t xml:space="preserve">This </w:t>
      </w:r>
      <w:r w:rsidR="009403B8">
        <w:t>mid</w:t>
      </w:r>
      <w:r w:rsidR="009E7CA0">
        <w:noBreakHyphen/>
      </w:r>
      <w:r w:rsidR="009403B8">
        <w:t>year update</w:t>
      </w:r>
      <w:r w:rsidRPr="008F1A77">
        <w:t xml:space="preserve"> of the RIG </w:t>
      </w:r>
      <w:r w:rsidR="0003521A">
        <w:t>continues</w:t>
      </w:r>
      <w:r w:rsidRPr="008F1A77">
        <w:t xml:space="preserve"> the Government</w:t>
      </w:r>
      <w:r w:rsidR="009E7CA0">
        <w:t>’</w:t>
      </w:r>
      <w:r w:rsidRPr="008F1A77">
        <w:t>s focus on better regulation</w:t>
      </w:r>
      <w:r w:rsidR="00634A1D">
        <w:t xml:space="preserve">, </w:t>
      </w:r>
      <w:r w:rsidR="00FB3CFD">
        <w:t xml:space="preserve">including </w:t>
      </w:r>
      <w:r w:rsidR="00030287">
        <w:t xml:space="preserve">through </w:t>
      </w:r>
      <w:r w:rsidR="00634A1D">
        <w:t xml:space="preserve">working </w:t>
      </w:r>
      <w:r w:rsidR="00CA576F">
        <w:t>to</w:t>
      </w:r>
      <w:r w:rsidR="00853A80">
        <w:t xml:space="preserve"> embed</w:t>
      </w:r>
      <w:r w:rsidRPr="008F1A77">
        <w:t xml:space="preserve"> the Coordination Principles</w:t>
      </w:r>
      <w:r w:rsidR="00861108">
        <w:t xml:space="preserve"> </w:t>
      </w:r>
      <w:r w:rsidR="00DB708F">
        <w:t>to</w:t>
      </w:r>
      <w:r w:rsidRPr="008F1A77">
        <w:t xml:space="preserve"> support a more consistent, system</w:t>
      </w:r>
      <w:r w:rsidR="009E7CA0">
        <w:noBreakHyphen/>
      </w:r>
      <w:r w:rsidRPr="008F1A77">
        <w:t>wide approach to regulatory oversight.</w:t>
      </w:r>
    </w:p>
    <w:p w14:paraId="7BB0944E" w14:textId="503FBD69" w:rsidR="0019155C" w:rsidRDefault="00BD0FD8" w:rsidP="00BD0FD8">
      <w:r>
        <w:br w:type="page"/>
      </w:r>
    </w:p>
    <w:p w14:paraId="5E1CFCEA" w14:textId="536C13F9" w:rsidR="002D494D" w:rsidRDefault="005C5F7C" w:rsidP="002D494D">
      <w:pPr>
        <w:pStyle w:val="Heading1"/>
      </w:pPr>
      <w:bookmarkStart w:id="15" w:name="_Toc209785808"/>
      <w:r>
        <w:lastRenderedPageBreak/>
        <w:t>Supporting improved regulatory c</w:t>
      </w:r>
      <w:r w:rsidR="002D494D">
        <w:t>oordination</w:t>
      </w:r>
      <w:bookmarkEnd w:id="15"/>
    </w:p>
    <w:p w14:paraId="45EB63AD" w14:textId="0FC52B51" w:rsidR="00DF5EAA" w:rsidRPr="00DF5EAA" w:rsidRDefault="002D494D" w:rsidP="00DF5EAA">
      <w:r>
        <w:br w:type="column"/>
      </w:r>
      <w:r w:rsidR="00DF5EAA" w:rsidRPr="00DF5EAA">
        <w:t>Following the Economic Reform Roundtable, the Treasurer asked the Council of Financial Regulators (CFR) agencies</w:t>
      </w:r>
      <w:r w:rsidR="00911478">
        <w:t>, in collaboration with the ACCC, AFSA, the ATO and AUSTRAC (collectively known as CFR Plus)</w:t>
      </w:r>
      <w:r w:rsidR="00DF5EAA" w:rsidRPr="00DF5EAA">
        <w:t xml:space="preserve"> to deepen their work on better regulation, particularly in improving coordination across the financial sector. In response, the CFR</w:t>
      </w:r>
      <w:r w:rsidR="00911478">
        <w:t xml:space="preserve"> Plus</w:t>
      </w:r>
      <w:r w:rsidR="00DF5EAA" w:rsidRPr="00DF5EAA">
        <w:t xml:space="preserve"> has been progressing a structured program of work aimed at reducing unnecessary regulatory burden, improving the sequencing of initiatives, and identifying opportunities to streamline and harmonise data collection and data sharing.</w:t>
      </w:r>
    </w:p>
    <w:p w14:paraId="725BBBBC" w14:textId="3DC790F0" w:rsidR="00DF5EAA" w:rsidRPr="00DF5EAA" w:rsidRDefault="00DF5EAA" w:rsidP="00DF5EAA">
      <w:r w:rsidRPr="00DF5EAA">
        <w:t xml:space="preserve">The Coordination Principles support this work by providing a shared framework for planning and engagement across agencies. </w:t>
      </w:r>
      <w:r w:rsidR="00AB0884">
        <w:t>They</w:t>
      </w:r>
      <w:r w:rsidR="00E330B2">
        <w:t xml:space="preserve"> </w:t>
      </w:r>
      <w:r w:rsidRPr="00DF5EAA">
        <w:t xml:space="preserve">help ensure regulatory activity </w:t>
      </w:r>
      <w:r w:rsidR="00A33153">
        <w:t>are</w:t>
      </w:r>
      <w:r w:rsidRPr="00DF5EAA">
        <w:t xml:space="preserve"> efficient, transparent and proportionate to risk, while maintaining essential protections for consumers and supporting financial system stability.</w:t>
      </w:r>
    </w:p>
    <w:p w14:paraId="443E1DF9" w14:textId="45F42D0F" w:rsidR="00DF5EAA" w:rsidRPr="00DF5EAA" w:rsidRDefault="00DF5EAA" w:rsidP="00DF5EAA">
      <w:r w:rsidRPr="00DF5EAA">
        <w:t>The Principles are designed to balanc</w:t>
      </w:r>
      <w:r w:rsidR="00A50800">
        <w:t>e</w:t>
      </w:r>
      <w:r w:rsidR="005E57E4">
        <w:t xml:space="preserve"> </w:t>
      </w:r>
      <w:r w:rsidRPr="00DF5EAA">
        <w:t>the need for timely regulatory progress with industry</w:t>
      </w:r>
      <w:r w:rsidR="009E7CA0">
        <w:t>’</w:t>
      </w:r>
      <w:r w:rsidRPr="00DF5EAA">
        <w:t xml:space="preserve">s capacity to engage and implement changes. This helps </w:t>
      </w:r>
      <w:r w:rsidR="00C91BB2">
        <w:t>reduce</w:t>
      </w:r>
      <w:r w:rsidR="00C91BB2" w:rsidRPr="00DF5EAA">
        <w:t xml:space="preserve"> </w:t>
      </w:r>
      <w:r w:rsidRPr="00DF5EAA">
        <w:t>avoidable peaks in consultation or data requests, while preserving regulators</w:t>
      </w:r>
      <w:r w:rsidR="009E7CA0">
        <w:t>’</w:t>
      </w:r>
      <w:r w:rsidRPr="00DF5EAA">
        <w:t xml:space="preserve"> ability to act quickly on issues that require urgent attention—particularly matters related to market stability, systemic risk or broader government priorities.</w:t>
      </w:r>
    </w:p>
    <w:p w14:paraId="205FE4AC" w14:textId="0CDB4964" w:rsidR="1953C9F2" w:rsidRDefault="00DF73F9" w:rsidP="5188894F">
      <w:r>
        <w:br w:type="column"/>
      </w:r>
      <w:r>
        <w:lastRenderedPageBreak/>
        <w:br w:type="column"/>
      </w:r>
      <w:r w:rsidR="1953C9F2">
        <w:t xml:space="preserve">The second edition of the RIG </w:t>
      </w:r>
      <w:r w:rsidR="00A51E90">
        <w:t xml:space="preserve">set out </w:t>
      </w:r>
      <w:r w:rsidR="000F775C">
        <w:t xml:space="preserve">how the Coordination Principles </w:t>
      </w:r>
      <w:r w:rsidR="00D13307">
        <w:t xml:space="preserve">build on </w:t>
      </w:r>
      <w:r w:rsidR="1953C9F2">
        <w:t>existing coordination mechanisms</w:t>
      </w:r>
      <w:r w:rsidR="007D5225">
        <w:t xml:space="preserve">, </w:t>
      </w:r>
      <w:r w:rsidR="001A2840">
        <w:t>provid</w:t>
      </w:r>
      <w:r w:rsidR="00D13307">
        <w:t>ing</w:t>
      </w:r>
      <w:r w:rsidR="1953C9F2">
        <w:t xml:space="preserve"> specific examples of collaboration</w:t>
      </w:r>
      <w:r w:rsidR="006F5993">
        <w:t xml:space="preserve"> across regul</w:t>
      </w:r>
      <w:r w:rsidR="00A455E3">
        <w:t>a</w:t>
      </w:r>
      <w:r w:rsidR="006F5993">
        <w:t>tors</w:t>
      </w:r>
      <w:r w:rsidR="1953C9F2">
        <w:t xml:space="preserve">. </w:t>
      </w:r>
      <w:r w:rsidR="0091341F">
        <w:t>T</w:t>
      </w:r>
      <w:r w:rsidR="1953C9F2">
        <w:t xml:space="preserve">he </w:t>
      </w:r>
      <w:r w:rsidR="456BEA7D">
        <w:t xml:space="preserve">tasking by the Treasurer to the CFR </w:t>
      </w:r>
      <w:r w:rsidR="007E29C1">
        <w:t xml:space="preserve">Plus </w:t>
      </w:r>
      <w:r w:rsidR="00713103">
        <w:t xml:space="preserve">works to </w:t>
      </w:r>
      <w:r w:rsidR="009651CC">
        <w:t xml:space="preserve">embed </w:t>
      </w:r>
      <w:r w:rsidR="00713103">
        <w:t xml:space="preserve">further </w:t>
      </w:r>
      <w:r w:rsidR="0091341F">
        <w:t>the</w:t>
      </w:r>
      <w:r w:rsidR="00F04C90">
        <w:t xml:space="preserve"> Coordination Principles </w:t>
      </w:r>
      <w:r w:rsidR="00E70841">
        <w:t xml:space="preserve">as </w:t>
      </w:r>
      <w:r w:rsidR="00045223">
        <w:t>is evidenced by</w:t>
      </w:r>
      <w:r w:rsidR="456BEA7D">
        <w:t xml:space="preserve"> the joint publication of the CFR Better Regulation Roadmap on the CFR website. The roadmap outlines three streams of work which includes: </w:t>
      </w:r>
    </w:p>
    <w:p w14:paraId="36037411" w14:textId="6A161F3E" w:rsidR="00321529" w:rsidRPr="002916EC" w:rsidRDefault="00CE1F64" w:rsidP="002916EC">
      <w:pPr>
        <w:pStyle w:val="OutlineNumbered1"/>
        <w:rPr>
          <w:rStyle w:val="Strong"/>
        </w:rPr>
      </w:pPr>
      <w:r w:rsidRPr="002916EC">
        <w:rPr>
          <w:rStyle w:val="Strong"/>
        </w:rPr>
        <w:t>Implementing regulatory reform commitments</w:t>
      </w:r>
      <w:r w:rsidR="00613B9D" w:rsidRPr="002916EC">
        <w:rPr>
          <w:rStyle w:val="Strong"/>
        </w:rPr>
        <w:t xml:space="preserve">. </w:t>
      </w:r>
    </w:p>
    <w:p w14:paraId="26105E36" w14:textId="5D919B66" w:rsidR="00CE1F64" w:rsidRDefault="00137AD9">
      <w:r w:rsidRPr="00137AD9">
        <w:t>CFR Plus has published an implementation plan covering more than 50 commitments made at the 2025 Economic Reform Roundtable. While individually incremental, these commitments—spanning simplification, removal of duplication, digital enablement and improved regulatory engagement—are expected to collectively deliver meaningful regulatory efficiency gains. Agencies are coordinating sequencing and implementation to minimise cumulative impacts on industry.</w:t>
      </w:r>
    </w:p>
    <w:p w14:paraId="0D8EAED1" w14:textId="2FE69EE6" w:rsidR="00137AD9" w:rsidRPr="002916EC" w:rsidRDefault="00137AD9" w:rsidP="002916EC">
      <w:pPr>
        <w:pStyle w:val="OutlineNumbered1"/>
        <w:rPr>
          <w:rStyle w:val="Strong"/>
        </w:rPr>
      </w:pPr>
      <w:r w:rsidRPr="002916EC">
        <w:rPr>
          <w:rStyle w:val="Strong"/>
        </w:rPr>
        <w:t>Streamlining data collection and sharing</w:t>
      </w:r>
    </w:p>
    <w:p w14:paraId="7C9BB699" w14:textId="054647F4" w:rsidR="00D07E7C" w:rsidRDefault="00D07E7C">
      <w:r>
        <w:t xml:space="preserve">CFR Plus is undertaking joint work to streamline and harmonise data collections across regulators. </w:t>
      </w:r>
      <w:r w:rsidR="006216A0">
        <w:t xml:space="preserve">In December 2025, APRA and ASIC conducted industry engagements and </w:t>
      </w:r>
      <w:r w:rsidR="00475678">
        <w:t xml:space="preserve">select </w:t>
      </w:r>
      <w:r w:rsidR="006216A0">
        <w:t>sector</w:t>
      </w:r>
      <w:r w:rsidR="009E7CA0">
        <w:noBreakHyphen/>
      </w:r>
      <w:r w:rsidR="006216A0">
        <w:t>specific deep dives to better understand duplication in reporting and to test opportunities for enhanced cross</w:t>
      </w:r>
      <w:r w:rsidR="009E7CA0">
        <w:noBreakHyphen/>
      </w:r>
      <w:r w:rsidR="006216A0">
        <w:t xml:space="preserve">agency data sharing. This work is being further developed in 2026, with the objective of making data reporting more efficient, transparent and coordinated. </w:t>
      </w:r>
    </w:p>
    <w:p w14:paraId="75818F82" w14:textId="3C36BB5C" w:rsidR="006216A0" w:rsidRPr="002916EC" w:rsidRDefault="006216A0" w:rsidP="002916EC">
      <w:pPr>
        <w:pStyle w:val="OutlineNumbered1"/>
        <w:rPr>
          <w:rStyle w:val="Strong"/>
        </w:rPr>
      </w:pPr>
      <w:r w:rsidRPr="002916EC">
        <w:rPr>
          <w:rStyle w:val="Strong"/>
        </w:rPr>
        <w:t>Identifying priority legislative reforms</w:t>
      </w:r>
    </w:p>
    <w:p w14:paraId="4370B2B4" w14:textId="1C5966C2" w:rsidR="00DA4A43" w:rsidRDefault="00DA4A43">
      <w:r w:rsidRPr="00DA4A43">
        <w:t>Agencies are jointly analysing stakeholder feedback on legislative changes that could improve regulatory outcomes, including submissions received ahead of the Economic Reform Roundtable. This coordinated prioritisation process will support the Government in determining reform options that improve efficiency without compromising key regulatory objectives.</w:t>
      </w:r>
    </w:p>
    <w:p w14:paraId="23385B91" w14:textId="7EC041F1" w:rsidR="00516A40" w:rsidRDefault="00533EEE" w:rsidP="008E3E11">
      <w:pPr>
        <w:pStyle w:val="Heading2"/>
      </w:pPr>
      <w:bookmarkStart w:id="16" w:name="_Toc176175984"/>
      <w:bookmarkStart w:id="17" w:name="_Toc183095605"/>
      <w:bookmarkStart w:id="18" w:name="_Toc209785809"/>
      <w:bookmarkEnd w:id="14"/>
      <w:r>
        <w:br w:type="column"/>
      </w:r>
      <w:r>
        <w:lastRenderedPageBreak/>
        <w:br w:type="column"/>
      </w:r>
      <w:r w:rsidR="00516A40">
        <w:t>Sectors</w:t>
      </w:r>
      <w:bookmarkEnd w:id="16"/>
      <w:bookmarkEnd w:id="17"/>
      <w:bookmarkEnd w:id="18"/>
    </w:p>
    <w:p w14:paraId="6954B7BF" w14:textId="3E502215" w:rsidR="005F2B94" w:rsidRPr="00E90DC9" w:rsidRDefault="0013023B" w:rsidP="00CC277D">
      <w:r>
        <w:t>The</w:t>
      </w:r>
      <w:r w:rsidR="00506C1B">
        <w:t xml:space="preserve"> RIG</w:t>
      </w:r>
      <w:r>
        <w:t xml:space="preserve"> divides the </w:t>
      </w:r>
      <w:r w:rsidR="00030EFF">
        <w:t xml:space="preserve">financial </w:t>
      </w:r>
      <w:r w:rsidR="005B6F4A">
        <w:t>system</w:t>
      </w:r>
      <w:r w:rsidR="00D30008">
        <w:t xml:space="preserve"> into</w:t>
      </w:r>
      <w:r>
        <w:t xml:space="preserve"> 8</w:t>
      </w:r>
      <w:r w:rsidR="007C7B75">
        <w:t xml:space="preserve"> </w:t>
      </w:r>
      <w:r w:rsidR="00506C1B">
        <w:t>sectors</w:t>
      </w:r>
      <w:r w:rsidR="0062101B">
        <w:t>:</w:t>
      </w:r>
    </w:p>
    <w:p w14:paraId="26C5C144" w14:textId="77777777" w:rsidR="000648D8" w:rsidRPr="003D486F" w:rsidRDefault="000648D8" w:rsidP="003D486F">
      <w:pPr>
        <w:pStyle w:val="Bullet"/>
      </w:pPr>
      <w:r w:rsidRPr="003D486F">
        <w:t>B</w:t>
      </w:r>
      <w:bookmarkStart w:id="19" w:name="_Hlk174713691"/>
      <w:r w:rsidRPr="003D486F">
        <w:t>anking, credit and lending</w:t>
      </w:r>
    </w:p>
    <w:p w14:paraId="0B9404C7" w14:textId="02DB250D" w:rsidR="000648D8" w:rsidRPr="003D486F" w:rsidRDefault="000648D8" w:rsidP="003D486F">
      <w:pPr>
        <w:pStyle w:val="Bullet"/>
      </w:pPr>
      <w:r w:rsidRPr="003D486F">
        <w:t>Collective management and investment management</w:t>
      </w:r>
    </w:p>
    <w:p w14:paraId="48880D2D" w14:textId="26FD3244" w:rsidR="000648D8" w:rsidRPr="003D486F" w:rsidRDefault="000648D8" w:rsidP="003D486F">
      <w:pPr>
        <w:pStyle w:val="Bullet"/>
      </w:pPr>
      <w:r w:rsidRPr="003D486F">
        <w:t>Financial advice</w:t>
      </w:r>
    </w:p>
    <w:p w14:paraId="266E4ABF" w14:textId="77777777" w:rsidR="000648D8" w:rsidRPr="003D486F" w:rsidRDefault="000648D8" w:rsidP="003D486F">
      <w:pPr>
        <w:pStyle w:val="Bullet"/>
      </w:pPr>
      <w:r w:rsidRPr="003D486F">
        <w:t>Financial markets</w:t>
      </w:r>
    </w:p>
    <w:p w14:paraId="70363B3B" w14:textId="77777777" w:rsidR="000648D8" w:rsidRPr="003D486F" w:rsidRDefault="000648D8" w:rsidP="003D486F">
      <w:pPr>
        <w:pStyle w:val="Bullet"/>
      </w:pPr>
      <w:r w:rsidRPr="003D486F">
        <w:t>Insurance and reinsurance</w:t>
      </w:r>
    </w:p>
    <w:p w14:paraId="6B8B28F6" w14:textId="77777777" w:rsidR="000648D8" w:rsidRPr="003D486F" w:rsidRDefault="000648D8" w:rsidP="003D486F">
      <w:pPr>
        <w:pStyle w:val="Bullet"/>
      </w:pPr>
      <w:r w:rsidRPr="003D486F">
        <w:t>Payment services and digital assets</w:t>
      </w:r>
    </w:p>
    <w:p w14:paraId="54AF602C" w14:textId="0761BDBA" w:rsidR="000648D8" w:rsidRPr="003D486F" w:rsidRDefault="000648D8" w:rsidP="003D486F">
      <w:pPr>
        <w:pStyle w:val="Bullet"/>
      </w:pPr>
      <w:r w:rsidRPr="003D486F">
        <w:t>Superannuation and retirement income</w:t>
      </w:r>
    </w:p>
    <w:p w14:paraId="67096D18" w14:textId="390E0450" w:rsidR="000648D8" w:rsidRPr="003D486F" w:rsidRDefault="000648D8" w:rsidP="003D486F">
      <w:pPr>
        <w:pStyle w:val="Bullet"/>
      </w:pPr>
      <w:r w:rsidRPr="003D486F">
        <w:t>Other</w:t>
      </w:r>
    </w:p>
    <w:p w14:paraId="3CA2153B" w14:textId="76850466" w:rsidR="00437CE6" w:rsidRPr="00500284" w:rsidRDefault="00437CE6" w:rsidP="00437CE6">
      <w:pPr>
        <w:pStyle w:val="Heading2"/>
      </w:pPr>
      <w:bookmarkStart w:id="20" w:name="_Toc209785810"/>
      <w:r w:rsidRPr="00500284">
        <w:t>Categories</w:t>
      </w:r>
      <w:bookmarkEnd w:id="20"/>
    </w:p>
    <w:p w14:paraId="519F8D90" w14:textId="2703E8E5" w:rsidR="00437CE6" w:rsidRPr="00500284" w:rsidRDefault="00664D4F" w:rsidP="00CC277D">
      <w:r>
        <w:t>The RIG divides i</w:t>
      </w:r>
      <w:r w:rsidR="00041100">
        <w:t>nitiatives</w:t>
      </w:r>
      <w:r w:rsidR="008D6E32" w:rsidRPr="00500284" w:rsidDel="00664D4F">
        <w:t xml:space="preserve"> </w:t>
      </w:r>
      <w:r w:rsidR="008D6E32" w:rsidRPr="00500284">
        <w:t xml:space="preserve">into </w:t>
      </w:r>
      <w:r w:rsidR="003051A0">
        <w:t>4 </w:t>
      </w:r>
      <w:r w:rsidR="008D6E32" w:rsidRPr="00500284">
        <w:t xml:space="preserve">categories </w:t>
      </w:r>
      <w:r w:rsidR="001159E0">
        <w:t xml:space="preserve">that </w:t>
      </w:r>
      <w:r w:rsidR="005A091B">
        <w:t xml:space="preserve">reflect </w:t>
      </w:r>
      <w:r w:rsidR="008D6E32" w:rsidRPr="00500284" w:rsidDel="007C7B75">
        <w:t>policy lifecycle</w:t>
      </w:r>
      <w:r w:rsidR="001159E0">
        <w:t xml:space="preserve"> </w:t>
      </w:r>
      <w:r w:rsidR="005A091B">
        <w:t>phases</w:t>
      </w:r>
      <w:r w:rsidR="008D6E32" w:rsidRPr="00500284">
        <w:t>:</w:t>
      </w:r>
    </w:p>
    <w:p w14:paraId="12C62ACE" w14:textId="173F07E1" w:rsidR="008D6E32" w:rsidRPr="003D486F" w:rsidRDefault="00C4144E" w:rsidP="003D486F">
      <w:pPr>
        <w:pStyle w:val="Bullet"/>
      </w:pPr>
      <w:r w:rsidRPr="003D486F">
        <w:t xml:space="preserve">Policy </w:t>
      </w:r>
      <w:r w:rsidR="00556855" w:rsidRPr="003D486F">
        <w:t>d</w:t>
      </w:r>
      <w:r w:rsidRPr="003D486F">
        <w:t>evelopment</w:t>
      </w:r>
      <w:r w:rsidR="0000017B" w:rsidRPr="003D486F">
        <w:t>.</w:t>
      </w:r>
    </w:p>
    <w:p w14:paraId="17E7EA0D" w14:textId="21C2F837" w:rsidR="00C4144E" w:rsidRPr="003D486F" w:rsidRDefault="0089490A" w:rsidP="003D486F">
      <w:pPr>
        <w:pStyle w:val="Bullet"/>
      </w:pPr>
      <w:r w:rsidRPr="003D486F">
        <w:t xml:space="preserve">Development of </w:t>
      </w:r>
      <w:r w:rsidR="00556855" w:rsidRPr="003D486F">
        <w:t>l</w:t>
      </w:r>
      <w:r w:rsidRPr="003D486F">
        <w:t xml:space="preserve">egislation, </w:t>
      </w:r>
      <w:r w:rsidR="00556855" w:rsidRPr="003D486F">
        <w:t>r</w:t>
      </w:r>
      <w:r w:rsidRPr="003D486F">
        <w:t xml:space="preserve">egulations and </w:t>
      </w:r>
      <w:r w:rsidR="00556855" w:rsidRPr="003D486F">
        <w:t>i</w:t>
      </w:r>
      <w:r w:rsidRPr="003D486F">
        <w:t>nstruments</w:t>
      </w:r>
      <w:r w:rsidR="0000017B" w:rsidRPr="003D486F">
        <w:t>.</w:t>
      </w:r>
    </w:p>
    <w:p w14:paraId="5CE8E77B" w14:textId="28A5D357" w:rsidR="00AA55A8" w:rsidRPr="003D486F" w:rsidRDefault="00AA55A8" w:rsidP="003D486F">
      <w:pPr>
        <w:pStyle w:val="Bullet"/>
      </w:pPr>
      <w:r w:rsidRPr="003D486F">
        <w:t xml:space="preserve">Ongoing </w:t>
      </w:r>
      <w:r w:rsidR="00556855" w:rsidRPr="003D486F">
        <w:t>p</w:t>
      </w:r>
      <w:r w:rsidRPr="003D486F">
        <w:t xml:space="preserve">rogram </w:t>
      </w:r>
      <w:r w:rsidR="00556855" w:rsidRPr="003D486F">
        <w:t>i</w:t>
      </w:r>
      <w:r w:rsidRPr="003D486F">
        <w:t>mplementation</w:t>
      </w:r>
      <w:r w:rsidR="0000017B" w:rsidRPr="003D486F">
        <w:t>.</w:t>
      </w:r>
    </w:p>
    <w:p w14:paraId="6CABEB6E" w14:textId="64EE5CD9" w:rsidR="00744912" w:rsidRPr="003D486F" w:rsidRDefault="00744912" w:rsidP="003D486F">
      <w:pPr>
        <w:pStyle w:val="Bullet"/>
      </w:pPr>
      <w:r w:rsidRPr="003D486F">
        <w:t xml:space="preserve">Review and </w:t>
      </w:r>
      <w:r w:rsidR="00556855" w:rsidRPr="003D486F">
        <w:t>e</w:t>
      </w:r>
      <w:r w:rsidRPr="003D486F">
        <w:t>valuation</w:t>
      </w:r>
      <w:r w:rsidR="004922C6" w:rsidRPr="003D486F">
        <w:t>.</w:t>
      </w:r>
    </w:p>
    <w:p w14:paraId="167D1596" w14:textId="48241381" w:rsidR="00E46B8C" w:rsidRDefault="00FD557E" w:rsidP="00E46B8C">
      <w:pPr>
        <w:pStyle w:val="Heading2"/>
      </w:pPr>
      <w:bookmarkStart w:id="21" w:name="_Toc173243837"/>
      <w:bookmarkStart w:id="22" w:name="_Hlk171495044"/>
      <w:bookmarkEnd w:id="19"/>
      <w:r>
        <w:br w:type="column"/>
      </w:r>
      <w:r w:rsidR="001F7943">
        <w:lastRenderedPageBreak/>
        <w:br w:type="column"/>
      </w:r>
      <w:bookmarkStart w:id="23" w:name="_Toc173760504"/>
      <w:bookmarkStart w:id="24" w:name="_Toc176175985"/>
      <w:bookmarkStart w:id="25" w:name="_Toc209785811"/>
      <w:bookmarkEnd w:id="21"/>
      <w:r w:rsidR="00BE2EEA">
        <w:t xml:space="preserve">Contributing </w:t>
      </w:r>
      <w:bookmarkEnd w:id="23"/>
      <w:bookmarkEnd w:id="24"/>
      <w:r w:rsidR="00BE2EEA">
        <w:t>agencies</w:t>
      </w:r>
      <w:bookmarkEnd w:id="25"/>
      <w:r w:rsidR="00BE2EEA">
        <w:t xml:space="preserve"> </w:t>
      </w:r>
    </w:p>
    <w:p w14:paraId="11E5D4A4" w14:textId="45CAFCE6" w:rsidR="000F1B18" w:rsidRPr="000F1B18" w:rsidRDefault="000F1B18" w:rsidP="00E0372F">
      <w:pPr>
        <w:pStyle w:val="ChartGraphic"/>
      </w:pPr>
      <w:r w:rsidRPr="000F1B18">
        <w:rPr>
          <w:noProof/>
        </w:rPr>
        <w:drawing>
          <wp:inline distT="0" distB="0" distL="0" distR="0" wp14:anchorId="2712A335" wp14:editId="63772C73">
            <wp:extent cx="4875322" cy="3960000"/>
            <wp:effectExtent l="0" t="0" r="1905" b="2540"/>
            <wp:docPr id="711952282" name="Picture 711952282" descr="Logos of: the Treasury, Department of Home Affairs, Australian Transaction Reports and Analysis Centre (AUSTRAC), Australian Financial Security Authority (AFSA), Australian Taxation Office (ATO),  Australian Securities and Investments Commission (ASIC), Reserve Bank of Australia (RBA), Australian Prudential Regulation Authority (APRA), and Australian Competition and Consumer Commission (A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52282" name="Picture 711952282" descr="Logos of: the Treasury, Department of Home Affairs, Australian Transaction Reports and Analysis Centre (AUSTRAC), Australian Financial Security Authority (AFSA), Australian Taxation Office (ATO),  Australian Securities and Investments Commission (ASIC), Reserve Bank of Australia (RBA), Australian Prudential Regulation Authority (APRA), and Australian Competition and Consumer Commission (ACCC)."/>
                    <pic:cNvPicPr/>
                  </pic:nvPicPr>
                  <pic:blipFill>
                    <a:blip r:embed="rId31">
                      <a:extLst>
                        <a:ext uri="{28A0092B-C50C-407E-A947-70E740481C1C}">
                          <a14:useLocalDpi xmlns:a14="http://schemas.microsoft.com/office/drawing/2010/main" val="0"/>
                        </a:ext>
                      </a:extLst>
                    </a:blip>
                    <a:stretch>
                      <a:fillRect/>
                    </a:stretch>
                  </pic:blipFill>
                  <pic:spPr>
                    <a:xfrm>
                      <a:off x="0" y="0"/>
                      <a:ext cx="4875322" cy="3960000"/>
                    </a:xfrm>
                    <a:prstGeom prst="rect">
                      <a:avLst/>
                    </a:prstGeom>
                  </pic:spPr>
                </pic:pic>
              </a:graphicData>
            </a:graphic>
          </wp:inline>
        </w:drawing>
      </w:r>
    </w:p>
    <w:p w14:paraId="5FC716E7" w14:textId="77777777" w:rsidR="006C2B12" w:rsidRPr="00E46B8C" w:rsidRDefault="006C2B12" w:rsidP="006C2B12">
      <w:r>
        <w:t xml:space="preserve">Department of Home Affairs initiatives are limited to matters relating to the regulatory frameworks administered by AUSTRAC. </w:t>
      </w:r>
    </w:p>
    <w:p w14:paraId="73C67A7A" w14:textId="51EC63E9" w:rsidR="006C2B12" w:rsidRDefault="006C2B12" w:rsidP="006C2B12">
      <w:r>
        <w:t xml:space="preserve">Australian Taxation Office initiatives are limited to matters relating to the superannuation guarantee and </w:t>
      </w:r>
      <w:r w:rsidR="001E229A">
        <w:t>self</w:t>
      </w:r>
      <w:r w:rsidR="009E7CA0">
        <w:noBreakHyphen/>
      </w:r>
      <w:r w:rsidR="001E229A">
        <w:t>managed</w:t>
      </w:r>
      <w:r>
        <w:t xml:space="preserve"> superannuation funds.</w:t>
      </w:r>
    </w:p>
    <w:p w14:paraId="20557D01" w14:textId="77777777" w:rsidR="006C2B12" w:rsidRPr="00E46B8C" w:rsidRDefault="006C2B12" w:rsidP="006C2B12">
      <w:r>
        <w:t>Australian Competition and Consumer Commission initiatives are limited to matters relating to the financial sector.</w:t>
      </w:r>
    </w:p>
    <w:p w14:paraId="65425E16" w14:textId="6180EBCB" w:rsidR="00BE2EEA" w:rsidRPr="0053217C" w:rsidRDefault="00B92331" w:rsidP="00E0372F">
      <w:pPr>
        <w:pStyle w:val="Heading2"/>
        <w:spacing w:before="120"/>
      </w:pPr>
      <w:r>
        <w:br w:type="column"/>
      </w:r>
      <w:r w:rsidR="00E0372F">
        <w:lastRenderedPageBreak/>
        <w:br w:type="column"/>
      </w:r>
      <w:bookmarkStart w:id="26" w:name="_Toc209785812"/>
      <w:r w:rsidR="00BE2EEA" w:rsidRPr="0053217C">
        <w:t>Scope</w:t>
      </w:r>
      <w:bookmarkEnd w:id="26"/>
    </w:p>
    <w:p w14:paraId="6376ED38" w14:textId="0C65317E" w:rsidR="00535015" w:rsidRDefault="00535015" w:rsidP="00535015">
      <w:bookmarkStart w:id="27" w:name="_Toc173243838"/>
      <w:bookmarkEnd w:id="22"/>
      <w:r w:rsidRPr="00E90DC9">
        <w:t>The</w:t>
      </w:r>
      <w:r>
        <w:t xml:space="preserve"> RIG</w:t>
      </w:r>
      <w:r w:rsidR="009E7CA0">
        <w:t>’</w:t>
      </w:r>
      <w:r>
        <w:t>s scope is limited to</w:t>
      </w:r>
      <w:r w:rsidRPr="00E90DC9">
        <w:t xml:space="preserve"> </w:t>
      </w:r>
      <w:r>
        <w:t>publicly communicated</w:t>
      </w:r>
      <w:r w:rsidRPr="00E90DC9">
        <w:t xml:space="preserve"> initiatives</w:t>
      </w:r>
      <w:r>
        <w:t xml:space="preserve"> and activities that will materially affect the financial sector</w:t>
      </w:r>
      <w:r w:rsidRPr="00E90DC9" w:rsidDel="00495688">
        <w:t xml:space="preserve"> </w:t>
      </w:r>
      <w:r>
        <w:t xml:space="preserve">in the 24 months </w:t>
      </w:r>
      <w:r w:rsidRPr="00CC277D">
        <w:t xml:space="preserve">from </w:t>
      </w:r>
      <w:r>
        <w:t>the RIG</w:t>
      </w:r>
      <w:r w:rsidR="009E7CA0">
        <w:t>’</w:t>
      </w:r>
      <w:r>
        <w:t xml:space="preserve">s publication </w:t>
      </w:r>
      <w:r w:rsidRPr="00CC277D">
        <w:t>date.</w:t>
      </w:r>
    </w:p>
    <w:p w14:paraId="56B5DC1F" w14:textId="48992B41" w:rsidR="00C85D46" w:rsidRDefault="00535015" w:rsidP="00CE3F02">
      <w:r w:rsidDel="000A1E75">
        <w:t xml:space="preserve">The RIG </w:t>
      </w:r>
      <w:r w:rsidDel="000C6595">
        <w:t xml:space="preserve">has a strategic focus and </w:t>
      </w:r>
      <w:r>
        <w:t>is not intended to be exhaustive. It</w:t>
      </w:r>
      <w:r w:rsidDel="00F53105">
        <w:t xml:space="preserve"> </w:t>
      </w:r>
      <w:r>
        <w:t>does not include day</w:t>
      </w:r>
      <w:r w:rsidR="009E7CA0">
        <w:noBreakHyphen/>
      </w:r>
      <w:r>
        <w:t>to</w:t>
      </w:r>
      <w:r w:rsidR="009E7CA0">
        <w:noBreakHyphen/>
      </w:r>
      <w:r>
        <w:t xml:space="preserve">day work undertaken by regulators. The RIG does not </w:t>
      </w:r>
      <w:r w:rsidRPr="00CE3F02">
        <w:t>include:</w:t>
      </w:r>
    </w:p>
    <w:p w14:paraId="53E51164" w14:textId="13EF199A" w:rsidR="00535015" w:rsidRPr="005946AB" w:rsidRDefault="00535015" w:rsidP="00E22880">
      <w:pPr>
        <w:pStyle w:val="Bullet"/>
        <w:numPr>
          <w:ilvl w:val="0"/>
          <w:numId w:val="12"/>
        </w:numPr>
        <w:spacing w:before="120" w:line="240" w:lineRule="auto"/>
      </w:pPr>
      <w:r>
        <w:t xml:space="preserve">regulatory investigations relating to </w:t>
      </w:r>
      <w:r w:rsidRPr="005946AB">
        <w:t xml:space="preserve">significant compliance or enforcement activities </w:t>
      </w:r>
    </w:p>
    <w:p w14:paraId="15D91142" w14:textId="58BF57A7" w:rsidR="00535015" w:rsidRPr="005946AB" w:rsidRDefault="00535015" w:rsidP="00535015">
      <w:pPr>
        <w:pStyle w:val="Bullet"/>
        <w:spacing w:before="120" w:line="240" w:lineRule="auto"/>
      </w:pPr>
      <w:r w:rsidRPr="005946AB">
        <w:t>non</w:t>
      </w:r>
      <w:r w:rsidR="009E7CA0">
        <w:noBreakHyphen/>
      </w:r>
      <w:r w:rsidRPr="005946AB">
        <w:t>regulatory initiatives and activities (such as undertaking research, strengthening financial literacy, and engaging with the financial sector to explore opportunities to enhance existing systems)</w:t>
      </w:r>
    </w:p>
    <w:p w14:paraId="4377C1FB" w14:textId="747E9A88" w:rsidR="00535015" w:rsidRPr="005946AB" w:rsidRDefault="00535015" w:rsidP="00535015">
      <w:pPr>
        <w:pStyle w:val="Bullet"/>
        <w:spacing w:before="120" w:line="240" w:lineRule="auto"/>
      </w:pPr>
      <w:r w:rsidRPr="005946AB">
        <w:t>multi</w:t>
      </w:r>
      <w:r w:rsidR="009E7CA0">
        <w:noBreakHyphen/>
      </w:r>
      <w:r w:rsidRPr="005946AB">
        <w:t>agency simulation activities to test preparedness and crisis response</w:t>
      </w:r>
    </w:p>
    <w:p w14:paraId="64598C14" w14:textId="3B960987" w:rsidR="00535015" w:rsidRPr="005946AB" w:rsidRDefault="00535015" w:rsidP="00535015">
      <w:pPr>
        <w:pStyle w:val="Bullet"/>
        <w:spacing w:before="120" w:line="240" w:lineRule="auto"/>
      </w:pPr>
      <w:r w:rsidRPr="005946AB">
        <w:t>standard or long</w:t>
      </w:r>
      <w:r w:rsidR="009E7CA0">
        <w:noBreakHyphen/>
      </w:r>
      <w:r w:rsidRPr="005946AB">
        <w:t>standing processes or activities that are well understood by industry stakeholders</w:t>
      </w:r>
    </w:p>
    <w:p w14:paraId="5A5FC98F" w14:textId="77777777" w:rsidR="00535015" w:rsidRDefault="00535015" w:rsidP="00535015">
      <w:pPr>
        <w:pStyle w:val="Bullet"/>
        <w:spacing w:before="120" w:line="240" w:lineRule="auto"/>
      </w:pPr>
      <w:r w:rsidRPr="005946AB">
        <w:t>initiatives led by international bodies or intern</w:t>
      </w:r>
      <w:r>
        <w:t>ational organisations, unless a contributing agency is responsible for implementing measures that satisfy the inclusion criterion.</w:t>
      </w:r>
    </w:p>
    <w:p w14:paraId="27C45B2D" w14:textId="6A67DBBE" w:rsidR="00535015" w:rsidRDefault="00535015" w:rsidP="00535015">
      <w:pPr>
        <w:spacing w:after="0"/>
      </w:pPr>
      <w:r>
        <w:t>This</w:t>
      </w:r>
      <w:r w:rsidRPr="00A06307">
        <w:t xml:space="preserve"> information </w:t>
      </w:r>
      <w:r>
        <w:t xml:space="preserve">is also in </w:t>
      </w:r>
      <w:r w:rsidRPr="00A06307">
        <w:t>the RIG Terms of Reference</w:t>
      </w:r>
      <w:r>
        <w:t xml:space="preserve"> at </w:t>
      </w:r>
      <w:hyperlink r:id="rId32" w:history="1">
        <w:r w:rsidRPr="00A20575">
          <w:rPr>
            <w:rStyle w:val="Hyperlink"/>
          </w:rPr>
          <w:t>treasury.gov.au/RIG</w:t>
        </w:r>
      </w:hyperlink>
      <w:r>
        <w:t>.</w:t>
      </w:r>
    </w:p>
    <w:p w14:paraId="2441B2C0" w14:textId="19D2A049" w:rsidR="00DB07DC" w:rsidRDefault="00F31CD4" w:rsidP="00F7708A">
      <w:pPr>
        <w:pStyle w:val="Heading2"/>
        <w:spacing w:before="0"/>
      </w:pPr>
      <w:r>
        <w:br w:type="page"/>
      </w:r>
      <w:r w:rsidR="001F7943" w:rsidRPr="007F61A8">
        <w:lastRenderedPageBreak/>
        <w:br w:type="column"/>
      </w:r>
      <w:bookmarkStart w:id="28" w:name="_Toc173760505"/>
      <w:bookmarkStart w:id="29" w:name="_Toc176175986"/>
      <w:bookmarkStart w:id="30" w:name="_Toc209785813"/>
      <w:bookmarkEnd w:id="27"/>
      <w:r w:rsidR="00DB07DC" w:rsidRPr="00E90DC9">
        <w:t xml:space="preserve">How to </w:t>
      </w:r>
      <w:r w:rsidR="00E345EF">
        <w:t xml:space="preserve">read the </w:t>
      </w:r>
      <w:bookmarkEnd w:id="28"/>
      <w:bookmarkEnd w:id="29"/>
      <w:r w:rsidR="00BF53D7">
        <w:t>RIG</w:t>
      </w:r>
      <w:bookmarkEnd w:id="30"/>
    </w:p>
    <w:p w14:paraId="2DA91383" w14:textId="499063D0" w:rsidR="00E46E07" w:rsidRPr="005946AB" w:rsidRDefault="00E46E07" w:rsidP="00A7594B">
      <w:pPr>
        <w:spacing w:after="0"/>
        <w:rPr>
          <w:rStyle w:val="Strong"/>
        </w:rPr>
      </w:pPr>
      <w:r w:rsidRPr="005946AB">
        <w:rPr>
          <w:rStyle w:val="Strong"/>
        </w:rPr>
        <w:t xml:space="preserve">The RIG Edition </w:t>
      </w:r>
      <w:r w:rsidR="0060691B">
        <w:rPr>
          <w:rStyle w:val="Strong"/>
        </w:rPr>
        <w:t>3</w:t>
      </w:r>
      <w:r w:rsidRPr="005946AB">
        <w:rPr>
          <w:rStyle w:val="Strong"/>
        </w:rPr>
        <w:t xml:space="preserve"> </w:t>
      </w:r>
      <w:r w:rsidRPr="00CE3F02">
        <w:rPr>
          <w:rStyle w:val="Strong"/>
        </w:rPr>
        <w:t xml:space="preserve">includes initiatives publicised prior to </w:t>
      </w:r>
      <w:r w:rsidR="005E57E4" w:rsidRPr="00C139C7">
        <w:rPr>
          <w:rStyle w:val="Strong"/>
        </w:rPr>
        <w:t>1</w:t>
      </w:r>
      <w:r w:rsidR="00256AAD" w:rsidRPr="004F2167">
        <w:rPr>
          <w:rStyle w:val="Strong"/>
        </w:rPr>
        <w:t xml:space="preserve"> </w:t>
      </w:r>
      <w:r w:rsidR="00CD0D35" w:rsidRPr="00C139C7">
        <w:rPr>
          <w:rStyle w:val="Strong"/>
        </w:rPr>
        <w:t>April</w:t>
      </w:r>
      <w:r w:rsidR="00256AAD" w:rsidRPr="004F2167">
        <w:rPr>
          <w:rStyle w:val="Strong"/>
        </w:rPr>
        <w:t xml:space="preserve"> </w:t>
      </w:r>
      <w:r w:rsidRPr="004F2167">
        <w:rPr>
          <w:rStyle w:val="Strong"/>
        </w:rPr>
        <w:t>202</w:t>
      </w:r>
      <w:r w:rsidR="0060691B" w:rsidRPr="004F2167">
        <w:rPr>
          <w:rStyle w:val="Strong"/>
        </w:rPr>
        <w:t>6</w:t>
      </w:r>
      <w:r w:rsidRPr="005946AB">
        <w:rPr>
          <w:rStyle w:val="Strong"/>
        </w:rPr>
        <w:t xml:space="preserve">. Initiatives publicised after </w:t>
      </w:r>
      <w:r w:rsidR="005E57E4" w:rsidRPr="00C139C7">
        <w:rPr>
          <w:rStyle w:val="Strong"/>
        </w:rPr>
        <w:t xml:space="preserve">1 </w:t>
      </w:r>
      <w:r w:rsidR="00CD0D35" w:rsidRPr="00C139C7">
        <w:rPr>
          <w:rStyle w:val="Strong"/>
        </w:rPr>
        <w:t>April</w:t>
      </w:r>
      <w:r w:rsidRPr="002931AD">
        <w:rPr>
          <w:rStyle w:val="Strong"/>
        </w:rPr>
        <w:t xml:space="preserve"> </w:t>
      </w:r>
      <w:r w:rsidRPr="005946AB">
        <w:rPr>
          <w:rStyle w:val="Strong"/>
        </w:rPr>
        <w:t xml:space="preserve">are not included in Edition </w:t>
      </w:r>
      <w:r w:rsidR="00256AAD">
        <w:rPr>
          <w:rStyle w:val="Strong"/>
        </w:rPr>
        <w:t>3</w:t>
      </w:r>
      <w:r w:rsidRPr="005946AB">
        <w:rPr>
          <w:rStyle w:val="Strong"/>
        </w:rPr>
        <w:t>.</w:t>
      </w:r>
    </w:p>
    <w:p w14:paraId="4A5E4BCD" w14:textId="77777777" w:rsidR="00E46E07" w:rsidRDefault="00E46E07" w:rsidP="00E46E07">
      <w:r>
        <w:t>E</w:t>
      </w:r>
      <w:r w:rsidRPr="00E90DC9">
        <w:t xml:space="preserve">ach </w:t>
      </w:r>
      <w:r>
        <w:t>initiative includes</w:t>
      </w:r>
      <w:r w:rsidRPr="00E90DC9">
        <w:t xml:space="preserve"> </w:t>
      </w:r>
      <w:r>
        <w:t>the following information.</w:t>
      </w:r>
    </w:p>
    <w:tbl>
      <w:tblPr>
        <w:tblW w:w="14430" w:type="pct"/>
        <w:tblBorders>
          <w:top w:val="single" w:sz="4" w:space="0" w:color="90B6F0" w:themeColor="accent5"/>
          <w:insideH w:val="single" w:sz="4" w:space="0" w:color="90B6F0" w:themeColor="accent5"/>
        </w:tblBorders>
        <w:tblCellMar>
          <w:left w:w="0" w:type="dxa"/>
          <w:right w:w="0" w:type="dxa"/>
        </w:tblCellMar>
        <w:tblLook w:val="04A0" w:firstRow="1" w:lastRow="0" w:firstColumn="1" w:lastColumn="0" w:noHBand="0" w:noVBand="1"/>
      </w:tblPr>
      <w:tblGrid>
        <w:gridCol w:w="709"/>
        <w:gridCol w:w="1874"/>
        <w:gridCol w:w="6580"/>
      </w:tblGrid>
      <w:tr w:rsidR="00E46E07" w:rsidRPr="009E7CA0" w14:paraId="37B23637" w14:textId="77777777" w:rsidTr="00CE3F02">
        <w:trPr>
          <w:trHeight w:val="1334"/>
        </w:trPr>
        <w:tc>
          <w:tcPr>
            <w:tcW w:w="709" w:type="dxa"/>
          </w:tcPr>
          <w:p w14:paraId="1E8ECEB1" w14:textId="77777777" w:rsidR="00E46E07" w:rsidRPr="009E7CA0" w:rsidRDefault="00E46E07" w:rsidP="00984E31">
            <w:bookmarkStart w:id="31" w:name="_Toc173243839"/>
            <w:r w:rsidRPr="009E7CA0">
              <w:rPr>
                <w:noProof/>
              </w:rPr>
              <w:drawing>
                <wp:inline distT="0" distB="0" distL="0" distR="0" wp14:anchorId="2E111DD4" wp14:editId="61B212DF">
                  <wp:extent cx="357906" cy="357906"/>
                  <wp:effectExtent l="0" t="0" r="4445" b="444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357906" cy="357906"/>
                          </a:xfrm>
                          <a:prstGeom prst="rect">
                            <a:avLst/>
                          </a:prstGeom>
                        </pic:spPr>
                      </pic:pic>
                    </a:graphicData>
                  </a:graphic>
                </wp:inline>
              </w:drawing>
            </w:r>
          </w:p>
        </w:tc>
        <w:tc>
          <w:tcPr>
            <w:tcW w:w="1874" w:type="dxa"/>
          </w:tcPr>
          <w:p w14:paraId="679C2042" w14:textId="77777777" w:rsidR="00E46E07" w:rsidRPr="009E7CA0" w:rsidRDefault="00E46E07" w:rsidP="008431A3">
            <w:pPr>
              <w:pStyle w:val="TableColumnHeadingLeft"/>
            </w:pPr>
            <w:r w:rsidRPr="009E7CA0">
              <w:t>Agency</w:t>
            </w:r>
          </w:p>
        </w:tc>
        <w:tc>
          <w:tcPr>
            <w:tcW w:w="6580" w:type="dxa"/>
            <w:tcMar>
              <w:left w:w="85" w:type="dxa"/>
            </w:tcMar>
          </w:tcPr>
          <w:p w14:paraId="6B8E7A83" w14:textId="77777777" w:rsidR="00E46E07" w:rsidRPr="009E7CA0" w:rsidRDefault="00E46E07" w:rsidP="00634AC7">
            <w:pPr>
              <w:pStyle w:val="TableTextLeft"/>
            </w:pPr>
            <w:r w:rsidRPr="009E7CA0">
              <w:t>The agency/ies responsible for progressing the initiative.</w:t>
            </w:r>
          </w:p>
          <w:p w14:paraId="53FEDB11" w14:textId="77777777" w:rsidR="00E46E07" w:rsidRPr="009E7CA0" w:rsidRDefault="00E46E07" w:rsidP="00634AC7">
            <w:pPr>
              <w:pStyle w:val="TableTextLeft"/>
            </w:pPr>
            <w:r w:rsidRPr="009E7CA0">
              <w:t xml:space="preserve">The lead agency is listed first in </w:t>
            </w:r>
            <w:r w:rsidRPr="009E7CA0">
              <w:rPr>
                <w:rStyle w:val="Strong"/>
              </w:rPr>
              <w:t>Bold</w:t>
            </w:r>
            <w:r w:rsidRPr="009E7CA0">
              <w:t>, followed by other agencies involved in the initiative listed in Italic.</w:t>
            </w:r>
          </w:p>
          <w:p w14:paraId="7326EF2B" w14:textId="52B753F1" w:rsidR="00E46E07" w:rsidRPr="009E7CA0" w:rsidRDefault="003D486F" w:rsidP="00634AC7">
            <w:pPr>
              <w:pStyle w:val="TableTextLeft"/>
            </w:pPr>
            <w:r w:rsidRPr="009E7CA0">
              <w:t>‘</w:t>
            </w:r>
            <w:r w:rsidR="00E46E07" w:rsidRPr="009E7CA0">
              <w:t>Other</w:t>
            </w:r>
            <w:r w:rsidRPr="009E7CA0">
              <w:t>’</w:t>
            </w:r>
            <w:r w:rsidR="00E46E07" w:rsidRPr="009E7CA0">
              <w:t xml:space="preserve"> refers to government agencies involved in the initiative that are not </w:t>
            </w:r>
            <w:r w:rsidRPr="009E7CA0">
              <w:t>‘</w:t>
            </w:r>
            <w:r w:rsidR="00E46E07" w:rsidRPr="009E7CA0">
              <w:t>Contributing agencies</w:t>
            </w:r>
            <w:r w:rsidRPr="009E7CA0">
              <w:t>’</w:t>
            </w:r>
            <w:r w:rsidR="00E46E07" w:rsidRPr="009E7CA0">
              <w:t>.</w:t>
            </w:r>
          </w:p>
        </w:tc>
      </w:tr>
      <w:tr w:rsidR="00E46E07" w:rsidRPr="009E7CA0" w14:paraId="0C75A998" w14:textId="77777777" w:rsidTr="00CE3F02">
        <w:trPr>
          <w:trHeight w:val="631"/>
        </w:trPr>
        <w:tc>
          <w:tcPr>
            <w:tcW w:w="709" w:type="dxa"/>
          </w:tcPr>
          <w:p w14:paraId="4AD69D8B" w14:textId="77777777" w:rsidR="00E46E07" w:rsidRPr="009E7CA0" w:rsidRDefault="00E46E07" w:rsidP="00984E31">
            <w:r w:rsidRPr="009E7CA0">
              <w:rPr>
                <w:noProof/>
              </w:rPr>
              <w:drawing>
                <wp:inline distT="0" distB="0" distL="0" distR="0" wp14:anchorId="078AF272" wp14:editId="7883B56F">
                  <wp:extent cx="357906" cy="357906"/>
                  <wp:effectExtent l="0" t="0" r="4445" b="444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357906" cy="357906"/>
                          </a:xfrm>
                          <a:prstGeom prst="rect">
                            <a:avLst/>
                          </a:prstGeom>
                        </pic:spPr>
                      </pic:pic>
                    </a:graphicData>
                  </a:graphic>
                </wp:inline>
              </w:drawing>
            </w:r>
          </w:p>
        </w:tc>
        <w:tc>
          <w:tcPr>
            <w:tcW w:w="1874" w:type="dxa"/>
          </w:tcPr>
          <w:p w14:paraId="2666B4DD" w14:textId="77777777" w:rsidR="00E46E07" w:rsidRPr="009E7CA0" w:rsidRDefault="00E46E07" w:rsidP="008431A3">
            <w:pPr>
              <w:pStyle w:val="TableColumnHeadingLeft"/>
            </w:pPr>
            <w:r w:rsidRPr="009E7CA0">
              <w:t>Sector</w:t>
            </w:r>
          </w:p>
        </w:tc>
        <w:tc>
          <w:tcPr>
            <w:tcW w:w="6580" w:type="dxa"/>
            <w:tcMar>
              <w:left w:w="85" w:type="dxa"/>
            </w:tcMar>
          </w:tcPr>
          <w:p w14:paraId="4D35542E" w14:textId="77777777" w:rsidR="00E46E07" w:rsidRPr="009E7CA0" w:rsidRDefault="00E46E07" w:rsidP="00634AC7">
            <w:pPr>
              <w:pStyle w:val="TableTextLeft"/>
            </w:pPr>
            <w:r w:rsidRPr="009E7CA0">
              <w:t>The sector/s that will be materially affected by the initiative.</w:t>
            </w:r>
          </w:p>
          <w:p w14:paraId="11EB5702" w14:textId="77777777" w:rsidR="00E46E07" w:rsidRPr="009E7CA0" w:rsidRDefault="00E46E07" w:rsidP="00634AC7">
            <w:pPr>
              <w:pStyle w:val="TableTextLeft"/>
            </w:pPr>
            <w:r w:rsidRPr="009E7CA0">
              <w:t>Initiatives are grouped by sectors in alphabetical order.</w:t>
            </w:r>
          </w:p>
        </w:tc>
      </w:tr>
      <w:tr w:rsidR="00E46E07" w:rsidRPr="009E7CA0" w14:paraId="76EB76FF" w14:textId="77777777" w:rsidTr="00CE3F02">
        <w:trPr>
          <w:trHeight w:val="940"/>
        </w:trPr>
        <w:tc>
          <w:tcPr>
            <w:tcW w:w="709" w:type="dxa"/>
          </w:tcPr>
          <w:p w14:paraId="18F7D2BC" w14:textId="77777777" w:rsidR="00E46E07" w:rsidRPr="009E7CA0" w:rsidRDefault="00E46E07" w:rsidP="005407C9">
            <w:pPr>
              <w:spacing w:after="0"/>
            </w:pPr>
            <w:r w:rsidRPr="009E7CA0">
              <w:rPr>
                <w:noProof/>
              </w:rPr>
              <w:drawing>
                <wp:inline distT="0" distB="0" distL="0" distR="0" wp14:anchorId="6FD4621A" wp14:editId="41C4662C">
                  <wp:extent cx="357906" cy="357906"/>
                  <wp:effectExtent l="0" t="0" r="4445" b="444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357906" cy="357906"/>
                          </a:xfrm>
                          <a:prstGeom prst="rect">
                            <a:avLst/>
                          </a:prstGeom>
                        </pic:spPr>
                      </pic:pic>
                    </a:graphicData>
                  </a:graphic>
                </wp:inline>
              </w:drawing>
            </w:r>
          </w:p>
        </w:tc>
        <w:tc>
          <w:tcPr>
            <w:tcW w:w="1874" w:type="dxa"/>
          </w:tcPr>
          <w:p w14:paraId="765C37B5" w14:textId="77777777" w:rsidR="00E46E07" w:rsidRPr="009E7CA0" w:rsidRDefault="00E46E07" w:rsidP="008431A3">
            <w:pPr>
              <w:pStyle w:val="TableColumnHeadingLeft"/>
            </w:pPr>
            <w:r w:rsidRPr="009E7CA0">
              <w:t>Initiative</w:t>
            </w:r>
          </w:p>
        </w:tc>
        <w:tc>
          <w:tcPr>
            <w:tcW w:w="6580" w:type="dxa"/>
            <w:tcMar>
              <w:left w:w="85" w:type="dxa"/>
            </w:tcMar>
          </w:tcPr>
          <w:p w14:paraId="4AD20A8C" w14:textId="7784A26F" w:rsidR="00E46E07" w:rsidRPr="009E7CA0" w:rsidRDefault="00E46E07" w:rsidP="00634AC7">
            <w:pPr>
              <w:pStyle w:val="TableTextLeft"/>
            </w:pPr>
            <w:r w:rsidRPr="009E7CA0">
              <w:t>The initiative</w:t>
            </w:r>
            <w:r w:rsidR="003D486F" w:rsidRPr="009E7CA0">
              <w:t>’</w:t>
            </w:r>
            <w:r w:rsidRPr="009E7CA0">
              <w:t>s name and high</w:t>
            </w:r>
            <w:r w:rsidR="5F68EAFF" w:rsidRPr="009E7CA0">
              <w:t xml:space="preserve"> </w:t>
            </w:r>
            <w:r w:rsidRPr="009E7CA0">
              <w:t xml:space="preserve">level description. Where available, a hyperlink will be provided </w:t>
            </w:r>
            <w:r w:rsidR="00EC4211" w:rsidRPr="009E7CA0">
              <w:t>for</w:t>
            </w:r>
            <w:r w:rsidRPr="009E7CA0">
              <w:t xml:space="preserve"> more information.</w:t>
            </w:r>
            <w:r w:rsidR="00EC4211" w:rsidRPr="009E7CA0">
              <w:t xml:space="preserve"> Newly added initiatives are marked as </w:t>
            </w:r>
            <w:r w:rsidR="00EC4211" w:rsidRPr="009E7CA0">
              <w:rPr>
                <w:rStyle w:val="Strong"/>
                <w:color w:val="4D7861" w:themeColor="accent2"/>
              </w:rPr>
              <w:t>(new).</w:t>
            </w:r>
          </w:p>
        </w:tc>
      </w:tr>
      <w:tr w:rsidR="00E46E07" w:rsidRPr="009E7CA0" w14:paraId="066D6099" w14:textId="77777777" w:rsidTr="00CE3F02">
        <w:trPr>
          <w:trHeight w:val="2413"/>
        </w:trPr>
        <w:tc>
          <w:tcPr>
            <w:tcW w:w="709" w:type="dxa"/>
          </w:tcPr>
          <w:p w14:paraId="4241022F" w14:textId="77777777" w:rsidR="00E46E07" w:rsidRPr="009E7CA0" w:rsidRDefault="00E46E07" w:rsidP="005407C9">
            <w:pPr>
              <w:spacing w:before="0"/>
            </w:pPr>
            <w:r w:rsidRPr="009E7CA0">
              <w:rPr>
                <w:noProof/>
              </w:rPr>
              <w:drawing>
                <wp:anchor distT="0" distB="0" distL="114300" distR="114300" simplePos="0" relativeHeight="251658240" behindDoc="0" locked="0" layoutInCell="1" allowOverlap="1" wp14:anchorId="26908106" wp14:editId="52E5F455">
                  <wp:simplePos x="0" y="0"/>
                  <wp:positionH relativeFrom="column">
                    <wp:posOffset>1905</wp:posOffset>
                  </wp:positionH>
                  <wp:positionV relativeFrom="paragraph">
                    <wp:posOffset>81887</wp:posOffset>
                  </wp:positionV>
                  <wp:extent cx="357906" cy="357906"/>
                  <wp:effectExtent l="0" t="0" r="4445" b="4445"/>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357906" cy="357906"/>
                          </a:xfrm>
                          <a:prstGeom prst="rect">
                            <a:avLst/>
                          </a:prstGeom>
                        </pic:spPr>
                      </pic:pic>
                    </a:graphicData>
                  </a:graphic>
                  <wp14:sizeRelH relativeFrom="page">
                    <wp14:pctWidth>0</wp14:pctWidth>
                  </wp14:sizeRelH>
                  <wp14:sizeRelV relativeFrom="page">
                    <wp14:pctHeight>0</wp14:pctHeight>
                  </wp14:sizeRelV>
                </wp:anchor>
              </w:drawing>
            </w:r>
          </w:p>
        </w:tc>
        <w:tc>
          <w:tcPr>
            <w:tcW w:w="1874" w:type="dxa"/>
          </w:tcPr>
          <w:p w14:paraId="52FD8E21" w14:textId="77777777" w:rsidR="00E46E07" w:rsidRPr="009E7CA0" w:rsidRDefault="00E46E07" w:rsidP="008431A3">
            <w:pPr>
              <w:pStyle w:val="TableColumnHeadingLeft"/>
            </w:pPr>
            <w:r w:rsidRPr="009E7CA0">
              <w:t>Forward calendar</w:t>
            </w:r>
          </w:p>
          <w:p w14:paraId="62426D17" w14:textId="3E795E8A" w:rsidR="00E46E07" w:rsidRPr="009E7CA0" w:rsidRDefault="00E46E07" w:rsidP="008431A3">
            <w:pPr>
              <w:pStyle w:val="TableColumnHeadingLeft"/>
            </w:pPr>
            <w:r w:rsidRPr="009E7CA0">
              <w:t>Q</w:t>
            </w:r>
            <w:r w:rsidR="608C2C51" w:rsidRPr="009E7CA0">
              <w:t>2</w:t>
            </w:r>
            <w:r w:rsidRPr="009E7CA0">
              <w:t xml:space="preserve"> 202</w:t>
            </w:r>
            <w:r w:rsidR="10987240" w:rsidRPr="009E7CA0">
              <w:t>6</w:t>
            </w:r>
            <w:r w:rsidRPr="009E7CA0">
              <w:t xml:space="preserve"> – </w:t>
            </w:r>
            <w:r w:rsidR="00047493" w:rsidRPr="009E7CA0">
              <w:t>H1</w:t>
            </w:r>
            <w:r w:rsidRPr="009E7CA0">
              <w:t xml:space="preserve"> 202</w:t>
            </w:r>
            <w:r w:rsidR="00047493" w:rsidRPr="009E7CA0">
              <w:t>8</w:t>
            </w:r>
          </w:p>
        </w:tc>
        <w:tc>
          <w:tcPr>
            <w:tcW w:w="6580" w:type="dxa"/>
            <w:tcMar>
              <w:left w:w="85" w:type="dxa"/>
            </w:tcMar>
          </w:tcPr>
          <w:p w14:paraId="295FF8C1" w14:textId="653A42F8" w:rsidR="00E46E07" w:rsidRPr="009E7CA0" w:rsidRDefault="00E46E07" w:rsidP="00634AC7">
            <w:pPr>
              <w:pStyle w:val="TableTextLeft"/>
            </w:pPr>
            <w:r w:rsidRPr="009E7CA0">
              <w:t xml:space="preserve">A breakdown of planned activities over the next 24 months </w:t>
            </w:r>
            <w:r w:rsidR="001E6857" w:rsidRPr="009E7CA0">
              <w:t>and</w:t>
            </w:r>
            <w:r w:rsidRPr="009E7CA0">
              <w:t xml:space="preserve"> is presented in quarter year periods from Q</w:t>
            </w:r>
            <w:r w:rsidR="2FEDE938" w:rsidRPr="009E7CA0">
              <w:t>2</w:t>
            </w:r>
            <w:r w:rsidRPr="009E7CA0">
              <w:t xml:space="preserve"> 202</w:t>
            </w:r>
            <w:r w:rsidR="432F683A" w:rsidRPr="009E7CA0">
              <w:t>6</w:t>
            </w:r>
            <w:r w:rsidRPr="009E7CA0">
              <w:t xml:space="preserve"> (</w:t>
            </w:r>
            <w:r w:rsidR="414CFB56" w:rsidRPr="009E7CA0">
              <w:t>April-June</w:t>
            </w:r>
            <w:r w:rsidRPr="009E7CA0">
              <w:t>). All activities and dates are indicative only and are subject to change by the agency or regulator.</w:t>
            </w:r>
          </w:p>
          <w:p w14:paraId="54CCF778" w14:textId="7D1E083C" w:rsidR="00E46E07" w:rsidRPr="009E7CA0" w:rsidRDefault="00E46E07" w:rsidP="00634AC7">
            <w:pPr>
              <w:pStyle w:val="TableTextLeft"/>
              <w:rPr>
                <w:rStyle w:val="Strong"/>
              </w:rPr>
            </w:pPr>
            <w:r w:rsidRPr="009E7CA0">
              <w:rPr>
                <w:rStyle w:val="Strong"/>
              </w:rPr>
              <w:t>If an initiative has no activities in its forward calendar, it means that specific timeframes have not been publicly communicated at the time of the RIG</w:t>
            </w:r>
            <w:r w:rsidR="003D486F" w:rsidRPr="009E7CA0">
              <w:rPr>
                <w:rStyle w:val="Strong"/>
              </w:rPr>
              <w:t>’</w:t>
            </w:r>
            <w:r w:rsidRPr="009E7CA0">
              <w:rPr>
                <w:rStyle w:val="Strong"/>
              </w:rPr>
              <w:t>s publication.</w:t>
            </w:r>
          </w:p>
          <w:p w14:paraId="4DA34381" w14:textId="635D544D" w:rsidR="00BB7696" w:rsidRPr="009E7CA0" w:rsidRDefault="00BB7696" w:rsidP="00634AC7">
            <w:pPr>
              <w:pStyle w:val="TableTextLeft"/>
              <w:rPr>
                <w:rStyle w:val="Strong"/>
              </w:rPr>
            </w:pPr>
            <w:r w:rsidRPr="009E7CA0">
              <w:rPr>
                <w:rStyle w:val="Strong"/>
              </w:rPr>
              <w:t xml:space="preserve">A * </w:t>
            </w:r>
            <w:r w:rsidR="00A3256E" w:rsidRPr="009E7CA0">
              <w:rPr>
                <w:rStyle w:val="Strong"/>
              </w:rPr>
              <w:t>indicates</w:t>
            </w:r>
            <w:r w:rsidRPr="009E7CA0">
              <w:rPr>
                <w:rStyle w:val="Strong"/>
              </w:rPr>
              <w:t xml:space="preserve"> a new milestone </w:t>
            </w:r>
            <w:r w:rsidR="00A3256E" w:rsidRPr="009E7CA0">
              <w:rPr>
                <w:rStyle w:val="Strong"/>
              </w:rPr>
              <w:t xml:space="preserve">for an initiative that was included in Edition </w:t>
            </w:r>
            <w:r w:rsidR="2A395A5F" w:rsidRPr="009E7CA0">
              <w:rPr>
                <w:rStyle w:val="Strong"/>
              </w:rPr>
              <w:t>2</w:t>
            </w:r>
            <w:r w:rsidR="00A3256E" w:rsidRPr="009E7CA0">
              <w:rPr>
                <w:rStyle w:val="Strong"/>
              </w:rPr>
              <w:t xml:space="preserve"> where progress </w:t>
            </w:r>
            <w:r w:rsidR="009C3BF3" w:rsidRPr="009E7CA0">
              <w:rPr>
                <w:rStyle w:val="Strong"/>
              </w:rPr>
              <w:t xml:space="preserve">on the work has occurred. </w:t>
            </w:r>
          </w:p>
          <w:p w14:paraId="61D6BF15" w14:textId="243F1B4D" w:rsidR="00E46E07" w:rsidRPr="009E7CA0" w:rsidRDefault="0060116E" w:rsidP="00634AC7">
            <w:pPr>
              <w:pStyle w:val="TableTextLeft"/>
            </w:pPr>
            <w:r w:rsidRPr="009E7CA0">
              <w:rPr>
                <w:rStyle w:val="Strong"/>
              </w:rPr>
              <w:t xml:space="preserve">A ^ indicates where a milestone has changed from Edition </w:t>
            </w:r>
            <w:r w:rsidR="005A2A0D" w:rsidRPr="009E7CA0">
              <w:rPr>
                <w:rStyle w:val="Strong"/>
              </w:rPr>
              <w:t>2</w:t>
            </w:r>
            <w:r w:rsidRPr="009E7CA0">
              <w:rPr>
                <w:rStyle w:val="Strong"/>
              </w:rPr>
              <w:t xml:space="preserve"> to this </w:t>
            </w:r>
            <w:r w:rsidR="00E34F38" w:rsidRPr="009E7CA0">
              <w:rPr>
                <w:rStyle w:val="Strong"/>
              </w:rPr>
              <w:t>Edition. A changes table at the end of this document explains the change.</w:t>
            </w:r>
          </w:p>
        </w:tc>
      </w:tr>
    </w:tbl>
    <w:p w14:paraId="3CC51C89" w14:textId="56584369" w:rsidR="006E2BE7" w:rsidRPr="005407C9" w:rsidRDefault="00E46E07" w:rsidP="00DF73F9">
      <w:r w:rsidRPr="00A21175">
        <w:rPr>
          <w:sz w:val="20"/>
        </w:rPr>
        <w:t>Information contained in the RIG is subject to change. For example, from shifts in government</w:t>
      </w:r>
      <w:r w:rsidRPr="00A21175" w:rsidDel="00F45B67">
        <w:rPr>
          <w:sz w:val="20"/>
        </w:rPr>
        <w:t xml:space="preserve"> </w:t>
      </w:r>
      <w:r w:rsidRPr="00A21175">
        <w:rPr>
          <w:sz w:val="20"/>
        </w:rPr>
        <w:t>priorities or financial market conditions.</w:t>
      </w:r>
      <w:bookmarkEnd w:id="31"/>
      <w:r w:rsidR="00FD557E" w:rsidRPr="00A21175">
        <w:rPr>
          <w:sz w:val="20"/>
        </w:rPr>
        <w:br w:type="column"/>
      </w:r>
      <w:bookmarkStart w:id="32" w:name="_Toc173760506"/>
      <w:bookmarkStart w:id="33" w:name="_Toc176175987"/>
      <w:bookmarkStart w:id="34" w:name="_Toc183095610"/>
      <w:r w:rsidR="00DF73F9">
        <w:rPr>
          <w:sz w:val="20"/>
        </w:rPr>
        <w:lastRenderedPageBreak/>
        <w:br w:type="column"/>
      </w:r>
      <w:r w:rsidR="006E2BE7" w:rsidRPr="00DF73F9">
        <w:rPr>
          <w:rStyle w:val="Heading2Char"/>
        </w:rPr>
        <w:t xml:space="preserve">RIG </w:t>
      </w:r>
      <w:bookmarkEnd w:id="32"/>
      <w:bookmarkEnd w:id="33"/>
      <w:r w:rsidR="006E2BE7" w:rsidRPr="00DF73F9">
        <w:rPr>
          <w:rStyle w:val="Heading2Char"/>
        </w:rPr>
        <w:t>formats</w:t>
      </w:r>
      <w:bookmarkEnd w:id="34"/>
    </w:p>
    <w:tbl>
      <w:tblPr>
        <w:tblW w:w="9072" w:type="dxa"/>
        <w:shd w:val="clear" w:color="auto" w:fill="E8F0FC" w:themeFill="accent5" w:themeFillTint="33"/>
        <w:tblCellMar>
          <w:top w:w="57" w:type="dxa"/>
          <w:left w:w="284" w:type="dxa"/>
          <w:bottom w:w="57" w:type="dxa"/>
        </w:tblCellMar>
        <w:tblLook w:val="04A0" w:firstRow="1" w:lastRow="0" w:firstColumn="1" w:lastColumn="0" w:noHBand="0" w:noVBand="1"/>
      </w:tblPr>
      <w:tblGrid>
        <w:gridCol w:w="9072"/>
      </w:tblGrid>
      <w:tr w:rsidR="006E2BE7" w:rsidRPr="009E7CA0" w14:paraId="07CC515F" w14:textId="77777777" w:rsidTr="00984E31">
        <w:tc>
          <w:tcPr>
            <w:tcW w:w="9072" w:type="dxa"/>
            <w:shd w:val="clear" w:color="auto" w:fill="E8F0FC" w:themeFill="accent5" w:themeFillTint="33"/>
          </w:tcPr>
          <w:p w14:paraId="7E3B956F" w14:textId="77777777" w:rsidR="00112A44" w:rsidRPr="009E7CA0" w:rsidRDefault="006E2BE7" w:rsidP="00112A44">
            <w:pPr>
              <w:pStyle w:val="BoxText"/>
              <w:rPr>
                <w:rStyle w:val="Hyperlink"/>
                <w:color w:val="auto"/>
              </w:rPr>
            </w:pPr>
            <w:bookmarkStart w:id="35" w:name="_Toc173243835"/>
            <w:r w:rsidRPr="009E7CA0">
              <w:t xml:space="preserve">The RIG is available on the Treasury website at </w:t>
            </w:r>
            <w:hyperlink r:id="rId37" w:history="1">
              <w:r w:rsidRPr="009E7CA0">
                <w:rPr>
                  <w:rStyle w:val="Strong"/>
                </w:rPr>
                <w:t>treasury.gov.au/RIG</w:t>
              </w:r>
            </w:hyperlink>
            <w:r w:rsidRPr="009E7CA0">
              <w:rPr>
                <w:rStyle w:val="Strong"/>
              </w:rPr>
              <w:t>.</w:t>
            </w:r>
            <w:r w:rsidRPr="009E7CA0">
              <w:rPr>
                <w:rStyle w:val="Hyperlink"/>
                <w:color w:val="auto"/>
              </w:rPr>
              <w:t xml:space="preserve"> </w:t>
            </w:r>
          </w:p>
          <w:p w14:paraId="70E47794" w14:textId="29F9EB56" w:rsidR="006E2BE7" w:rsidRPr="009E7CA0" w:rsidRDefault="00112A44" w:rsidP="008F1F91">
            <w:pPr>
              <w:pStyle w:val="BoxText"/>
            </w:pPr>
            <w:r w:rsidRPr="009E7CA0">
              <w:t>It</w:t>
            </w:r>
            <w:r w:rsidR="006E2BE7" w:rsidRPr="009E7CA0">
              <w:t xml:space="preserve"> is available in 3 formats</w:t>
            </w:r>
            <w:r w:rsidR="008F1F91" w:rsidRPr="009E7CA0">
              <w:t xml:space="preserve">: </w:t>
            </w:r>
            <w:r w:rsidR="006E2BE7" w:rsidRPr="009E7CA0">
              <w:t>a static report</w:t>
            </w:r>
            <w:r w:rsidR="008F1F91" w:rsidRPr="009E7CA0">
              <w:t xml:space="preserve">, </w:t>
            </w:r>
            <w:r w:rsidR="006E2BE7" w:rsidRPr="009E7CA0">
              <w:t xml:space="preserve">an interactive </w:t>
            </w:r>
            <w:r w:rsidR="00EA2B6A" w:rsidRPr="009E7CA0">
              <w:t>dashboard and</w:t>
            </w:r>
            <w:r w:rsidR="008F1F91" w:rsidRPr="009E7CA0">
              <w:t xml:space="preserve"> </w:t>
            </w:r>
            <w:r w:rsidR="006E2BE7" w:rsidRPr="009E7CA0">
              <w:t>a Microsoft Excel Workbook.</w:t>
            </w:r>
          </w:p>
        </w:tc>
      </w:tr>
    </w:tbl>
    <w:p w14:paraId="445A4C81" w14:textId="77777777" w:rsidR="006E2BE7" w:rsidRPr="00E90DC9" w:rsidRDefault="006E2BE7" w:rsidP="006E2BE7">
      <w:pPr>
        <w:pStyle w:val="Heading2"/>
      </w:pPr>
      <w:bookmarkStart w:id="36" w:name="_Toc173760507"/>
      <w:bookmarkStart w:id="37" w:name="_Toc176175988"/>
      <w:bookmarkStart w:id="38" w:name="_Toc183095611"/>
      <w:bookmarkStart w:id="39" w:name="_Toc209785814"/>
      <w:r w:rsidRPr="00E90DC9">
        <w:t>Feedback</w:t>
      </w:r>
      <w:bookmarkEnd w:id="35"/>
      <w:bookmarkEnd w:id="36"/>
      <w:bookmarkEnd w:id="37"/>
      <w:bookmarkEnd w:id="38"/>
      <w:bookmarkEnd w:id="39"/>
    </w:p>
    <w:p w14:paraId="5735C408" w14:textId="0F951EA7" w:rsidR="006E2BE7" w:rsidRDefault="006E2BE7" w:rsidP="006E2BE7">
      <w:r w:rsidRPr="00E90DC9">
        <w:t xml:space="preserve">Stakeholder feedback </w:t>
      </w:r>
      <w:r>
        <w:t>on the RIG</w:t>
      </w:r>
      <w:r w:rsidR="009E7CA0">
        <w:t>’</w:t>
      </w:r>
      <w:r>
        <w:t xml:space="preserve">s design is welcome. Please send your feedback to </w:t>
      </w:r>
      <w:hyperlink r:id="rId38" w:history="1">
        <w:r w:rsidRPr="0070088C">
          <w:rPr>
            <w:rStyle w:val="Hyperlink"/>
          </w:rPr>
          <w:t>RIG@treasury.gov.au</w:t>
        </w:r>
      </w:hyperlink>
      <w:r w:rsidRPr="00BF69D8">
        <w:rPr>
          <w:rStyle w:val="Strong"/>
        </w:rPr>
        <w:t>.</w:t>
      </w:r>
      <w:r w:rsidRPr="00E90DC9">
        <w:t xml:space="preserve"> </w:t>
      </w:r>
    </w:p>
    <w:p w14:paraId="6F765DAB" w14:textId="1F65CA13" w:rsidR="00651627" w:rsidRDefault="00651627" w:rsidP="00651627">
      <w:r>
        <w:t>Treasury will use stakeholder feedback to inform the RIG</w:t>
      </w:r>
      <w:r w:rsidR="009E7CA0">
        <w:t>’</w:t>
      </w:r>
      <w:r>
        <w:t xml:space="preserve">s ongoing design and to support ongoing </w:t>
      </w:r>
      <w:r w:rsidRPr="009508BB">
        <w:t>agency planning considerations for the upcoming perio</w:t>
      </w:r>
      <w:r w:rsidR="00CA5F80">
        <w:t>d</w:t>
      </w:r>
      <w:r>
        <w:t>.</w:t>
      </w:r>
    </w:p>
    <w:p w14:paraId="1CA68ADB" w14:textId="3D8033BE" w:rsidR="00973038" w:rsidRDefault="00973038" w:rsidP="006E2BE7">
      <w:r>
        <w:t xml:space="preserve">Stakeholder feedback on the regulatory landscape </w:t>
      </w:r>
      <w:r w:rsidR="00174F55">
        <w:t>provided to Treasury will contribute to agency planning considerations for the upcoming period.</w:t>
      </w:r>
    </w:p>
    <w:p w14:paraId="44AE5893" w14:textId="77777777" w:rsidR="006E2BE7" w:rsidRPr="005946AB" w:rsidRDefault="006E2BE7" w:rsidP="006E2BE7">
      <w:r w:rsidRPr="005946AB">
        <w:t>Please indicate in your response whether you agree/do not agree to share the personal data contained in your response (for example, your name and email address) with contributing agencies.</w:t>
      </w:r>
    </w:p>
    <w:p w14:paraId="6D6AEF11" w14:textId="77777777" w:rsidR="006E2BE7" w:rsidRDefault="006E2BE7" w:rsidP="006E2BE7">
      <w:pPr>
        <w:pStyle w:val="Heading2"/>
      </w:pPr>
      <w:bookmarkStart w:id="40" w:name="_Toc183095612"/>
      <w:bookmarkStart w:id="41" w:name="_Toc209785815"/>
      <w:r>
        <w:t>F</w:t>
      </w:r>
      <w:r w:rsidRPr="00E90DC9">
        <w:t>uture updates</w:t>
      </w:r>
      <w:bookmarkEnd w:id="40"/>
      <w:bookmarkEnd w:id="41"/>
    </w:p>
    <w:p w14:paraId="3A6257E3" w14:textId="77777777" w:rsidR="006E2BE7" w:rsidRDefault="006E2BE7" w:rsidP="006E2BE7">
      <w:r>
        <w:t>Treasury intends</w:t>
      </w:r>
      <w:r w:rsidDel="00E425BD">
        <w:t xml:space="preserve"> to </w:t>
      </w:r>
      <w:r>
        <w:t>continuously refine the RIG in response to stakeholder feedback. This will help</w:t>
      </w:r>
      <w:r w:rsidDel="00791E96">
        <w:t xml:space="preserve"> </w:t>
      </w:r>
      <w:r>
        <w:t>ensure it remains</w:t>
      </w:r>
      <w:r w:rsidDel="004D0ED4">
        <w:t xml:space="preserve"> </w:t>
      </w:r>
      <w:r>
        <w:t>fit for purpose</w:t>
      </w:r>
      <w:r w:rsidDel="004D0ED4">
        <w:t>.</w:t>
      </w:r>
    </w:p>
    <w:p w14:paraId="69D26AEA" w14:textId="709951D6" w:rsidR="006E2BE7" w:rsidRDefault="006E2BE7" w:rsidP="006E2BE7">
      <w:pPr>
        <w:sectPr w:rsidR="006E2BE7" w:rsidSect="006E2BE7">
          <w:headerReference w:type="even" r:id="rId39"/>
          <w:headerReference w:type="default" r:id="rId40"/>
          <w:footerReference w:type="even" r:id="rId41"/>
          <w:footerReference w:type="default" r:id="rId42"/>
          <w:headerReference w:type="first" r:id="rId43"/>
          <w:footerReference w:type="first" r:id="rId44"/>
          <w:pgSz w:w="16838" w:h="11906" w:orient="landscape" w:code="9"/>
          <w:pgMar w:top="1843" w:right="1418" w:bottom="1021" w:left="1418" w:header="709" w:footer="397" w:gutter="0"/>
          <w:cols w:num="2" w:space="1755" w:equalWidth="0">
            <w:col w:w="3175" w:space="1755"/>
            <w:col w:w="9072"/>
          </w:cols>
          <w:docGrid w:linePitch="360"/>
        </w:sectPr>
      </w:pPr>
      <w:r>
        <w:t xml:space="preserve">Subsequent editions </w:t>
      </w:r>
      <w:r w:rsidR="001E6536">
        <w:t>will update</w:t>
      </w:r>
      <w:r>
        <w:t xml:space="preserve"> </w:t>
      </w:r>
      <w:r w:rsidRPr="0054110B">
        <w:t xml:space="preserve">the RIG </w:t>
      </w:r>
      <w:r>
        <w:t>twice a year (</w:t>
      </w:r>
      <w:r w:rsidR="00A16AC6">
        <w:t xml:space="preserve">as at </w:t>
      </w:r>
      <w:r w:rsidRPr="0054110B">
        <w:t>March and September</w:t>
      </w:r>
      <w:r>
        <w:t>)</w:t>
      </w:r>
      <w:r w:rsidRPr="0054110B">
        <w:t>.</w:t>
      </w:r>
    </w:p>
    <w:p w14:paraId="2CC87402" w14:textId="485C8FD7" w:rsidR="00106330" w:rsidRDefault="00106330" w:rsidP="006E2BE7">
      <w:pPr>
        <w:pStyle w:val="Heading2"/>
        <w:sectPr w:rsidR="00106330" w:rsidSect="00A4740C">
          <w:headerReference w:type="even" r:id="rId45"/>
          <w:headerReference w:type="default" r:id="rId46"/>
          <w:footerReference w:type="even" r:id="rId47"/>
          <w:footerReference w:type="default" r:id="rId48"/>
          <w:headerReference w:type="first" r:id="rId49"/>
          <w:footerReference w:type="first" r:id="rId50"/>
          <w:type w:val="continuous"/>
          <w:pgSz w:w="16838" w:h="11906" w:orient="landscape" w:code="9"/>
          <w:pgMar w:top="1843" w:right="1418" w:bottom="1021" w:left="1418" w:header="709" w:footer="397" w:gutter="0"/>
          <w:cols w:space="708"/>
          <w:docGrid w:linePitch="360"/>
        </w:sectPr>
      </w:pPr>
    </w:p>
    <w:p w14:paraId="15090192" w14:textId="37B59832" w:rsidR="00B54CF6" w:rsidRPr="00106330" w:rsidRDefault="00B54CF6" w:rsidP="00F50EDB">
      <w:pPr>
        <w:pStyle w:val="Heading1Numbered"/>
        <w:spacing w:before="0"/>
      </w:pPr>
      <w:bookmarkStart w:id="42" w:name="_Toc209785816"/>
      <w:r w:rsidRPr="00106330">
        <w:lastRenderedPageBreak/>
        <w:t xml:space="preserve">Policy </w:t>
      </w:r>
      <w:r w:rsidR="00DA6D3F" w:rsidRPr="00106330">
        <w:t>d</w:t>
      </w:r>
      <w:r w:rsidRPr="00106330">
        <w:t>evelopment</w:t>
      </w:r>
      <w:bookmarkEnd w:id="42"/>
    </w:p>
    <w:p w14:paraId="1462C458" w14:textId="23082AC7" w:rsidR="00B87D56" w:rsidRDefault="009A5125" w:rsidP="009A5125">
      <w:pPr>
        <w:rPr>
          <w:rFonts w:cs="Calibri Light"/>
          <w:szCs w:val="22"/>
        </w:rPr>
      </w:pPr>
      <w:r w:rsidRPr="00464DE7">
        <w:rPr>
          <w:rFonts w:cs="Calibri Light"/>
          <w:szCs w:val="22"/>
        </w:rPr>
        <w:t>This</w:t>
      </w:r>
      <w:r w:rsidRPr="00464DE7" w:rsidDel="007A415C">
        <w:rPr>
          <w:rFonts w:cs="Calibri Light"/>
          <w:szCs w:val="22"/>
        </w:rPr>
        <w:t xml:space="preserve"> </w:t>
      </w:r>
      <w:r w:rsidR="00C734E8" w:rsidRPr="009A41CA">
        <w:t>category</w:t>
      </w:r>
      <w:r w:rsidRPr="009A41CA">
        <w:t xml:space="preserve"> </w:t>
      </w:r>
      <w:r w:rsidRPr="00CD6131">
        <w:t>includes</w:t>
      </w:r>
      <w:r w:rsidRPr="00CD6131" w:rsidDel="009B6078">
        <w:rPr>
          <w:rFonts w:cs="Calibri Light"/>
          <w:szCs w:val="22"/>
        </w:rPr>
        <w:t xml:space="preserve"> </w:t>
      </w:r>
      <w:r w:rsidR="00747A1F" w:rsidRPr="00CD6131">
        <w:rPr>
          <w:rStyle w:val="Strong"/>
        </w:rPr>
        <w:t>1</w:t>
      </w:r>
      <w:r w:rsidR="00074D65" w:rsidRPr="00C139C7">
        <w:rPr>
          <w:rStyle w:val="Strong"/>
        </w:rPr>
        <w:t>1</w:t>
      </w:r>
      <w:r w:rsidR="00906631" w:rsidRPr="00464DE7">
        <w:rPr>
          <w:rFonts w:cs="Calibri Light"/>
          <w:szCs w:val="22"/>
        </w:rPr>
        <w:t xml:space="preserve"> </w:t>
      </w:r>
      <w:r w:rsidR="006837E9">
        <w:rPr>
          <w:rFonts w:cs="Calibri Light"/>
          <w:szCs w:val="22"/>
        </w:rPr>
        <w:t>policy</w:t>
      </w:r>
      <w:r w:rsidR="00D06782">
        <w:rPr>
          <w:rFonts w:cs="Calibri Light"/>
          <w:szCs w:val="22"/>
        </w:rPr>
        <w:t xml:space="preserve"> </w:t>
      </w:r>
      <w:r w:rsidR="006837E9">
        <w:rPr>
          <w:rFonts w:cs="Calibri Light"/>
          <w:szCs w:val="22"/>
        </w:rPr>
        <w:t xml:space="preserve">development </w:t>
      </w:r>
      <w:r w:rsidRPr="00464DE7">
        <w:rPr>
          <w:rFonts w:cs="Calibri Light"/>
          <w:szCs w:val="22"/>
        </w:rPr>
        <w:t>initiatives.</w:t>
      </w:r>
      <w:r w:rsidR="00D06782">
        <w:rPr>
          <w:rFonts w:cs="Calibri Light"/>
          <w:szCs w:val="22"/>
        </w:rPr>
        <w:t xml:space="preserve"> </w:t>
      </w:r>
      <w:r w:rsidR="004D127F">
        <w:t>Examples of p</w:t>
      </w:r>
      <w:r w:rsidR="00D06782" w:rsidRPr="009A41CA">
        <w:t xml:space="preserve">olicy development </w:t>
      </w:r>
      <w:r w:rsidR="00AE7903" w:rsidRPr="00AE7903">
        <w:rPr>
          <w:rFonts w:cs="Calibri Light"/>
          <w:szCs w:val="22"/>
        </w:rPr>
        <w:t>activities</w:t>
      </w:r>
      <w:r w:rsidR="004D19BC">
        <w:t xml:space="preserve"> </w:t>
      </w:r>
      <w:r w:rsidR="000872CC" w:rsidRPr="009A41CA">
        <w:t>includ</w:t>
      </w:r>
      <w:r w:rsidR="004D19BC">
        <w:t>e</w:t>
      </w:r>
      <w:r w:rsidR="000872CC" w:rsidRPr="009A41CA">
        <w:t xml:space="preserve"> </w:t>
      </w:r>
      <w:r w:rsidR="00D06782" w:rsidRPr="009A41CA">
        <w:t xml:space="preserve">seeking stakeholder feedback on </w:t>
      </w:r>
      <w:r w:rsidR="006837E9">
        <w:t xml:space="preserve">a </w:t>
      </w:r>
      <w:r w:rsidR="00D06782" w:rsidRPr="009A41CA">
        <w:t>proposed policy and formulating policy statements.</w:t>
      </w:r>
      <w:r w:rsidR="00EC1DC1" w:rsidRPr="009A41CA">
        <w:t xml:space="preserve"> </w:t>
      </w:r>
      <w:r w:rsidR="003E6451">
        <w:t>In</w:t>
      </w:r>
      <w:r w:rsidR="0040148A">
        <w:t>itiative</w:t>
      </w:r>
      <w:r w:rsidR="00647357">
        <w:t>s</w:t>
      </w:r>
      <w:r w:rsidR="0040148A">
        <w:t xml:space="preserve"> </w:t>
      </w:r>
      <w:r w:rsidR="003E6451">
        <w:t xml:space="preserve">that </w:t>
      </w:r>
      <w:r w:rsidR="000D4D44" w:rsidRPr="009A41CA">
        <w:t xml:space="preserve">include </w:t>
      </w:r>
      <w:r w:rsidR="00163D34">
        <w:t xml:space="preserve">both </w:t>
      </w:r>
      <w:r w:rsidR="000D4D44" w:rsidRPr="009A41CA">
        <w:t>p</w:t>
      </w:r>
      <w:r w:rsidR="00EC1DC1" w:rsidRPr="009A41CA">
        <w:t>olicy</w:t>
      </w:r>
      <w:r w:rsidR="003E6451">
        <w:t xml:space="preserve"> </w:t>
      </w:r>
      <w:r w:rsidR="00EC1DC1" w:rsidRPr="009A41CA">
        <w:t>development</w:t>
      </w:r>
      <w:r w:rsidR="000D4D44" w:rsidRPr="009A41CA">
        <w:t xml:space="preserve"> </w:t>
      </w:r>
      <w:r w:rsidR="003E6451">
        <w:t xml:space="preserve">and </w:t>
      </w:r>
      <w:r w:rsidR="00EC1DC1" w:rsidRPr="009A41CA">
        <w:t xml:space="preserve">developing legislation, regulations </w:t>
      </w:r>
      <w:r w:rsidR="00641197">
        <w:t>or</w:t>
      </w:r>
      <w:r w:rsidR="00EC1DC1" w:rsidRPr="009A41CA">
        <w:t xml:space="preserve"> instruments</w:t>
      </w:r>
      <w:r w:rsidR="003E6451">
        <w:t xml:space="preserve"> are </w:t>
      </w:r>
      <w:r w:rsidR="000D4D44" w:rsidRPr="009A41CA">
        <w:t xml:space="preserve">included </w:t>
      </w:r>
      <w:r w:rsidR="00483385" w:rsidRPr="009A41CA">
        <w:t xml:space="preserve">in the </w:t>
      </w:r>
      <w:r w:rsidR="009E7CA0">
        <w:t>‘</w:t>
      </w:r>
      <w:r w:rsidR="003E6451">
        <w:t>Developing legislation, regulation</w:t>
      </w:r>
      <w:r w:rsidR="00163D34">
        <w:t>s</w:t>
      </w:r>
      <w:r w:rsidR="003E6451">
        <w:t xml:space="preserve"> and instruments</w:t>
      </w:r>
      <w:r w:rsidR="009E7CA0">
        <w:t>’</w:t>
      </w:r>
      <w:r w:rsidR="003E6451">
        <w:t xml:space="preserve"> </w:t>
      </w:r>
      <w:r w:rsidR="00AC65B6">
        <w:t>category</w:t>
      </w:r>
      <w:r w:rsidR="003D486F">
        <w:t xml:space="preserve">. </w:t>
      </w:r>
    </w:p>
    <w:p w14:paraId="53441465" w14:textId="29F45DAD" w:rsidR="00776E56" w:rsidRPr="00B86C80" w:rsidRDefault="00776E56" w:rsidP="00B86C80">
      <w:pPr>
        <w:rPr>
          <w:rStyle w:val="Strong"/>
        </w:rPr>
      </w:pPr>
      <w:r w:rsidRPr="00B86C80">
        <w:rPr>
          <w:rStyle w:val="Strong"/>
        </w:rPr>
        <w:t xml:space="preserve">A * indicates a new milestone for </w:t>
      </w:r>
      <w:r w:rsidR="00D9751F" w:rsidRPr="00B86C80">
        <w:rPr>
          <w:rStyle w:val="Strong"/>
        </w:rPr>
        <w:t>a</w:t>
      </w:r>
      <w:r w:rsidRPr="00B86C80">
        <w:rPr>
          <w:rStyle w:val="Strong"/>
        </w:rPr>
        <w:t xml:space="preserve">n initiative that was included in Edition </w:t>
      </w:r>
      <w:r w:rsidR="6240750D" w:rsidRPr="00B86C80">
        <w:rPr>
          <w:rStyle w:val="Strong"/>
        </w:rPr>
        <w:t>2</w:t>
      </w:r>
      <w:r w:rsidRPr="00B86C80">
        <w:rPr>
          <w:rStyle w:val="Strong"/>
        </w:rPr>
        <w:t xml:space="preserve"> where progress on the work has occurred. </w:t>
      </w:r>
    </w:p>
    <w:p w14:paraId="32967081" w14:textId="723F06B2" w:rsidR="00776E56" w:rsidRPr="00B86C80" w:rsidRDefault="00776E56" w:rsidP="00B86C80">
      <w:pPr>
        <w:rPr>
          <w:rStyle w:val="Strong"/>
        </w:rPr>
      </w:pPr>
      <w:r w:rsidRPr="00B86C80">
        <w:rPr>
          <w:rStyle w:val="Strong"/>
        </w:rPr>
        <w:t xml:space="preserve">A ^ indicates where a milestone has changed from Edition </w:t>
      </w:r>
      <w:r w:rsidR="4CECAF7F" w:rsidRPr="00B86C80">
        <w:rPr>
          <w:rStyle w:val="Strong"/>
        </w:rPr>
        <w:t>2</w:t>
      </w:r>
      <w:r w:rsidRPr="00B86C80">
        <w:rPr>
          <w:rStyle w:val="Strong"/>
        </w:rPr>
        <w:t xml:space="preserve"> to this Edition. A changes table at the end of this document explains the change.</w:t>
      </w:r>
    </w:p>
    <w:p w14:paraId="0AF0F79F" w14:textId="3E586D72" w:rsidR="00D418F2" w:rsidRDefault="00D670CC" w:rsidP="00D752E0">
      <w:pPr>
        <w:pStyle w:val="TableMainHeading"/>
      </w:pPr>
      <w:r w:rsidRPr="00AF3E22">
        <w:t>Forward</w:t>
      </w:r>
      <w:r w:rsidRPr="002356CB">
        <w:t xml:space="preserve"> calendar</w:t>
      </w:r>
    </w:p>
    <w:tbl>
      <w:tblPr>
        <w:tblW w:w="5000" w:type="pct"/>
        <w:tblInd w:w="-1" w:type="dxa"/>
        <w:tblBorders>
          <w:bottom w:val="single" w:sz="4" w:space="0" w:color="90B6F0" w:themeColor="accent5"/>
          <w:insideH w:val="single" w:sz="4" w:space="0" w:color="90B6F0" w:themeColor="accent5"/>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852"/>
        <w:gridCol w:w="1417"/>
        <w:gridCol w:w="3319"/>
        <w:gridCol w:w="1501"/>
        <w:gridCol w:w="1152"/>
        <w:gridCol w:w="1152"/>
        <w:gridCol w:w="1152"/>
        <w:gridCol w:w="1152"/>
        <w:gridCol w:w="1152"/>
        <w:gridCol w:w="1153"/>
      </w:tblGrid>
      <w:tr w:rsidR="0042770D" w:rsidRPr="009E7CA0" w14:paraId="270A1820" w14:textId="6BE53B7C" w:rsidTr="006947D0">
        <w:trPr>
          <w:cantSplit/>
          <w:trHeight w:val="567"/>
          <w:tblHeader/>
        </w:trPr>
        <w:tc>
          <w:tcPr>
            <w:tcW w:w="852" w:type="dxa"/>
            <w:tcBorders>
              <w:bottom w:val="single" w:sz="4" w:space="0" w:color="90B6F0" w:themeColor="accent5"/>
            </w:tcBorders>
            <w:shd w:val="clear" w:color="auto" w:fill="BCD2F6" w:themeFill="accent5" w:themeFillTint="99"/>
            <w:tcMar>
              <w:left w:w="85" w:type="dxa"/>
              <w:right w:w="85" w:type="dxa"/>
            </w:tcMar>
            <w:vAlign w:val="center"/>
            <w:hideMark/>
          </w:tcPr>
          <w:p w14:paraId="026A0401" w14:textId="77777777" w:rsidR="00256AAD" w:rsidRPr="009E7CA0" w:rsidRDefault="00256AAD" w:rsidP="005E5C59">
            <w:pPr>
              <w:pStyle w:val="TableColumnHeadingLeft"/>
            </w:pPr>
            <w:r w:rsidRPr="009E7CA0">
              <w:t>Agency</w:t>
            </w:r>
          </w:p>
        </w:tc>
        <w:tc>
          <w:tcPr>
            <w:tcW w:w="1417" w:type="dxa"/>
            <w:shd w:val="clear" w:color="auto" w:fill="BCD2F6" w:themeFill="accent5" w:themeFillTint="99"/>
            <w:tcMar>
              <w:left w:w="85" w:type="dxa"/>
              <w:right w:w="85" w:type="dxa"/>
            </w:tcMar>
            <w:vAlign w:val="center"/>
          </w:tcPr>
          <w:p w14:paraId="3828436D" w14:textId="77777777" w:rsidR="00256AAD" w:rsidRPr="009E7CA0" w:rsidRDefault="00256AAD" w:rsidP="005E5C59">
            <w:pPr>
              <w:pStyle w:val="TableColumnHeadingLeft"/>
            </w:pPr>
            <w:r w:rsidRPr="009E7CA0">
              <w:t>Sector</w:t>
            </w:r>
          </w:p>
        </w:tc>
        <w:tc>
          <w:tcPr>
            <w:tcW w:w="3319" w:type="dxa"/>
            <w:shd w:val="clear" w:color="auto" w:fill="BCD2F6" w:themeFill="accent5" w:themeFillTint="99"/>
            <w:tcMar>
              <w:left w:w="85" w:type="dxa"/>
              <w:right w:w="85" w:type="dxa"/>
            </w:tcMar>
            <w:vAlign w:val="center"/>
          </w:tcPr>
          <w:p w14:paraId="7BAF74C1" w14:textId="77777777" w:rsidR="00256AAD" w:rsidRPr="009E7CA0" w:rsidRDefault="00256AAD" w:rsidP="005E5C59">
            <w:pPr>
              <w:pStyle w:val="TableColumnHeadingLeft"/>
            </w:pPr>
            <w:r w:rsidRPr="009E7CA0">
              <w:t>Initiative</w:t>
            </w:r>
          </w:p>
        </w:tc>
        <w:tc>
          <w:tcPr>
            <w:tcW w:w="1501" w:type="dxa"/>
            <w:shd w:val="clear" w:color="auto" w:fill="BCD2F6" w:themeFill="accent5" w:themeFillTint="99"/>
            <w:tcMar>
              <w:left w:w="85" w:type="dxa"/>
              <w:right w:w="85" w:type="dxa"/>
            </w:tcMar>
            <w:vAlign w:val="center"/>
          </w:tcPr>
          <w:p w14:paraId="240C483E" w14:textId="1326FF64" w:rsidR="00256AAD" w:rsidRPr="009E7CA0" w:rsidRDefault="00256AAD" w:rsidP="00C13FB1">
            <w:pPr>
              <w:pStyle w:val="TableColumnHeadingLeft"/>
            </w:pPr>
            <w:r w:rsidRPr="009E7CA0">
              <w:t>Q2 2026</w:t>
            </w:r>
            <w:r w:rsidR="00F4301E" w:rsidRPr="009E7CA0">
              <w:br/>
            </w:r>
            <w:r w:rsidRPr="009E7CA0">
              <w:t>activity</w:t>
            </w:r>
          </w:p>
        </w:tc>
        <w:tc>
          <w:tcPr>
            <w:tcW w:w="1152" w:type="dxa"/>
            <w:shd w:val="clear" w:color="auto" w:fill="BCD2F6" w:themeFill="accent5" w:themeFillTint="99"/>
            <w:vAlign w:val="center"/>
          </w:tcPr>
          <w:p w14:paraId="063C2D32" w14:textId="77777777" w:rsidR="00256AAD" w:rsidRPr="009E7CA0" w:rsidDel="00B60ABB" w:rsidRDefault="00256AAD" w:rsidP="005E5C59">
            <w:pPr>
              <w:pStyle w:val="TableColumnHeadingLeft"/>
            </w:pPr>
            <w:r w:rsidRPr="009E7CA0">
              <w:t>Q3 2026 activity</w:t>
            </w:r>
          </w:p>
        </w:tc>
        <w:tc>
          <w:tcPr>
            <w:tcW w:w="1152" w:type="dxa"/>
            <w:shd w:val="clear" w:color="auto" w:fill="BCD2F6" w:themeFill="accent5" w:themeFillTint="99"/>
            <w:tcMar>
              <w:left w:w="85" w:type="dxa"/>
              <w:right w:w="85" w:type="dxa"/>
            </w:tcMar>
            <w:vAlign w:val="center"/>
          </w:tcPr>
          <w:p w14:paraId="4D9E9342" w14:textId="77777777" w:rsidR="00256AAD" w:rsidRPr="009E7CA0" w:rsidRDefault="00256AAD" w:rsidP="005E5C59">
            <w:pPr>
              <w:pStyle w:val="TableColumnHeadingLeft"/>
            </w:pPr>
            <w:r w:rsidRPr="009E7CA0" w:rsidDel="00B60ABB">
              <w:t xml:space="preserve">Q4 </w:t>
            </w:r>
            <w:r w:rsidRPr="009E7CA0">
              <w:t>2026 activity</w:t>
            </w:r>
          </w:p>
        </w:tc>
        <w:tc>
          <w:tcPr>
            <w:tcW w:w="1152" w:type="dxa"/>
            <w:shd w:val="clear" w:color="auto" w:fill="BCD2F6" w:themeFill="accent5" w:themeFillTint="99"/>
            <w:tcMar>
              <w:left w:w="85" w:type="dxa"/>
              <w:right w:w="85" w:type="dxa"/>
            </w:tcMar>
            <w:vAlign w:val="center"/>
          </w:tcPr>
          <w:p w14:paraId="57841860" w14:textId="77777777" w:rsidR="00256AAD" w:rsidRPr="009E7CA0" w:rsidRDefault="00256AAD" w:rsidP="005E5C59">
            <w:pPr>
              <w:pStyle w:val="TableColumnHeadingLeft"/>
            </w:pPr>
            <w:r w:rsidRPr="009E7CA0">
              <w:t>Q1 2027 activity</w:t>
            </w:r>
          </w:p>
        </w:tc>
        <w:tc>
          <w:tcPr>
            <w:tcW w:w="1152" w:type="dxa"/>
            <w:shd w:val="clear" w:color="auto" w:fill="BCD2F6" w:themeFill="accent5" w:themeFillTint="99"/>
            <w:tcMar>
              <w:left w:w="85" w:type="dxa"/>
              <w:right w:w="85" w:type="dxa"/>
            </w:tcMar>
            <w:vAlign w:val="center"/>
          </w:tcPr>
          <w:p w14:paraId="01A80D12" w14:textId="0FC265A2" w:rsidR="00256AAD" w:rsidRPr="009E7CA0" w:rsidRDefault="00256AAD" w:rsidP="005E5C59">
            <w:pPr>
              <w:pStyle w:val="TableColumnHeadingLeft"/>
            </w:pPr>
            <w:r w:rsidRPr="009E7CA0">
              <w:t>Q2 2027 activity</w:t>
            </w:r>
          </w:p>
        </w:tc>
        <w:tc>
          <w:tcPr>
            <w:tcW w:w="1152" w:type="dxa"/>
            <w:shd w:val="clear" w:color="auto" w:fill="BCD2F6" w:themeFill="accent5" w:themeFillTint="99"/>
          </w:tcPr>
          <w:p w14:paraId="1B6F7E7B" w14:textId="30E6CDE9" w:rsidR="00256AAD" w:rsidRPr="009E7CA0" w:rsidRDefault="00F60A73" w:rsidP="005E5C59">
            <w:pPr>
              <w:pStyle w:val="TableColumnHeadingLeft"/>
            </w:pPr>
            <w:r w:rsidRPr="009E7CA0">
              <w:t>H</w:t>
            </w:r>
            <w:r w:rsidR="008447FC" w:rsidRPr="009E7CA0">
              <w:t>2</w:t>
            </w:r>
            <w:r w:rsidR="00256AAD" w:rsidRPr="009E7CA0">
              <w:t xml:space="preserve"> 2027 activity</w:t>
            </w:r>
          </w:p>
        </w:tc>
        <w:tc>
          <w:tcPr>
            <w:tcW w:w="1153" w:type="dxa"/>
            <w:shd w:val="clear" w:color="auto" w:fill="BCD2F6" w:themeFill="accent5" w:themeFillTint="99"/>
          </w:tcPr>
          <w:p w14:paraId="5427ECDF" w14:textId="7A23B20F" w:rsidR="008447FC" w:rsidRPr="009E7CA0" w:rsidRDefault="008447FC" w:rsidP="005E5C59">
            <w:pPr>
              <w:pStyle w:val="TableColumnHeadingLeft"/>
            </w:pPr>
            <w:r w:rsidRPr="009E7CA0">
              <w:t>H1 2028</w:t>
            </w:r>
            <w:r w:rsidR="005C13E3">
              <w:t xml:space="preserve"> </w:t>
            </w:r>
            <w:r w:rsidRPr="009E7CA0">
              <w:t>activity</w:t>
            </w:r>
          </w:p>
        </w:tc>
      </w:tr>
      <w:tr w:rsidR="009B3C33" w:rsidRPr="009E7CA0" w14:paraId="584A95F9" w14:textId="284BFB7B" w:rsidTr="006947D0">
        <w:trPr>
          <w:cantSplit/>
          <w:trHeight w:val="20"/>
        </w:trPr>
        <w:tc>
          <w:tcPr>
            <w:tcW w:w="852" w:type="dxa"/>
            <w:tcBorders>
              <w:top w:val="single" w:sz="4" w:space="0" w:color="90B6F0" w:themeColor="accent5"/>
              <w:left w:val="nil"/>
              <w:bottom w:val="single" w:sz="4" w:space="0" w:color="90B6F0" w:themeColor="accent5"/>
              <w:right w:val="nil"/>
            </w:tcBorders>
            <w:tcMar>
              <w:left w:w="85" w:type="dxa"/>
              <w:right w:w="85" w:type="dxa"/>
            </w:tcMar>
          </w:tcPr>
          <w:p w14:paraId="1EC3408E" w14:textId="4209ED1E" w:rsidR="00256AAD" w:rsidRPr="009E7CA0" w:rsidRDefault="00256AAD" w:rsidP="00F52A3F">
            <w:pPr>
              <w:pStyle w:val="TableLeadAgency"/>
              <w:spacing w:before="0" w:after="0"/>
              <w:rPr>
                <w:rFonts w:ascii="Calibri" w:hAnsi="Calibri" w:cs="Calibri"/>
              </w:rPr>
            </w:pPr>
            <w:r w:rsidRPr="009E7CA0">
              <w:rPr>
                <w:rFonts w:ascii="Calibri" w:hAnsi="Calibri" w:cs="Calibri"/>
              </w:rPr>
              <w:t>TSY</w:t>
            </w:r>
          </w:p>
        </w:tc>
        <w:tc>
          <w:tcPr>
            <w:tcW w:w="1417" w:type="dxa"/>
            <w:tcBorders>
              <w:top w:val="single" w:sz="4" w:space="0" w:color="90B6F0" w:themeColor="accent5"/>
              <w:left w:val="nil"/>
              <w:bottom w:val="single" w:sz="4" w:space="0" w:color="90B6F0" w:themeColor="accent5"/>
              <w:right w:val="nil"/>
            </w:tcBorders>
            <w:tcMar>
              <w:left w:w="85" w:type="dxa"/>
              <w:right w:w="85" w:type="dxa"/>
            </w:tcMar>
          </w:tcPr>
          <w:p w14:paraId="43905044" w14:textId="7524AF99" w:rsidR="00256AAD" w:rsidRPr="009E7CA0" w:rsidRDefault="00256AAD" w:rsidP="00F52A3F">
            <w:pPr>
              <w:pStyle w:val="TableTextLeft"/>
            </w:pPr>
            <w:r w:rsidRPr="009E7CA0">
              <w:t>Superannuation and retirement income</w:t>
            </w:r>
          </w:p>
        </w:tc>
        <w:tc>
          <w:tcPr>
            <w:tcW w:w="3319" w:type="dxa"/>
            <w:tcBorders>
              <w:top w:val="single" w:sz="4" w:space="0" w:color="90B6F0" w:themeColor="accent5"/>
              <w:left w:val="nil"/>
              <w:bottom w:val="single" w:sz="4" w:space="0" w:color="90B6F0" w:themeColor="accent5"/>
              <w:right w:val="nil"/>
            </w:tcBorders>
            <w:tcMar>
              <w:left w:w="85" w:type="dxa"/>
              <w:right w:w="85" w:type="dxa"/>
            </w:tcMar>
          </w:tcPr>
          <w:p w14:paraId="309D607A" w14:textId="3B6E523D" w:rsidR="00256AAD" w:rsidRPr="009E7CA0" w:rsidRDefault="00256AAD" w:rsidP="005C4187">
            <w:pPr>
              <w:pStyle w:val="TableLink"/>
            </w:pPr>
            <w:hyperlink r:id="rId51" w:history="1">
              <w:r w:rsidRPr="009E7CA0">
                <w:rPr>
                  <w:rStyle w:val="Hyperlink"/>
                  <w:color w:val="5D779D" w:themeColor="accent3"/>
                  <w:u w:val="single"/>
                </w:rPr>
                <w:t>Best practice principles</w:t>
              </w:r>
              <w:r w:rsidRPr="009E7CA0">
                <w:rPr>
                  <w:rStyle w:val="Hyperlink"/>
                  <w:color w:val="5D779D" w:themeColor="accent3"/>
                  <w:u w:val="single"/>
                </w:rPr>
                <w:noBreakHyphen/>
                <w:t xml:space="preserve"> superannuation retirement income solutions</w:t>
              </w:r>
            </w:hyperlink>
            <w:r w:rsidRPr="009E7CA0">
              <w:t xml:space="preserve"> </w:t>
            </w:r>
          </w:p>
          <w:p w14:paraId="0FCA0BB6" w14:textId="40978CA6" w:rsidR="00A27288" w:rsidRPr="009E7CA0" w:rsidRDefault="00256AAD" w:rsidP="00C2536F">
            <w:pPr>
              <w:pStyle w:val="TableTextLeft"/>
            </w:pPr>
            <w:r w:rsidRPr="009E7CA0">
              <w:t>The government has developed voluntary principles to guide super funds in designing and delivering</w:t>
            </w:r>
            <w:r w:rsidR="00AF0CAC">
              <w:t xml:space="preserve"> </w:t>
            </w:r>
            <w:r w:rsidRPr="009E7CA0">
              <w:t>high</w:t>
            </w:r>
            <w:r w:rsidR="34403553" w:rsidRPr="009E7CA0">
              <w:t xml:space="preserve"> </w:t>
            </w:r>
            <w:r w:rsidRPr="009E7CA0">
              <w:t xml:space="preserve">quality retirement income solutions for their members. </w:t>
            </w:r>
            <w:r w:rsidR="009735FF" w:rsidRPr="009E7CA0">
              <w:t>The</w:t>
            </w:r>
            <w:r w:rsidR="00F06334" w:rsidRPr="009E7CA0">
              <w:t xml:space="preserve"> principles</w:t>
            </w:r>
            <w:r w:rsidR="009735FF" w:rsidRPr="009E7CA0">
              <w:t xml:space="preserve"> outline the steps funds can take to better understand members, design fit-for-purpose solutions, and engage their members on retirement income decisions.</w:t>
            </w:r>
          </w:p>
          <w:p w14:paraId="126421E3" w14:textId="0B2E4D3A" w:rsidR="00172361" w:rsidRPr="009E7CA0" w:rsidRDefault="00A27288" w:rsidP="00C2536F">
            <w:pPr>
              <w:pStyle w:val="TableTextLeft"/>
            </w:pPr>
            <w:r w:rsidRPr="009E7CA0">
              <w:t>The government published the final set of principles on</w:t>
            </w:r>
            <w:r w:rsidR="005B0E35" w:rsidRPr="009E7CA0">
              <w:t xml:space="preserve"> the Treasury website </w:t>
            </w:r>
            <w:r w:rsidR="00E576A2" w:rsidRPr="009E7CA0">
              <w:t>in</w:t>
            </w:r>
            <w:r w:rsidR="00C570EB" w:rsidRPr="009E7CA0">
              <w:t xml:space="preserve"> February </w:t>
            </w:r>
            <w:r w:rsidR="001E149D" w:rsidRPr="009E7CA0">
              <w:t xml:space="preserve">2026 </w:t>
            </w:r>
            <w:r w:rsidRPr="009E7CA0">
              <w:t>informed by Treasury</w:t>
            </w:r>
            <w:r w:rsidR="0082206F" w:rsidRPr="009E7CA0">
              <w:t>’</w:t>
            </w:r>
            <w:r w:rsidRPr="009E7CA0">
              <w:t>s public consultation which concluded in September</w:t>
            </w:r>
            <w:r w:rsidR="00D11489" w:rsidRPr="009E7CA0">
              <w:t> </w:t>
            </w:r>
            <w:r w:rsidRPr="009E7CA0">
              <w:t xml:space="preserve">2024. </w:t>
            </w:r>
          </w:p>
        </w:tc>
        <w:tc>
          <w:tcPr>
            <w:tcW w:w="1501" w:type="dxa"/>
            <w:shd w:val="clear" w:color="auto" w:fill="E8F0FC" w:themeFill="accent5" w:themeFillTint="33"/>
            <w:tcMar>
              <w:left w:w="85" w:type="dxa"/>
              <w:right w:w="85" w:type="dxa"/>
            </w:tcMar>
          </w:tcPr>
          <w:p w14:paraId="0EA60C30" w14:textId="72E341DA" w:rsidR="00256AAD" w:rsidRPr="009E7CA0" w:rsidRDefault="00256AAD" w:rsidP="00C13FB1">
            <w:pPr>
              <w:pStyle w:val="TableTextLeft"/>
            </w:pPr>
          </w:p>
        </w:tc>
        <w:tc>
          <w:tcPr>
            <w:tcW w:w="1152" w:type="dxa"/>
            <w:shd w:val="clear" w:color="auto" w:fill="E8F0FC" w:themeFill="accent5" w:themeFillTint="33"/>
          </w:tcPr>
          <w:p w14:paraId="132E5958" w14:textId="02B6DD90" w:rsidR="00256AAD" w:rsidRPr="009E7CA0" w:rsidRDefault="00256AAD" w:rsidP="00CE3F02">
            <w:pPr>
              <w:pStyle w:val="TableTextLeft"/>
            </w:pPr>
          </w:p>
        </w:tc>
        <w:tc>
          <w:tcPr>
            <w:tcW w:w="1152" w:type="dxa"/>
            <w:shd w:val="clear" w:color="auto" w:fill="E8F0FC" w:themeFill="accent5" w:themeFillTint="33"/>
            <w:tcMar>
              <w:left w:w="85" w:type="dxa"/>
              <w:right w:w="85" w:type="dxa"/>
            </w:tcMar>
          </w:tcPr>
          <w:p w14:paraId="74263884" w14:textId="77777777" w:rsidR="00256AAD" w:rsidRPr="009E7CA0" w:rsidRDefault="00256AAD" w:rsidP="00CE3F02">
            <w:pPr>
              <w:pStyle w:val="TableTextLeft"/>
            </w:pPr>
          </w:p>
        </w:tc>
        <w:tc>
          <w:tcPr>
            <w:tcW w:w="1152" w:type="dxa"/>
            <w:shd w:val="clear" w:color="auto" w:fill="F4F8FE"/>
            <w:tcMar>
              <w:left w:w="85" w:type="dxa"/>
              <w:right w:w="85" w:type="dxa"/>
            </w:tcMar>
          </w:tcPr>
          <w:p w14:paraId="79531EF4" w14:textId="77777777" w:rsidR="00256AAD" w:rsidRPr="009E7CA0" w:rsidRDefault="00256AAD" w:rsidP="00CE3F02">
            <w:pPr>
              <w:pStyle w:val="TableTextLeft"/>
            </w:pPr>
          </w:p>
        </w:tc>
        <w:tc>
          <w:tcPr>
            <w:tcW w:w="1152" w:type="dxa"/>
            <w:shd w:val="clear" w:color="auto" w:fill="F4F8FE"/>
            <w:tcMar>
              <w:left w:w="85" w:type="dxa"/>
              <w:right w:w="85" w:type="dxa"/>
            </w:tcMar>
          </w:tcPr>
          <w:p w14:paraId="04D7725A" w14:textId="77777777" w:rsidR="00256AAD" w:rsidRPr="009E7CA0" w:rsidRDefault="00256AAD" w:rsidP="00CE3F02">
            <w:pPr>
              <w:pStyle w:val="TableTextLeft"/>
            </w:pPr>
          </w:p>
        </w:tc>
        <w:tc>
          <w:tcPr>
            <w:tcW w:w="1152" w:type="dxa"/>
            <w:shd w:val="clear" w:color="auto" w:fill="F4F8FE"/>
          </w:tcPr>
          <w:p w14:paraId="1BBBF1C0" w14:textId="77777777" w:rsidR="00256AAD" w:rsidRPr="009E7CA0" w:rsidRDefault="00256AAD" w:rsidP="00CE3F02">
            <w:pPr>
              <w:pStyle w:val="TableTextLeft"/>
            </w:pPr>
          </w:p>
        </w:tc>
        <w:tc>
          <w:tcPr>
            <w:tcW w:w="1153" w:type="dxa"/>
            <w:shd w:val="clear" w:color="auto" w:fill="F4F8FE"/>
          </w:tcPr>
          <w:p w14:paraId="05FB5C1A" w14:textId="77777777" w:rsidR="00256AAD" w:rsidRPr="009E7CA0" w:rsidRDefault="00256AAD" w:rsidP="00CE3F02">
            <w:pPr>
              <w:pStyle w:val="TableTextLeft"/>
            </w:pPr>
          </w:p>
        </w:tc>
      </w:tr>
      <w:tr w:rsidR="0042770D" w:rsidRPr="009E7CA0" w14:paraId="69A8A142" w14:textId="77777777" w:rsidTr="006947D0">
        <w:trPr>
          <w:cantSplit/>
          <w:trHeight w:val="20"/>
        </w:trPr>
        <w:tc>
          <w:tcPr>
            <w:tcW w:w="852" w:type="dxa"/>
            <w:tcBorders>
              <w:top w:val="single" w:sz="4" w:space="0" w:color="90B6F0" w:themeColor="accent5"/>
              <w:left w:val="nil"/>
              <w:bottom w:val="single" w:sz="4" w:space="0" w:color="90B6F0" w:themeColor="accent5"/>
              <w:right w:val="nil"/>
            </w:tcBorders>
            <w:tcMar>
              <w:left w:w="85" w:type="dxa"/>
              <w:right w:w="85" w:type="dxa"/>
            </w:tcMar>
          </w:tcPr>
          <w:p w14:paraId="1A7300FA" w14:textId="77777777" w:rsidR="008E7331" w:rsidRPr="009E7CA0" w:rsidRDefault="008E7331" w:rsidP="008E7331">
            <w:pPr>
              <w:pStyle w:val="TableLeadAgency"/>
              <w:spacing w:before="0" w:after="0"/>
              <w:rPr>
                <w:rFonts w:ascii="Calibri" w:hAnsi="Calibri" w:cs="Calibri"/>
                <w:b w:val="0"/>
                <w:bCs w:val="0"/>
                <w:i/>
                <w:iCs/>
              </w:rPr>
            </w:pPr>
            <w:r w:rsidRPr="009E7CA0">
              <w:rPr>
                <w:rFonts w:ascii="Calibri" w:hAnsi="Calibri" w:cs="Calibri"/>
              </w:rPr>
              <w:lastRenderedPageBreak/>
              <w:t>TSY</w:t>
            </w:r>
            <w:r w:rsidRPr="009E7CA0">
              <w:br/>
            </w:r>
            <w:r w:rsidRPr="009E7CA0">
              <w:rPr>
                <w:rFonts w:ascii="Calibri" w:hAnsi="Calibri" w:cs="Calibri"/>
                <w:b w:val="0"/>
                <w:bCs w:val="0"/>
                <w:i/>
                <w:iCs/>
              </w:rPr>
              <w:t>RBA</w:t>
            </w:r>
          </w:p>
          <w:p w14:paraId="48F92EDE" w14:textId="77777777" w:rsidR="008E7331" w:rsidRPr="009E7CA0" w:rsidRDefault="008E7331" w:rsidP="008E7331">
            <w:pPr>
              <w:pStyle w:val="TableLeadAgency"/>
              <w:spacing w:before="0" w:after="0"/>
              <w:rPr>
                <w:rFonts w:ascii="Calibri" w:hAnsi="Calibri" w:cs="Calibri"/>
                <w:b w:val="0"/>
                <w:bCs w:val="0"/>
                <w:i/>
                <w:iCs/>
              </w:rPr>
            </w:pPr>
            <w:r w:rsidRPr="009E7CA0">
              <w:rPr>
                <w:rFonts w:ascii="Calibri" w:hAnsi="Calibri" w:cs="Calibri"/>
                <w:b w:val="0"/>
                <w:bCs w:val="0"/>
                <w:i/>
                <w:iCs/>
              </w:rPr>
              <w:t>ACCC</w:t>
            </w:r>
          </w:p>
          <w:p w14:paraId="1A87CF65" w14:textId="77777777" w:rsidR="008E7331" w:rsidRPr="009E7CA0" w:rsidRDefault="008E7331" w:rsidP="008E7331">
            <w:pPr>
              <w:pStyle w:val="TableLeadAgency"/>
              <w:spacing w:before="0" w:after="0"/>
              <w:rPr>
                <w:rFonts w:ascii="Calibri" w:hAnsi="Calibri" w:cs="Calibri"/>
                <w:b w:val="0"/>
                <w:bCs w:val="0"/>
                <w:i/>
                <w:iCs/>
              </w:rPr>
            </w:pPr>
            <w:r w:rsidRPr="009E7CA0">
              <w:rPr>
                <w:rFonts w:ascii="Calibri" w:hAnsi="Calibri" w:cs="Calibri"/>
                <w:b w:val="0"/>
                <w:bCs w:val="0"/>
                <w:i/>
                <w:iCs/>
              </w:rPr>
              <w:t>ASIC</w:t>
            </w:r>
          </w:p>
          <w:p w14:paraId="500BEED7" w14:textId="672C19E0" w:rsidR="008E7331" w:rsidRPr="009E7CA0" w:rsidRDefault="008E7331" w:rsidP="008E7331">
            <w:pPr>
              <w:pStyle w:val="TableLeadAgency"/>
              <w:spacing w:before="0" w:after="0"/>
              <w:rPr>
                <w:rFonts w:ascii="Calibri" w:hAnsi="Calibri" w:cs="Calibri"/>
              </w:rPr>
            </w:pPr>
            <w:r w:rsidRPr="009E7CA0">
              <w:rPr>
                <w:rFonts w:ascii="Calibri" w:hAnsi="Calibri" w:cs="Calibri"/>
                <w:b w:val="0"/>
                <w:bCs w:val="0"/>
                <w:i/>
                <w:iCs/>
              </w:rPr>
              <w:t>APRA</w:t>
            </w:r>
          </w:p>
        </w:tc>
        <w:tc>
          <w:tcPr>
            <w:tcW w:w="1417" w:type="dxa"/>
            <w:tcBorders>
              <w:top w:val="single" w:sz="4" w:space="0" w:color="90B6F0" w:themeColor="accent5"/>
              <w:left w:val="nil"/>
              <w:bottom w:val="single" w:sz="4" w:space="0" w:color="90B6F0" w:themeColor="accent5"/>
              <w:right w:val="nil"/>
            </w:tcBorders>
            <w:tcMar>
              <w:left w:w="85" w:type="dxa"/>
              <w:right w:w="85" w:type="dxa"/>
            </w:tcMar>
          </w:tcPr>
          <w:p w14:paraId="74D68325" w14:textId="21E98B75" w:rsidR="008E7331" w:rsidRPr="009E7CA0" w:rsidRDefault="008E7331" w:rsidP="000A465B">
            <w:pPr>
              <w:pStyle w:val="TableTextLeft"/>
            </w:pPr>
            <w:r w:rsidRPr="009E7CA0">
              <w:t>Banking, credit and lending</w:t>
            </w:r>
          </w:p>
        </w:tc>
        <w:tc>
          <w:tcPr>
            <w:tcW w:w="3319" w:type="dxa"/>
            <w:tcBorders>
              <w:top w:val="single" w:sz="4" w:space="0" w:color="90B6F0" w:themeColor="accent5"/>
              <w:left w:val="nil"/>
              <w:bottom w:val="single" w:sz="4" w:space="0" w:color="90B6F0" w:themeColor="accent5"/>
              <w:right w:val="nil"/>
            </w:tcBorders>
            <w:tcMar>
              <w:left w:w="85" w:type="dxa"/>
              <w:right w:w="85" w:type="dxa"/>
            </w:tcMar>
          </w:tcPr>
          <w:p w14:paraId="1797BC42" w14:textId="77777777" w:rsidR="008E7331" w:rsidRPr="009E7CA0" w:rsidRDefault="008E7331" w:rsidP="008E7331">
            <w:pPr>
              <w:pStyle w:val="TableLink"/>
              <w:rPr>
                <w:rStyle w:val="Hyperlink"/>
                <w:color w:val="5D779D" w:themeColor="accent3"/>
                <w:u w:val="single"/>
              </w:rPr>
            </w:pPr>
            <w:hyperlink r:id="rId52">
              <w:r w:rsidRPr="009E7CA0">
                <w:rPr>
                  <w:rStyle w:val="Hyperlink"/>
                  <w:color w:val="5D779D" w:themeColor="accent3"/>
                  <w:u w:val="single"/>
                </w:rPr>
                <w:t>Cash Distribution Regulatory Framework Consultation</w:t>
              </w:r>
            </w:hyperlink>
            <w:r w:rsidRPr="009E7CA0">
              <w:rPr>
                <w:rStyle w:val="Hyperlink"/>
                <w:color w:val="5D779D" w:themeColor="accent3"/>
                <w:u w:val="single"/>
              </w:rPr>
              <w:t xml:space="preserve"> </w:t>
            </w:r>
          </w:p>
          <w:p w14:paraId="331DDEA8" w14:textId="64DB032B" w:rsidR="008E7331" w:rsidRPr="009E7CA0" w:rsidRDefault="008E7331" w:rsidP="00D418F2">
            <w:pPr>
              <w:pStyle w:val="TableTextLeft"/>
            </w:pPr>
            <w:r w:rsidRPr="009E7CA0">
              <w:t>The CFR and the ACCC considered a proposed regulatory framework to support the long</w:t>
            </w:r>
            <w:r w:rsidRPr="009E7CA0">
              <w:noBreakHyphen/>
              <w:t>term sustainability of the cash distribution system, to ensure that it operates in the public interest. Public consultation on regulating the cash distribution sector was undertaken in July</w:t>
            </w:r>
            <w:r w:rsidR="00D11489" w:rsidRPr="009E7CA0">
              <w:t> </w:t>
            </w:r>
            <w:r w:rsidRPr="009E7CA0">
              <w:t>and August</w:t>
            </w:r>
            <w:r w:rsidR="00D11489" w:rsidRPr="009E7CA0">
              <w:t> </w:t>
            </w:r>
            <w:r w:rsidRPr="009E7CA0">
              <w:t xml:space="preserve">2025. </w:t>
            </w:r>
          </w:p>
          <w:p w14:paraId="647228DC" w14:textId="1BF3B318" w:rsidR="008E7331" w:rsidRPr="009E7CA0" w:rsidRDefault="008E7331" w:rsidP="00D418F2">
            <w:pPr>
              <w:pStyle w:val="TableTextLeft"/>
            </w:pPr>
            <w:r w:rsidRPr="009E7CA0">
              <w:t>The Government is currently considering the advice of the CFR and the ACCC.</w:t>
            </w:r>
          </w:p>
        </w:tc>
        <w:tc>
          <w:tcPr>
            <w:tcW w:w="1501" w:type="dxa"/>
            <w:shd w:val="clear" w:color="auto" w:fill="E8F0FC" w:themeFill="accent5" w:themeFillTint="33"/>
            <w:tcMar>
              <w:left w:w="85" w:type="dxa"/>
              <w:right w:w="85" w:type="dxa"/>
            </w:tcMar>
          </w:tcPr>
          <w:p w14:paraId="0A967B08" w14:textId="6F2A4DF2" w:rsidR="008E7331" w:rsidRPr="009E7CA0" w:rsidRDefault="008E7331" w:rsidP="00C13FB1">
            <w:pPr>
              <w:pStyle w:val="TableTextLeft"/>
            </w:pPr>
            <w:r w:rsidRPr="009E7CA0">
              <w:t xml:space="preserve"> </w:t>
            </w:r>
          </w:p>
        </w:tc>
        <w:tc>
          <w:tcPr>
            <w:tcW w:w="1152" w:type="dxa"/>
            <w:shd w:val="clear" w:color="auto" w:fill="E8F0FC" w:themeFill="accent5" w:themeFillTint="33"/>
          </w:tcPr>
          <w:p w14:paraId="49FAA617" w14:textId="77777777" w:rsidR="008E7331" w:rsidRPr="009E7CA0" w:rsidRDefault="008E7331" w:rsidP="008E7331">
            <w:pPr>
              <w:pStyle w:val="TableTextLeft"/>
            </w:pPr>
          </w:p>
        </w:tc>
        <w:tc>
          <w:tcPr>
            <w:tcW w:w="1152" w:type="dxa"/>
            <w:shd w:val="clear" w:color="auto" w:fill="E8F0FC" w:themeFill="accent5" w:themeFillTint="33"/>
            <w:tcMar>
              <w:left w:w="85" w:type="dxa"/>
              <w:right w:w="85" w:type="dxa"/>
            </w:tcMar>
          </w:tcPr>
          <w:p w14:paraId="2FC2A56F" w14:textId="77777777" w:rsidR="008E7331" w:rsidRPr="009E7CA0" w:rsidRDefault="008E7331" w:rsidP="008E7331">
            <w:pPr>
              <w:pStyle w:val="TableTextLeft"/>
            </w:pPr>
          </w:p>
        </w:tc>
        <w:tc>
          <w:tcPr>
            <w:tcW w:w="1152" w:type="dxa"/>
            <w:shd w:val="clear" w:color="auto" w:fill="F4F8FE"/>
            <w:tcMar>
              <w:left w:w="85" w:type="dxa"/>
              <w:right w:w="85" w:type="dxa"/>
            </w:tcMar>
          </w:tcPr>
          <w:p w14:paraId="59516E70" w14:textId="77777777" w:rsidR="008E7331" w:rsidRPr="009E7CA0" w:rsidRDefault="008E7331" w:rsidP="008E7331">
            <w:pPr>
              <w:pStyle w:val="TableTextLeft"/>
            </w:pPr>
          </w:p>
        </w:tc>
        <w:tc>
          <w:tcPr>
            <w:tcW w:w="1152" w:type="dxa"/>
            <w:shd w:val="clear" w:color="auto" w:fill="F4F8FE"/>
            <w:tcMar>
              <w:left w:w="85" w:type="dxa"/>
              <w:right w:w="85" w:type="dxa"/>
            </w:tcMar>
          </w:tcPr>
          <w:p w14:paraId="240693BC" w14:textId="77777777" w:rsidR="008E7331" w:rsidRPr="009E7CA0" w:rsidRDefault="008E7331" w:rsidP="008E7331">
            <w:pPr>
              <w:pStyle w:val="TableTextLeft"/>
            </w:pPr>
          </w:p>
        </w:tc>
        <w:tc>
          <w:tcPr>
            <w:tcW w:w="1152" w:type="dxa"/>
            <w:shd w:val="clear" w:color="auto" w:fill="F4F8FE"/>
          </w:tcPr>
          <w:p w14:paraId="2B5E4CFE" w14:textId="77777777" w:rsidR="008E7331" w:rsidRPr="009E7CA0" w:rsidRDefault="008E7331" w:rsidP="008E7331">
            <w:pPr>
              <w:pStyle w:val="TableTextLeft"/>
            </w:pPr>
          </w:p>
        </w:tc>
        <w:tc>
          <w:tcPr>
            <w:tcW w:w="1153" w:type="dxa"/>
            <w:shd w:val="clear" w:color="auto" w:fill="F4F8FE"/>
          </w:tcPr>
          <w:p w14:paraId="5BBC80DE" w14:textId="77777777" w:rsidR="008E7331" w:rsidRPr="009E7CA0" w:rsidRDefault="008E7331" w:rsidP="008E7331">
            <w:pPr>
              <w:pStyle w:val="TableTextLeft"/>
            </w:pPr>
          </w:p>
        </w:tc>
      </w:tr>
      <w:tr w:rsidR="0042770D" w:rsidRPr="009E7CA0" w14:paraId="11066EF8" w14:textId="77777777" w:rsidTr="006947D0">
        <w:trPr>
          <w:cantSplit/>
          <w:trHeight w:val="20"/>
        </w:trPr>
        <w:tc>
          <w:tcPr>
            <w:tcW w:w="852" w:type="dxa"/>
            <w:tcBorders>
              <w:top w:val="single" w:sz="4" w:space="0" w:color="90B6F0" w:themeColor="accent5"/>
              <w:left w:val="nil"/>
              <w:bottom w:val="single" w:sz="4" w:space="0" w:color="90B6F0" w:themeColor="accent5"/>
              <w:right w:val="nil"/>
            </w:tcBorders>
            <w:tcMar>
              <w:left w:w="85" w:type="dxa"/>
              <w:right w:w="85" w:type="dxa"/>
            </w:tcMar>
          </w:tcPr>
          <w:p w14:paraId="209F4E0C" w14:textId="6B79ABF9" w:rsidR="008E7331" w:rsidRPr="009E7CA0" w:rsidRDefault="008E7331" w:rsidP="008E7331">
            <w:pPr>
              <w:pStyle w:val="TableLeadAgency"/>
              <w:spacing w:before="0" w:after="0"/>
              <w:rPr>
                <w:rFonts w:ascii="Calibri" w:hAnsi="Calibri" w:cs="Calibri"/>
              </w:rPr>
            </w:pPr>
            <w:r w:rsidRPr="009E7CA0">
              <w:t>TSY</w:t>
            </w:r>
          </w:p>
        </w:tc>
        <w:tc>
          <w:tcPr>
            <w:tcW w:w="1417" w:type="dxa"/>
            <w:tcBorders>
              <w:top w:val="single" w:sz="4" w:space="0" w:color="90B6F0" w:themeColor="accent5"/>
              <w:left w:val="nil"/>
              <w:bottom w:val="single" w:sz="4" w:space="0" w:color="90B6F0" w:themeColor="accent5"/>
              <w:right w:val="nil"/>
            </w:tcBorders>
            <w:tcMar>
              <w:left w:w="85" w:type="dxa"/>
              <w:right w:w="85" w:type="dxa"/>
            </w:tcMar>
          </w:tcPr>
          <w:p w14:paraId="1A81F934" w14:textId="35C74F71" w:rsidR="008E7331" w:rsidRPr="009E7CA0" w:rsidRDefault="008E7331" w:rsidP="000A465B">
            <w:pPr>
              <w:pStyle w:val="TableTextLeft"/>
            </w:pPr>
            <w:r w:rsidRPr="009E7CA0">
              <w:t>Financial advice</w:t>
            </w:r>
          </w:p>
        </w:tc>
        <w:tc>
          <w:tcPr>
            <w:tcW w:w="3319" w:type="dxa"/>
            <w:tcBorders>
              <w:top w:val="single" w:sz="4" w:space="0" w:color="90B6F0" w:themeColor="accent5"/>
              <w:left w:val="nil"/>
              <w:bottom w:val="single" w:sz="4" w:space="0" w:color="90B6F0" w:themeColor="accent5"/>
              <w:right w:val="nil"/>
            </w:tcBorders>
            <w:tcMar>
              <w:left w:w="85" w:type="dxa"/>
              <w:right w:w="85" w:type="dxa"/>
            </w:tcMar>
          </w:tcPr>
          <w:p w14:paraId="3A3F6FC1" w14:textId="77777777" w:rsidR="008E7331" w:rsidRPr="009E7CA0" w:rsidRDefault="008E7331" w:rsidP="008E7331">
            <w:pPr>
              <w:pStyle w:val="TableLink"/>
              <w:rPr>
                <w:rStyle w:val="Hyperlink"/>
                <w:color w:val="5D779D" w:themeColor="accent3"/>
                <w:u w:val="single"/>
              </w:rPr>
            </w:pPr>
            <w:hyperlink r:id="rId53">
              <w:r w:rsidRPr="009E7CA0">
                <w:rPr>
                  <w:rStyle w:val="Hyperlink"/>
                  <w:color w:val="5D779D" w:themeColor="accent3"/>
                  <w:u w:val="single"/>
                </w:rPr>
                <w:t>Creating a better pathway for financial advisers</w:t>
              </w:r>
            </w:hyperlink>
            <w:r w:rsidRPr="009E7CA0">
              <w:rPr>
                <w:rStyle w:val="Hyperlink"/>
                <w:color w:val="5D779D" w:themeColor="accent3"/>
                <w:u w:val="single"/>
              </w:rPr>
              <w:t xml:space="preserve"> </w:t>
            </w:r>
          </w:p>
          <w:p w14:paraId="07420760" w14:textId="0C72487A" w:rsidR="008E7331" w:rsidRPr="009E7CA0" w:rsidRDefault="008E7331" w:rsidP="008518B5">
            <w:pPr>
              <w:pStyle w:val="TableTextLeft"/>
            </w:pPr>
            <w:r w:rsidRPr="009E7CA0">
              <w:t xml:space="preserve">The </w:t>
            </w:r>
            <w:r w:rsidR="00A46398">
              <w:t>g</w:t>
            </w:r>
            <w:r w:rsidRPr="009E7CA0">
              <w:t>overnment will reform education requirements for professional financial advisers to create a sustainable pathway for entry into the profession and help address the declining numbers of advisers. Public consultation on the reforms commenced on 17 March 2026.</w:t>
            </w:r>
          </w:p>
        </w:tc>
        <w:tc>
          <w:tcPr>
            <w:tcW w:w="1501" w:type="dxa"/>
            <w:shd w:val="clear" w:color="auto" w:fill="E8F0FC" w:themeFill="accent5" w:themeFillTint="33"/>
            <w:tcMar>
              <w:left w:w="85" w:type="dxa"/>
              <w:right w:w="85" w:type="dxa"/>
            </w:tcMar>
          </w:tcPr>
          <w:p w14:paraId="0B21AC4B" w14:textId="0AB1249B" w:rsidR="008E7331" w:rsidRPr="009E7CA0" w:rsidRDefault="008E7331" w:rsidP="00874558">
            <w:pPr>
              <w:pStyle w:val="TableTextLeft"/>
            </w:pPr>
            <w:r w:rsidRPr="009E7CA0">
              <w:t>The Government commenced public consultation on 17 March 2026, with consultation closing on 17 April 2026.</w:t>
            </w:r>
          </w:p>
        </w:tc>
        <w:tc>
          <w:tcPr>
            <w:tcW w:w="1152" w:type="dxa"/>
            <w:shd w:val="clear" w:color="auto" w:fill="E8F0FC" w:themeFill="accent5" w:themeFillTint="33"/>
          </w:tcPr>
          <w:p w14:paraId="25DB787D" w14:textId="77777777" w:rsidR="008E7331" w:rsidRPr="009E7CA0" w:rsidRDefault="008E7331" w:rsidP="008E7331">
            <w:pPr>
              <w:pStyle w:val="TableTextLeft"/>
            </w:pPr>
          </w:p>
        </w:tc>
        <w:tc>
          <w:tcPr>
            <w:tcW w:w="1152" w:type="dxa"/>
            <w:shd w:val="clear" w:color="auto" w:fill="E8F0FC" w:themeFill="accent5" w:themeFillTint="33"/>
            <w:tcMar>
              <w:left w:w="85" w:type="dxa"/>
              <w:right w:w="85" w:type="dxa"/>
            </w:tcMar>
          </w:tcPr>
          <w:p w14:paraId="6FAA1292" w14:textId="77777777" w:rsidR="008E7331" w:rsidRPr="009E7CA0" w:rsidRDefault="008E7331" w:rsidP="008E7331">
            <w:pPr>
              <w:pStyle w:val="TableTextLeft"/>
            </w:pPr>
          </w:p>
        </w:tc>
        <w:tc>
          <w:tcPr>
            <w:tcW w:w="1152" w:type="dxa"/>
            <w:shd w:val="clear" w:color="auto" w:fill="F4F8FE"/>
            <w:tcMar>
              <w:left w:w="85" w:type="dxa"/>
              <w:right w:w="85" w:type="dxa"/>
            </w:tcMar>
          </w:tcPr>
          <w:p w14:paraId="6A976FF6" w14:textId="77777777" w:rsidR="008E7331" w:rsidRPr="009E7CA0" w:rsidRDefault="008E7331" w:rsidP="008E7331">
            <w:pPr>
              <w:pStyle w:val="TableTextLeft"/>
            </w:pPr>
          </w:p>
        </w:tc>
        <w:tc>
          <w:tcPr>
            <w:tcW w:w="1152" w:type="dxa"/>
            <w:shd w:val="clear" w:color="auto" w:fill="F4F8FE"/>
            <w:tcMar>
              <w:left w:w="85" w:type="dxa"/>
              <w:right w:w="85" w:type="dxa"/>
            </w:tcMar>
          </w:tcPr>
          <w:p w14:paraId="4EAF1332" w14:textId="77777777" w:rsidR="008E7331" w:rsidRPr="009E7CA0" w:rsidRDefault="008E7331" w:rsidP="008E7331">
            <w:pPr>
              <w:pStyle w:val="TableTextLeft"/>
            </w:pPr>
          </w:p>
        </w:tc>
        <w:tc>
          <w:tcPr>
            <w:tcW w:w="1152" w:type="dxa"/>
            <w:shd w:val="clear" w:color="auto" w:fill="F4F8FE"/>
          </w:tcPr>
          <w:p w14:paraId="2D805568" w14:textId="77777777" w:rsidR="008E7331" w:rsidRPr="009E7CA0" w:rsidRDefault="008E7331" w:rsidP="008E7331">
            <w:pPr>
              <w:pStyle w:val="TableTextLeft"/>
            </w:pPr>
          </w:p>
        </w:tc>
        <w:tc>
          <w:tcPr>
            <w:tcW w:w="1153" w:type="dxa"/>
            <w:shd w:val="clear" w:color="auto" w:fill="F4F8FE"/>
          </w:tcPr>
          <w:p w14:paraId="2F59545E" w14:textId="77777777" w:rsidR="008E7331" w:rsidRPr="009E7CA0" w:rsidRDefault="008E7331" w:rsidP="008E7331">
            <w:pPr>
              <w:pStyle w:val="TableTextLeft"/>
            </w:pPr>
          </w:p>
        </w:tc>
      </w:tr>
      <w:tr w:rsidR="0042770D" w:rsidRPr="009E7CA0" w14:paraId="059C44F9" w14:textId="77777777" w:rsidTr="006947D0">
        <w:trPr>
          <w:cantSplit/>
          <w:trHeight w:val="20"/>
        </w:trPr>
        <w:tc>
          <w:tcPr>
            <w:tcW w:w="852" w:type="dxa"/>
            <w:tcBorders>
              <w:top w:val="single" w:sz="4" w:space="0" w:color="90B6F0" w:themeColor="accent5"/>
              <w:left w:val="nil"/>
              <w:bottom w:val="single" w:sz="4" w:space="0" w:color="90B6F0" w:themeColor="accent5"/>
              <w:right w:val="nil"/>
            </w:tcBorders>
            <w:tcMar>
              <w:left w:w="85" w:type="dxa"/>
              <w:right w:w="85" w:type="dxa"/>
            </w:tcMar>
          </w:tcPr>
          <w:p w14:paraId="71D48AB7" w14:textId="0B8B3EED" w:rsidR="008E7331" w:rsidRPr="009E7CA0" w:rsidRDefault="008E7331" w:rsidP="008E7331">
            <w:pPr>
              <w:pStyle w:val="TableLeadAgency"/>
              <w:spacing w:before="0" w:after="0"/>
            </w:pPr>
            <w:r w:rsidRPr="009E7CA0">
              <w:t>TSY</w:t>
            </w:r>
          </w:p>
        </w:tc>
        <w:tc>
          <w:tcPr>
            <w:tcW w:w="1417" w:type="dxa"/>
            <w:tcBorders>
              <w:top w:val="single" w:sz="4" w:space="0" w:color="90B6F0" w:themeColor="accent5"/>
              <w:left w:val="nil"/>
              <w:bottom w:val="single" w:sz="4" w:space="0" w:color="90B6F0" w:themeColor="accent5"/>
              <w:right w:val="nil"/>
            </w:tcBorders>
            <w:tcMar>
              <w:left w:w="85" w:type="dxa"/>
              <w:right w:w="85" w:type="dxa"/>
            </w:tcMar>
          </w:tcPr>
          <w:p w14:paraId="77F9B361" w14:textId="77777777" w:rsidR="008E7331" w:rsidRPr="009E7CA0" w:rsidRDefault="008E7331" w:rsidP="000A465B">
            <w:pPr>
              <w:pStyle w:val="TableTextLeft"/>
            </w:pPr>
            <w:r w:rsidRPr="009E7CA0">
              <w:t xml:space="preserve">Collective management and investment management </w:t>
            </w:r>
          </w:p>
          <w:p w14:paraId="01DA7CA1" w14:textId="77777777" w:rsidR="008E7331" w:rsidRPr="009E7CA0" w:rsidRDefault="008E7331" w:rsidP="000A465B">
            <w:pPr>
              <w:pStyle w:val="TableTextLeft"/>
            </w:pPr>
          </w:p>
        </w:tc>
        <w:tc>
          <w:tcPr>
            <w:tcW w:w="3319" w:type="dxa"/>
            <w:tcBorders>
              <w:top w:val="single" w:sz="4" w:space="0" w:color="90B6F0" w:themeColor="accent5"/>
              <w:left w:val="nil"/>
              <w:bottom w:val="single" w:sz="4" w:space="0" w:color="90B6F0" w:themeColor="accent5"/>
              <w:right w:val="nil"/>
            </w:tcBorders>
            <w:tcMar>
              <w:left w:w="85" w:type="dxa"/>
              <w:right w:w="85" w:type="dxa"/>
            </w:tcMar>
          </w:tcPr>
          <w:p w14:paraId="416393AA" w14:textId="434AF068" w:rsidR="008E7331" w:rsidRPr="009E7CA0" w:rsidRDefault="008E7331" w:rsidP="008E7331">
            <w:pPr>
              <w:pStyle w:val="TableLink"/>
            </w:pPr>
            <w:hyperlink r:id="rId54" w:history="1">
              <w:r w:rsidRPr="009E7CA0">
                <w:t xml:space="preserve">Enhancing oversight and governance of Managed Investment Schemes </w:t>
              </w:r>
            </w:hyperlink>
            <w:r w:rsidRPr="009E7CA0">
              <w:rPr>
                <w:rStyle w:val="Strong"/>
                <w:b/>
                <w:bCs w:val="0"/>
                <w:color w:val="4D7861" w:themeColor="accent2"/>
                <w:u w:val="none"/>
                <w:lang w:val="en-AU"/>
              </w:rPr>
              <w:t>(new)</w:t>
            </w:r>
          </w:p>
          <w:p w14:paraId="35EBE090" w14:textId="5B677967" w:rsidR="008E7331" w:rsidRPr="009E7CA0" w:rsidRDefault="008E7331" w:rsidP="00BD5C5D">
            <w:pPr>
              <w:pStyle w:val="TableTextLeft"/>
            </w:pPr>
            <w:r w:rsidRPr="009E7CA0">
              <w:t>In response to the collapses of Shield and First Guardian, Treasury consulted on enhancing the governance of managed investment schemes and improving ASIC’s visibility of superannuation switching. Consultation on options was completed in February</w:t>
            </w:r>
            <w:r w:rsidR="00BD5C5D" w:rsidRPr="009E7CA0">
              <w:t> </w:t>
            </w:r>
            <w:r w:rsidR="00E034DD" w:rsidRPr="009E7CA0">
              <w:t>2026,</w:t>
            </w:r>
            <w:r w:rsidRPr="009E7CA0">
              <w:t xml:space="preserve"> and options are being considered. Timing of any further work will be announced in due course. </w:t>
            </w:r>
          </w:p>
        </w:tc>
        <w:tc>
          <w:tcPr>
            <w:tcW w:w="1501" w:type="dxa"/>
            <w:shd w:val="clear" w:color="auto" w:fill="E8F0FC" w:themeFill="accent5" w:themeFillTint="33"/>
            <w:tcMar>
              <w:left w:w="85" w:type="dxa"/>
              <w:right w:w="85" w:type="dxa"/>
            </w:tcMar>
          </w:tcPr>
          <w:p w14:paraId="3512D75F" w14:textId="77777777" w:rsidR="008E7331" w:rsidRPr="009E7CA0" w:rsidRDefault="008E7331" w:rsidP="00C13FB1">
            <w:pPr>
              <w:pStyle w:val="TableTextLeft"/>
              <w:rPr>
                <w:sz w:val="16"/>
              </w:rPr>
            </w:pPr>
          </w:p>
        </w:tc>
        <w:tc>
          <w:tcPr>
            <w:tcW w:w="1152" w:type="dxa"/>
            <w:shd w:val="clear" w:color="auto" w:fill="E8F0FC" w:themeFill="accent5" w:themeFillTint="33"/>
          </w:tcPr>
          <w:p w14:paraId="2EDD26F0" w14:textId="77777777" w:rsidR="008E7331" w:rsidRPr="009E7CA0" w:rsidRDefault="008E7331" w:rsidP="008E7331">
            <w:pPr>
              <w:pStyle w:val="TableTextLeft"/>
            </w:pPr>
          </w:p>
        </w:tc>
        <w:tc>
          <w:tcPr>
            <w:tcW w:w="1152" w:type="dxa"/>
            <w:shd w:val="clear" w:color="auto" w:fill="E8F0FC" w:themeFill="accent5" w:themeFillTint="33"/>
            <w:tcMar>
              <w:left w:w="85" w:type="dxa"/>
              <w:right w:w="85" w:type="dxa"/>
            </w:tcMar>
          </w:tcPr>
          <w:p w14:paraId="752B8D57" w14:textId="77777777" w:rsidR="008E7331" w:rsidRPr="009E7CA0" w:rsidRDefault="008E7331" w:rsidP="008E7331">
            <w:pPr>
              <w:pStyle w:val="TableTextLeft"/>
            </w:pPr>
          </w:p>
        </w:tc>
        <w:tc>
          <w:tcPr>
            <w:tcW w:w="1152" w:type="dxa"/>
            <w:shd w:val="clear" w:color="auto" w:fill="F4F8FE"/>
            <w:tcMar>
              <w:left w:w="85" w:type="dxa"/>
              <w:right w:w="85" w:type="dxa"/>
            </w:tcMar>
          </w:tcPr>
          <w:p w14:paraId="22DA3FBD" w14:textId="77777777" w:rsidR="008E7331" w:rsidRPr="009E7CA0" w:rsidRDefault="008E7331" w:rsidP="008E7331">
            <w:pPr>
              <w:pStyle w:val="TableTextLeft"/>
            </w:pPr>
          </w:p>
        </w:tc>
        <w:tc>
          <w:tcPr>
            <w:tcW w:w="1152" w:type="dxa"/>
            <w:shd w:val="clear" w:color="auto" w:fill="F4F8FE"/>
            <w:tcMar>
              <w:left w:w="85" w:type="dxa"/>
              <w:right w:w="85" w:type="dxa"/>
            </w:tcMar>
          </w:tcPr>
          <w:p w14:paraId="29CBF653" w14:textId="77777777" w:rsidR="008E7331" w:rsidRPr="009E7CA0" w:rsidRDefault="008E7331" w:rsidP="008E7331">
            <w:pPr>
              <w:pStyle w:val="TableTextLeft"/>
            </w:pPr>
          </w:p>
        </w:tc>
        <w:tc>
          <w:tcPr>
            <w:tcW w:w="1152" w:type="dxa"/>
            <w:shd w:val="clear" w:color="auto" w:fill="F4F8FE"/>
          </w:tcPr>
          <w:p w14:paraId="10B59EA1" w14:textId="77777777" w:rsidR="008E7331" w:rsidRPr="009E7CA0" w:rsidRDefault="008E7331" w:rsidP="008E7331">
            <w:pPr>
              <w:pStyle w:val="TableTextLeft"/>
            </w:pPr>
          </w:p>
        </w:tc>
        <w:tc>
          <w:tcPr>
            <w:tcW w:w="1153" w:type="dxa"/>
            <w:shd w:val="clear" w:color="auto" w:fill="F4F8FE"/>
          </w:tcPr>
          <w:p w14:paraId="22933D1D" w14:textId="77777777" w:rsidR="008E7331" w:rsidRPr="009E7CA0" w:rsidRDefault="008E7331" w:rsidP="008E7331">
            <w:pPr>
              <w:pStyle w:val="TableTextLeft"/>
            </w:pPr>
          </w:p>
        </w:tc>
      </w:tr>
      <w:tr w:rsidR="0042770D" w:rsidRPr="009E7CA0" w14:paraId="4D5D0383" w14:textId="77777777" w:rsidTr="006947D0">
        <w:trPr>
          <w:cantSplit/>
          <w:trHeight w:val="20"/>
        </w:trPr>
        <w:tc>
          <w:tcPr>
            <w:tcW w:w="852" w:type="dxa"/>
            <w:tcBorders>
              <w:top w:val="single" w:sz="4" w:space="0" w:color="90B6F0" w:themeColor="accent5"/>
              <w:left w:val="nil"/>
              <w:bottom w:val="single" w:sz="4" w:space="0" w:color="90B6F0" w:themeColor="accent5"/>
              <w:right w:val="nil"/>
            </w:tcBorders>
            <w:tcMar>
              <w:left w:w="85" w:type="dxa"/>
              <w:right w:w="85" w:type="dxa"/>
            </w:tcMar>
          </w:tcPr>
          <w:p w14:paraId="6BD63BDB" w14:textId="6CF8F83C" w:rsidR="008E7331" w:rsidRPr="009E7CA0" w:rsidRDefault="008E7331" w:rsidP="008E7331">
            <w:pPr>
              <w:pStyle w:val="TableLeadAgency"/>
              <w:spacing w:before="0" w:after="0"/>
            </w:pPr>
            <w:r w:rsidRPr="009E7CA0">
              <w:lastRenderedPageBreak/>
              <w:t>TSY</w:t>
            </w:r>
          </w:p>
        </w:tc>
        <w:tc>
          <w:tcPr>
            <w:tcW w:w="1417" w:type="dxa"/>
            <w:tcBorders>
              <w:top w:val="single" w:sz="4" w:space="0" w:color="90B6F0" w:themeColor="accent5"/>
              <w:left w:val="nil"/>
              <w:bottom w:val="single" w:sz="4" w:space="0" w:color="90B6F0" w:themeColor="accent5"/>
              <w:right w:val="nil"/>
            </w:tcBorders>
            <w:tcMar>
              <w:left w:w="85" w:type="dxa"/>
              <w:right w:w="85" w:type="dxa"/>
            </w:tcMar>
          </w:tcPr>
          <w:p w14:paraId="504382CF" w14:textId="77777777" w:rsidR="008E7331" w:rsidRDefault="008E7331" w:rsidP="000A465B">
            <w:pPr>
              <w:pStyle w:val="TableTextLeft"/>
            </w:pPr>
            <w:r w:rsidRPr="009E7CA0">
              <w:t xml:space="preserve">Financial Advice </w:t>
            </w:r>
          </w:p>
          <w:p w14:paraId="14C32FAE" w14:textId="074E1AB3" w:rsidR="00433449" w:rsidRPr="009E7CA0" w:rsidRDefault="00433449" w:rsidP="000A465B">
            <w:pPr>
              <w:pStyle w:val="TableTextLeft"/>
            </w:pPr>
            <w:r w:rsidRPr="009E7CA0">
              <w:t>Superannuation and retirement income</w:t>
            </w:r>
          </w:p>
        </w:tc>
        <w:tc>
          <w:tcPr>
            <w:tcW w:w="3319" w:type="dxa"/>
            <w:tcBorders>
              <w:top w:val="single" w:sz="4" w:space="0" w:color="90B6F0" w:themeColor="accent5"/>
              <w:left w:val="nil"/>
              <w:bottom w:val="single" w:sz="4" w:space="0" w:color="90B6F0" w:themeColor="accent5"/>
              <w:right w:val="nil"/>
            </w:tcBorders>
            <w:tcMar>
              <w:left w:w="85" w:type="dxa"/>
              <w:right w:w="85" w:type="dxa"/>
            </w:tcMar>
          </w:tcPr>
          <w:p w14:paraId="175768F7" w14:textId="02DB1B91" w:rsidR="008E7331" w:rsidRPr="009E7CA0" w:rsidRDefault="008E7331" w:rsidP="008E7331">
            <w:pPr>
              <w:pStyle w:val="TableLink"/>
            </w:pPr>
            <w:r w:rsidRPr="009E7CA0">
              <w:t xml:space="preserve">Curbing Lead Generation Activity </w:t>
            </w:r>
            <w:r w:rsidR="004E370F" w:rsidRPr="009E7CA0">
              <w:rPr>
                <w:rStyle w:val="Strong"/>
                <w:b/>
                <w:bCs w:val="0"/>
                <w:color w:val="4D7861" w:themeColor="accent2"/>
                <w:u w:val="none"/>
                <w:lang w:val="en-AU"/>
              </w:rPr>
              <w:t>(new)</w:t>
            </w:r>
          </w:p>
          <w:p w14:paraId="1F08E813" w14:textId="13878FCC" w:rsidR="008E7331" w:rsidRPr="009E7CA0" w:rsidRDefault="008E7331" w:rsidP="004D7297">
            <w:pPr>
              <w:pStyle w:val="TableLink"/>
            </w:pPr>
            <w:r w:rsidRPr="009E7CA0">
              <w:rPr>
                <w:b w:val="0"/>
                <w:color w:val="000000" w:themeColor="text1"/>
                <w:u w:val="none"/>
              </w:rPr>
              <w:t>In response to the collapses of Shield and First Guardian,</w:t>
            </w:r>
            <w:r w:rsidRPr="009E7CA0">
              <w:rPr>
                <w:u w:val="none"/>
              </w:rPr>
              <w:t xml:space="preserve"> </w:t>
            </w:r>
            <w:r w:rsidRPr="009E7CA0">
              <w:rPr>
                <w:b w:val="0"/>
                <w:color w:val="000000" w:themeColor="text1"/>
                <w:u w:val="none"/>
              </w:rPr>
              <w:t>the government is consulting on reforms to strengthen consumer protections against high-risk and harmful lead generation practices in connection with financial advice and superannuation. The timing of next steps will be announced in due course. This consultation will be linked to the consultation on creating a safer framework for superannuation switching.</w:t>
            </w:r>
          </w:p>
        </w:tc>
        <w:tc>
          <w:tcPr>
            <w:tcW w:w="1501" w:type="dxa"/>
            <w:shd w:val="clear" w:color="auto" w:fill="E8F0FC" w:themeFill="accent5" w:themeFillTint="33"/>
            <w:tcMar>
              <w:left w:w="85" w:type="dxa"/>
              <w:right w:w="85" w:type="dxa"/>
            </w:tcMar>
          </w:tcPr>
          <w:p w14:paraId="26C3943C" w14:textId="2B9F97D6" w:rsidR="008E7331" w:rsidRPr="009E7CA0" w:rsidRDefault="008E7331" w:rsidP="00874558">
            <w:pPr>
              <w:pStyle w:val="TableTextLeft"/>
            </w:pPr>
            <w:r w:rsidRPr="009E7CA0">
              <w:t>Public consultation on options for reform will conclude on 22</w:t>
            </w:r>
            <w:r w:rsidR="00A25F49" w:rsidRPr="009E7CA0">
              <w:t> </w:t>
            </w:r>
            <w:r w:rsidRPr="009E7CA0">
              <w:t>May</w:t>
            </w:r>
            <w:r w:rsidR="00A25F49" w:rsidRPr="009E7CA0">
              <w:t> </w:t>
            </w:r>
            <w:r w:rsidRPr="009E7CA0">
              <w:t xml:space="preserve">2026. </w:t>
            </w:r>
          </w:p>
          <w:p w14:paraId="33BBEDC8" w14:textId="77777777" w:rsidR="008E7331" w:rsidRPr="009E7CA0" w:rsidRDefault="008E7331" w:rsidP="00C13FB1">
            <w:pPr>
              <w:pStyle w:val="TableTextLeft"/>
              <w:rPr>
                <w:sz w:val="16"/>
              </w:rPr>
            </w:pPr>
          </w:p>
        </w:tc>
        <w:tc>
          <w:tcPr>
            <w:tcW w:w="1152" w:type="dxa"/>
            <w:shd w:val="clear" w:color="auto" w:fill="E8F0FC" w:themeFill="accent5" w:themeFillTint="33"/>
          </w:tcPr>
          <w:p w14:paraId="4B9DD311" w14:textId="77777777" w:rsidR="008E7331" w:rsidRPr="009E7CA0" w:rsidRDefault="008E7331" w:rsidP="008E7331">
            <w:pPr>
              <w:pStyle w:val="TableTextLeft"/>
            </w:pPr>
          </w:p>
        </w:tc>
        <w:tc>
          <w:tcPr>
            <w:tcW w:w="1152" w:type="dxa"/>
            <w:shd w:val="clear" w:color="auto" w:fill="E8F0FC" w:themeFill="accent5" w:themeFillTint="33"/>
            <w:tcMar>
              <w:left w:w="85" w:type="dxa"/>
              <w:right w:w="85" w:type="dxa"/>
            </w:tcMar>
          </w:tcPr>
          <w:p w14:paraId="00B722F9" w14:textId="77777777" w:rsidR="008E7331" w:rsidRPr="009E7CA0" w:rsidRDefault="008E7331" w:rsidP="008E7331">
            <w:pPr>
              <w:pStyle w:val="TableTextLeft"/>
            </w:pPr>
          </w:p>
        </w:tc>
        <w:tc>
          <w:tcPr>
            <w:tcW w:w="1152" w:type="dxa"/>
            <w:shd w:val="clear" w:color="auto" w:fill="F4F8FE"/>
            <w:tcMar>
              <w:left w:w="85" w:type="dxa"/>
              <w:right w:w="85" w:type="dxa"/>
            </w:tcMar>
          </w:tcPr>
          <w:p w14:paraId="0CC55E3C" w14:textId="77777777" w:rsidR="008E7331" w:rsidRPr="009E7CA0" w:rsidRDefault="008E7331" w:rsidP="008E7331">
            <w:pPr>
              <w:pStyle w:val="TableTextLeft"/>
            </w:pPr>
          </w:p>
        </w:tc>
        <w:tc>
          <w:tcPr>
            <w:tcW w:w="1152" w:type="dxa"/>
            <w:shd w:val="clear" w:color="auto" w:fill="F4F8FE"/>
            <w:tcMar>
              <w:left w:w="85" w:type="dxa"/>
              <w:right w:w="85" w:type="dxa"/>
            </w:tcMar>
          </w:tcPr>
          <w:p w14:paraId="0ABCEAFC" w14:textId="77777777" w:rsidR="008E7331" w:rsidRPr="009E7CA0" w:rsidRDefault="008E7331" w:rsidP="008E7331">
            <w:pPr>
              <w:pStyle w:val="TableTextLeft"/>
            </w:pPr>
          </w:p>
        </w:tc>
        <w:tc>
          <w:tcPr>
            <w:tcW w:w="1152" w:type="dxa"/>
            <w:shd w:val="clear" w:color="auto" w:fill="F4F8FE"/>
          </w:tcPr>
          <w:p w14:paraId="0C8F7398" w14:textId="77777777" w:rsidR="008E7331" w:rsidRPr="009E7CA0" w:rsidRDefault="008E7331" w:rsidP="008E7331">
            <w:pPr>
              <w:pStyle w:val="TableTextLeft"/>
            </w:pPr>
          </w:p>
        </w:tc>
        <w:tc>
          <w:tcPr>
            <w:tcW w:w="1153" w:type="dxa"/>
            <w:shd w:val="clear" w:color="auto" w:fill="F4F8FE"/>
          </w:tcPr>
          <w:p w14:paraId="7652463A" w14:textId="77777777" w:rsidR="008E7331" w:rsidRPr="009E7CA0" w:rsidRDefault="008E7331" w:rsidP="008E7331">
            <w:pPr>
              <w:pStyle w:val="TableTextLeft"/>
            </w:pPr>
          </w:p>
        </w:tc>
      </w:tr>
      <w:tr w:rsidR="0042770D" w:rsidRPr="009E7CA0" w14:paraId="1558F7F4" w14:textId="77777777" w:rsidTr="006947D0">
        <w:trPr>
          <w:cantSplit/>
          <w:trHeight w:val="20"/>
        </w:trPr>
        <w:tc>
          <w:tcPr>
            <w:tcW w:w="852" w:type="dxa"/>
            <w:tcBorders>
              <w:top w:val="single" w:sz="4" w:space="0" w:color="90B6F0" w:themeColor="accent5"/>
              <w:left w:val="nil"/>
              <w:bottom w:val="single" w:sz="4" w:space="0" w:color="90B6F0" w:themeColor="accent5"/>
              <w:right w:val="nil"/>
            </w:tcBorders>
            <w:tcMar>
              <w:left w:w="85" w:type="dxa"/>
              <w:right w:w="85" w:type="dxa"/>
            </w:tcMar>
          </w:tcPr>
          <w:p w14:paraId="54C40A98" w14:textId="192421B7" w:rsidR="008E7331" w:rsidRPr="009E7CA0" w:rsidRDefault="008E7331" w:rsidP="008E7331">
            <w:pPr>
              <w:pStyle w:val="TableLeadAgency"/>
              <w:spacing w:before="0" w:after="0"/>
            </w:pPr>
            <w:r w:rsidRPr="009E7CA0">
              <w:t>TSY</w:t>
            </w:r>
          </w:p>
        </w:tc>
        <w:tc>
          <w:tcPr>
            <w:tcW w:w="1417" w:type="dxa"/>
            <w:tcBorders>
              <w:top w:val="single" w:sz="4" w:space="0" w:color="90B6F0" w:themeColor="accent5"/>
              <w:left w:val="nil"/>
              <w:bottom w:val="single" w:sz="4" w:space="0" w:color="90B6F0" w:themeColor="accent5"/>
              <w:right w:val="nil"/>
            </w:tcBorders>
            <w:tcMar>
              <w:left w:w="85" w:type="dxa"/>
              <w:right w:w="85" w:type="dxa"/>
            </w:tcMar>
          </w:tcPr>
          <w:p w14:paraId="7FD751D1" w14:textId="1A2E28DF" w:rsidR="008E7331" w:rsidRPr="009E7CA0" w:rsidRDefault="008E7331" w:rsidP="000A465B">
            <w:pPr>
              <w:pStyle w:val="TableTextLeft"/>
            </w:pPr>
            <w:r w:rsidRPr="009E7CA0">
              <w:t>Superannuation and retirement income</w:t>
            </w:r>
          </w:p>
        </w:tc>
        <w:tc>
          <w:tcPr>
            <w:tcW w:w="3319" w:type="dxa"/>
            <w:tcBorders>
              <w:top w:val="single" w:sz="4" w:space="0" w:color="90B6F0" w:themeColor="accent5"/>
              <w:left w:val="nil"/>
              <w:bottom w:val="single" w:sz="4" w:space="0" w:color="90B6F0" w:themeColor="accent5"/>
              <w:right w:val="nil"/>
            </w:tcBorders>
            <w:tcMar>
              <w:left w:w="85" w:type="dxa"/>
              <w:right w:w="85" w:type="dxa"/>
            </w:tcMar>
          </w:tcPr>
          <w:p w14:paraId="77E2C01C" w14:textId="77777777" w:rsidR="008E7331" w:rsidRPr="009E7CA0" w:rsidRDefault="008E7331" w:rsidP="008E7331">
            <w:pPr>
              <w:pStyle w:val="TableLink"/>
            </w:pPr>
            <w:r w:rsidRPr="009E7CA0">
              <w:t xml:space="preserve">Enhancing member protections in the superannuation system </w:t>
            </w:r>
            <w:r w:rsidRPr="008E101E">
              <w:rPr>
                <w:color w:val="4D7861" w:themeColor="accent2"/>
              </w:rPr>
              <w:t>(new)</w:t>
            </w:r>
          </w:p>
          <w:p w14:paraId="50F0EEDA" w14:textId="317B7C1C" w:rsidR="008E7331" w:rsidRPr="009E7CA0" w:rsidRDefault="008E7331" w:rsidP="008E7331">
            <w:pPr>
              <w:pStyle w:val="TableLink"/>
              <w:rPr>
                <w:b w:val="0"/>
                <w:color w:val="000000" w:themeColor="text1"/>
                <w:u w:val="none"/>
              </w:rPr>
            </w:pPr>
            <w:r w:rsidRPr="009E7CA0">
              <w:rPr>
                <w:b w:val="0"/>
                <w:bCs/>
                <w:color w:val="000000" w:themeColor="text1"/>
                <w:u w:val="none"/>
              </w:rPr>
              <w:t>In response to the collapses of Shield and First Guardian,</w:t>
            </w:r>
            <w:r w:rsidRPr="009E7CA0">
              <w:rPr>
                <w:color w:val="000000" w:themeColor="text1"/>
                <w:u w:val="none"/>
              </w:rPr>
              <w:t xml:space="preserve"> </w:t>
            </w:r>
            <w:r w:rsidRPr="009E7CA0">
              <w:rPr>
                <w:b w:val="0"/>
                <w:color w:val="000000" w:themeColor="text1"/>
                <w:u w:val="none"/>
              </w:rPr>
              <w:t>the government is consulting on proposals to strengthen consumer protections by creating a safer framework for superannuation switching,</w:t>
            </w:r>
            <w:r w:rsidR="007038C5">
              <w:rPr>
                <w:b w:val="0"/>
                <w:color w:val="000000" w:themeColor="text1"/>
                <w:u w:val="none"/>
              </w:rPr>
              <w:t xml:space="preserve"> </w:t>
            </w:r>
            <w:r w:rsidRPr="009E7CA0">
              <w:rPr>
                <w:b w:val="0"/>
                <w:color w:val="000000" w:themeColor="text1"/>
                <w:u w:val="none"/>
              </w:rPr>
              <w:t xml:space="preserve">and strengthening superannuation trustee governance standards. </w:t>
            </w:r>
          </w:p>
          <w:p w14:paraId="026AAEA6" w14:textId="460804A0" w:rsidR="008E7331" w:rsidRPr="009E7CA0" w:rsidRDefault="008E7331" w:rsidP="008E7331">
            <w:pPr>
              <w:pStyle w:val="TableLink"/>
            </w:pPr>
            <w:r w:rsidRPr="009E7CA0">
              <w:rPr>
                <w:b w:val="0"/>
                <w:color w:val="000000" w:themeColor="text1"/>
                <w:u w:val="none"/>
              </w:rPr>
              <w:t>This will build on earlier consultation on improving ASIC’s visibility of superannuation switching and will also be linked to the consultation on curbing lead generation.</w:t>
            </w:r>
          </w:p>
        </w:tc>
        <w:tc>
          <w:tcPr>
            <w:tcW w:w="1501" w:type="dxa"/>
            <w:shd w:val="clear" w:color="auto" w:fill="E8F0FC" w:themeFill="accent5" w:themeFillTint="33"/>
            <w:tcMar>
              <w:left w:w="85" w:type="dxa"/>
              <w:right w:w="85" w:type="dxa"/>
            </w:tcMar>
          </w:tcPr>
          <w:p w14:paraId="525A3DF2" w14:textId="7593741C" w:rsidR="008E7331" w:rsidRPr="009E7CA0" w:rsidRDefault="008E7331" w:rsidP="00C13FB1">
            <w:pPr>
              <w:pStyle w:val="TableTextLeft"/>
            </w:pPr>
            <w:r w:rsidRPr="009E7CA0">
              <w:t>Public consultation on options for reform will conclude on 22</w:t>
            </w:r>
            <w:r w:rsidR="00874558" w:rsidRPr="009E7CA0">
              <w:t> </w:t>
            </w:r>
            <w:r w:rsidRPr="009E7CA0">
              <w:t>May</w:t>
            </w:r>
            <w:r w:rsidR="00874558" w:rsidRPr="009E7CA0">
              <w:t> </w:t>
            </w:r>
            <w:r w:rsidRPr="009E7CA0">
              <w:t>2026.</w:t>
            </w:r>
          </w:p>
          <w:p w14:paraId="51BAC330" w14:textId="77777777" w:rsidR="008E7331" w:rsidRPr="009E7CA0" w:rsidRDefault="008E7331" w:rsidP="00C13FB1">
            <w:pPr>
              <w:pStyle w:val="TableTextLeft"/>
              <w:rPr>
                <w:sz w:val="16"/>
              </w:rPr>
            </w:pPr>
          </w:p>
        </w:tc>
        <w:tc>
          <w:tcPr>
            <w:tcW w:w="1152" w:type="dxa"/>
            <w:shd w:val="clear" w:color="auto" w:fill="E8F0FC" w:themeFill="accent5" w:themeFillTint="33"/>
          </w:tcPr>
          <w:p w14:paraId="04DEDAB7" w14:textId="77777777" w:rsidR="008E7331" w:rsidRPr="009E7CA0" w:rsidRDefault="008E7331" w:rsidP="008E7331">
            <w:pPr>
              <w:pStyle w:val="TableTextLeft"/>
            </w:pPr>
          </w:p>
        </w:tc>
        <w:tc>
          <w:tcPr>
            <w:tcW w:w="1152" w:type="dxa"/>
            <w:shd w:val="clear" w:color="auto" w:fill="E8F0FC" w:themeFill="accent5" w:themeFillTint="33"/>
            <w:tcMar>
              <w:left w:w="85" w:type="dxa"/>
              <w:right w:w="85" w:type="dxa"/>
            </w:tcMar>
          </w:tcPr>
          <w:p w14:paraId="74795387" w14:textId="77777777" w:rsidR="008E7331" w:rsidRPr="009E7CA0" w:rsidRDefault="008E7331" w:rsidP="008E7331">
            <w:pPr>
              <w:pStyle w:val="TableTextLeft"/>
            </w:pPr>
          </w:p>
        </w:tc>
        <w:tc>
          <w:tcPr>
            <w:tcW w:w="1152" w:type="dxa"/>
            <w:shd w:val="clear" w:color="auto" w:fill="F4F8FE"/>
            <w:tcMar>
              <w:left w:w="85" w:type="dxa"/>
              <w:right w:w="85" w:type="dxa"/>
            </w:tcMar>
          </w:tcPr>
          <w:p w14:paraId="6D8652F5" w14:textId="77777777" w:rsidR="008E7331" w:rsidRPr="009E7CA0" w:rsidRDefault="008E7331" w:rsidP="008E7331">
            <w:pPr>
              <w:pStyle w:val="TableTextLeft"/>
            </w:pPr>
          </w:p>
        </w:tc>
        <w:tc>
          <w:tcPr>
            <w:tcW w:w="1152" w:type="dxa"/>
            <w:shd w:val="clear" w:color="auto" w:fill="F4F8FE"/>
            <w:tcMar>
              <w:left w:w="85" w:type="dxa"/>
              <w:right w:w="85" w:type="dxa"/>
            </w:tcMar>
          </w:tcPr>
          <w:p w14:paraId="55297704" w14:textId="77777777" w:rsidR="008E7331" w:rsidRPr="009E7CA0" w:rsidRDefault="008E7331" w:rsidP="008E7331">
            <w:pPr>
              <w:pStyle w:val="TableTextLeft"/>
            </w:pPr>
          </w:p>
        </w:tc>
        <w:tc>
          <w:tcPr>
            <w:tcW w:w="1152" w:type="dxa"/>
            <w:shd w:val="clear" w:color="auto" w:fill="F4F8FE"/>
          </w:tcPr>
          <w:p w14:paraId="32C7B197" w14:textId="77777777" w:rsidR="008E7331" w:rsidRPr="009E7CA0" w:rsidRDefault="008E7331" w:rsidP="008E7331">
            <w:pPr>
              <w:pStyle w:val="TableTextLeft"/>
            </w:pPr>
          </w:p>
        </w:tc>
        <w:tc>
          <w:tcPr>
            <w:tcW w:w="1153" w:type="dxa"/>
            <w:shd w:val="clear" w:color="auto" w:fill="F4F8FE"/>
          </w:tcPr>
          <w:p w14:paraId="31F4BF3B" w14:textId="77777777" w:rsidR="008E7331" w:rsidRPr="009E7CA0" w:rsidRDefault="008E7331" w:rsidP="008E7331">
            <w:pPr>
              <w:pStyle w:val="TableTextLeft"/>
            </w:pPr>
          </w:p>
        </w:tc>
      </w:tr>
      <w:tr w:rsidR="0042770D" w:rsidRPr="009E7CA0" w14:paraId="7B83A389" w14:textId="77777777" w:rsidTr="006947D0">
        <w:trPr>
          <w:cantSplit/>
          <w:trHeight w:val="20"/>
        </w:trPr>
        <w:tc>
          <w:tcPr>
            <w:tcW w:w="852" w:type="dxa"/>
            <w:tcBorders>
              <w:top w:val="single" w:sz="4" w:space="0" w:color="90B6F0" w:themeColor="accent5"/>
              <w:left w:val="nil"/>
              <w:bottom w:val="single" w:sz="4" w:space="0" w:color="90B6F0" w:themeColor="accent5"/>
              <w:right w:val="nil"/>
            </w:tcBorders>
            <w:tcMar>
              <w:left w:w="85" w:type="dxa"/>
              <w:right w:w="85" w:type="dxa"/>
            </w:tcMar>
          </w:tcPr>
          <w:p w14:paraId="53F91EA6" w14:textId="64C2CA57" w:rsidR="00527AD3" w:rsidRPr="009E7CA0" w:rsidRDefault="00527AD3" w:rsidP="00527AD3">
            <w:pPr>
              <w:pStyle w:val="TableLeadAgency"/>
              <w:spacing w:before="0" w:after="0"/>
            </w:pPr>
            <w:r w:rsidRPr="009E7CA0" w:rsidDel="00623F0D">
              <w:t>TSY</w:t>
            </w:r>
          </w:p>
        </w:tc>
        <w:tc>
          <w:tcPr>
            <w:tcW w:w="1417" w:type="dxa"/>
            <w:tcBorders>
              <w:top w:val="single" w:sz="4" w:space="0" w:color="90B6F0" w:themeColor="accent5"/>
              <w:left w:val="nil"/>
              <w:bottom w:val="single" w:sz="4" w:space="0" w:color="90B6F0" w:themeColor="accent5"/>
              <w:right w:val="nil"/>
            </w:tcBorders>
            <w:tcMar>
              <w:left w:w="85" w:type="dxa"/>
              <w:right w:w="85" w:type="dxa"/>
            </w:tcMar>
          </w:tcPr>
          <w:p w14:paraId="1719A996" w14:textId="1FD95CF9" w:rsidR="00527AD3" w:rsidRPr="009E7CA0" w:rsidRDefault="00527AD3" w:rsidP="000A465B">
            <w:pPr>
              <w:pStyle w:val="TableTextLeft"/>
            </w:pPr>
            <w:r w:rsidRPr="009E7CA0">
              <w:t>Insurance and reinsurance</w:t>
            </w:r>
          </w:p>
        </w:tc>
        <w:tc>
          <w:tcPr>
            <w:tcW w:w="3319" w:type="dxa"/>
            <w:tcBorders>
              <w:top w:val="single" w:sz="4" w:space="0" w:color="90B6F0" w:themeColor="accent5"/>
              <w:left w:val="nil"/>
              <w:bottom w:val="single" w:sz="4" w:space="0" w:color="90B6F0" w:themeColor="accent5"/>
              <w:right w:val="nil"/>
            </w:tcBorders>
            <w:tcMar>
              <w:left w:w="85" w:type="dxa"/>
              <w:right w:w="85" w:type="dxa"/>
            </w:tcMar>
          </w:tcPr>
          <w:p w14:paraId="70D08F7A" w14:textId="77777777" w:rsidR="00527AD3" w:rsidRPr="009E7CA0" w:rsidRDefault="00527AD3" w:rsidP="00527AD3">
            <w:pPr>
              <w:pStyle w:val="TableLink"/>
            </w:pPr>
            <w:hyperlink r:id="rId55" w:history="1">
              <w:r w:rsidRPr="009E7CA0">
                <w:t>Insurance standard cover and standard term reforms</w:t>
              </w:r>
            </w:hyperlink>
          </w:p>
          <w:p w14:paraId="4E8BACD1" w14:textId="28E7BDF7" w:rsidR="00527AD3" w:rsidRPr="009E7CA0" w:rsidRDefault="00527AD3" w:rsidP="004D7297">
            <w:pPr>
              <w:pStyle w:val="TableTextLeft"/>
            </w:pPr>
            <w:r w:rsidRPr="009E7CA0">
              <w:t>Treasury consulted on changes to the standard cover regime and/or implementing standard definitions for several claim related terms in insurance contracts to improve understanding and limit unintentional underinsurance. Timing of any further work will be announced in due course.</w:t>
            </w:r>
          </w:p>
        </w:tc>
        <w:tc>
          <w:tcPr>
            <w:tcW w:w="1501" w:type="dxa"/>
            <w:shd w:val="clear" w:color="auto" w:fill="E8F0FC" w:themeFill="accent5" w:themeFillTint="33"/>
            <w:tcMar>
              <w:left w:w="85" w:type="dxa"/>
              <w:right w:w="85" w:type="dxa"/>
            </w:tcMar>
          </w:tcPr>
          <w:p w14:paraId="5F71B926" w14:textId="77777777" w:rsidR="00527AD3" w:rsidRPr="009E7CA0" w:rsidRDefault="00527AD3" w:rsidP="00C13FB1">
            <w:pPr>
              <w:pStyle w:val="TableTextLeft"/>
              <w:rPr>
                <w:sz w:val="16"/>
              </w:rPr>
            </w:pPr>
          </w:p>
        </w:tc>
        <w:tc>
          <w:tcPr>
            <w:tcW w:w="1152" w:type="dxa"/>
            <w:shd w:val="clear" w:color="auto" w:fill="E8F0FC" w:themeFill="accent5" w:themeFillTint="33"/>
          </w:tcPr>
          <w:p w14:paraId="28D8BDE0" w14:textId="77777777" w:rsidR="00527AD3" w:rsidRPr="009E7CA0" w:rsidRDefault="00527AD3" w:rsidP="00527AD3">
            <w:pPr>
              <w:pStyle w:val="TableTextLeft"/>
            </w:pPr>
          </w:p>
        </w:tc>
        <w:tc>
          <w:tcPr>
            <w:tcW w:w="1152" w:type="dxa"/>
            <w:shd w:val="clear" w:color="auto" w:fill="E8F0FC" w:themeFill="accent5" w:themeFillTint="33"/>
            <w:tcMar>
              <w:left w:w="85" w:type="dxa"/>
              <w:right w:w="85" w:type="dxa"/>
            </w:tcMar>
          </w:tcPr>
          <w:p w14:paraId="1DF8F067" w14:textId="77777777" w:rsidR="00527AD3" w:rsidRPr="009E7CA0" w:rsidRDefault="00527AD3" w:rsidP="00527AD3">
            <w:pPr>
              <w:pStyle w:val="TableTextLeft"/>
            </w:pPr>
          </w:p>
        </w:tc>
        <w:tc>
          <w:tcPr>
            <w:tcW w:w="1152" w:type="dxa"/>
            <w:shd w:val="clear" w:color="auto" w:fill="F4F8FE"/>
            <w:tcMar>
              <w:left w:w="85" w:type="dxa"/>
              <w:right w:w="85" w:type="dxa"/>
            </w:tcMar>
          </w:tcPr>
          <w:p w14:paraId="722B5178" w14:textId="77777777" w:rsidR="00527AD3" w:rsidRPr="009E7CA0" w:rsidRDefault="00527AD3" w:rsidP="00527AD3">
            <w:pPr>
              <w:pStyle w:val="TableTextLeft"/>
            </w:pPr>
          </w:p>
        </w:tc>
        <w:tc>
          <w:tcPr>
            <w:tcW w:w="1152" w:type="dxa"/>
            <w:shd w:val="clear" w:color="auto" w:fill="F4F8FE"/>
            <w:tcMar>
              <w:left w:w="85" w:type="dxa"/>
              <w:right w:w="85" w:type="dxa"/>
            </w:tcMar>
          </w:tcPr>
          <w:p w14:paraId="02E14F53" w14:textId="77777777" w:rsidR="00527AD3" w:rsidRPr="009E7CA0" w:rsidRDefault="00527AD3" w:rsidP="00527AD3">
            <w:pPr>
              <w:pStyle w:val="TableTextLeft"/>
            </w:pPr>
          </w:p>
        </w:tc>
        <w:tc>
          <w:tcPr>
            <w:tcW w:w="1152" w:type="dxa"/>
            <w:shd w:val="clear" w:color="auto" w:fill="F4F8FE"/>
          </w:tcPr>
          <w:p w14:paraId="18ACD7D4" w14:textId="77777777" w:rsidR="00527AD3" w:rsidRPr="009E7CA0" w:rsidRDefault="00527AD3" w:rsidP="00527AD3">
            <w:pPr>
              <w:pStyle w:val="TableTextLeft"/>
            </w:pPr>
          </w:p>
        </w:tc>
        <w:tc>
          <w:tcPr>
            <w:tcW w:w="1153" w:type="dxa"/>
            <w:shd w:val="clear" w:color="auto" w:fill="F4F8FE"/>
          </w:tcPr>
          <w:p w14:paraId="39E0AE18" w14:textId="77777777" w:rsidR="00527AD3" w:rsidRPr="009E7CA0" w:rsidRDefault="00527AD3" w:rsidP="00527AD3">
            <w:pPr>
              <w:pStyle w:val="TableTextLeft"/>
            </w:pPr>
          </w:p>
        </w:tc>
      </w:tr>
      <w:tr w:rsidR="0042770D" w:rsidRPr="009E7CA0" w14:paraId="79A2BF77" w14:textId="77777777" w:rsidTr="006947D0">
        <w:trPr>
          <w:cantSplit/>
          <w:trHeight w:val="20"/>
        </w:trPr>
        <w:tc>
          <w:tcPr>
            <w:tcW w:w="852" w:type="dxa"/>
            <w:tcBorders>
              <w:top w:val="single" w:sz="4" w:space="0" w:color="90B6F0" w:themeColor="accent5"/>
              <w:left w:val="nil"/>
              <w:bottom w:val="single" w:sz="4" w:space="0" w:color="90B6F0" w:themeColor="accent5"/>
              <w:right w:val="nil"/>
            </w:tcBorders>
            <w:tcMar>
              <w:left w:w="85" w:type="dxa"/>
              <w:right w:w="85" w:type="dxa"/>
            </w:tcMar>
          </w:tcPr>
          <w:p w14:paraId="3363642B" w14:textId="77777777" w:rsidR="00527AD3" w:rsidRPr="009E7CA0" w:rsidRDefault="00527AD3" w:rsidP="00527AD3">
            <w:pPr>
              <w:pStyle w:val="TableTextLeft"/>
              <w:rPr>
                <w:b/>
                <w:bCs/>
                <w:color w:val="000000" w:themeColor="text1"/>
              </w:rPr>
            </w:pPr>
            <w:r w:rsidRPr="009E7CA0">
              <w:rPr>
                <w:b/>
                <w:bCs/>
                <w:color w:val="000000" w:themeColor="text1"/>
              </w:rPr>
              <w:lastRenderedPageBreak/>
              <w:t>TSY</w:t>
            </w:r>
          </w:p>
          <w:p w14:paraId="67481780" w14:textId="0706A1B6" w:rsidR="00527AD3" w:rsidRPr="009E7CA0" w:rsidDel="00623F0D" w:rsidRDefault="00527AD3" w:rsidP="00FB319C">
            <w:pPr>
              <w:pStyle w:val="TableSecondaryAgency"/>
            </w:pPr>
            <w:r w:rsidRPr="009E7CA0">
              <w:t>AFSA</w:t>
            </w:r>
          </w:p>
        </w:tc>
        <w:tc>
          <w:tcPr>
            <w:tcW w:w="1417" w:type="dxa"/>
            <w:tcBorders>
              <w:top w:val="single" w:sz="4" w:space="0" w:color="90B6F0" w:themeColor="accent5"/>
              <w:left w:val="nil"/>
              <w:bottom w:val="single" w:sz="4" w:space="0" w:color="90B6F0" w:themeColor="accent5"/>
              <w:right w:val="nil"/>
            </w:tcBorders>
            <w:tcMar>
              <w:left w:w="85" w:type="dxa"/>
              <w:right w:w="85" w:type="dxa"/>
            </w:tcMar>
          </w:tcPr>
          <w:p w14:paraId="24767FA9" w14:textId="77777777" w:rsidR="00527AD3" w:rsidRPr="009E7CA0" w:rsidRDefault="00527AD3" w:rsidP="000A465B">
            <w:pPr>
              <w:pStyle w:val="TableTextLeft"/>
            </w:pPr>
            <w:r w:rsidRPr="009E7CA0">
              <w:t>Banking, credit and lending</w:t>
            </w:r>
          </w:p>
          <w:p w14:paraId="53BA77B8" w14:textId="77777777" w:rsidR="00527AD3" w:rsidRPr="009E7CA0" w:rsidRDefault="00527AD3" w:rsidP="000A465B">
            <w:pPr>
              <w:pStyle w:val="TableTextLeft"/>
            </w:pPr>
          </w:p>
        </w:tc>
        <w:tc>
          <w:tcPr>
            <w:tcW w:w="3319" w:type="dxa"/>
            <w:tcBorders>
              <w:top w:val="single" w:sz="4" w:space="0" w:color="90B6F0" w:themeColor="accent5"/>
              <w:left w:val="nil"/>
              <w:bottom w:val="single" w:sz="4" w:space="0" w:color="90B6F0" w:themeColor="accent5"/>
              <w:right w:val="nil"/>
            </w:tcBorders>
            <w:tcMar>
              <w:left w:w="85" w:type="dxa"/>
              <w:right w:w="85" w:type="dxa"/>
            </w:tcMar>
          </w:tcPr>
          <w:p w14:paraId="710C473D" w14:textId="77777777" w:rsidR="00527AD3" w:rsidRPr="009E7CA0" w:rsidRDefault="00527AD3" w:rsidP="00527AD3">
            <w:pPr>
              <w:pStyle w:val="TableLink"/>
            </w:pPr>
            <w:hyperlink r:id="rId56">
              <w:r w:rsidRPr="009E7CA0">
                <w:t>Minimal asset procedure consultation</w:t>
              </w:r>
            </w:hyperlink>
          </w:p>
          <w:p w14:paraId="7F15EEFC" w14:textId="77777777" w:rsidR="00527AD3" w:rsidRPr="009E7CA0" w:rsidRDefault="00527AD3" w:rsidP="00527AD3">
            <w:pPr>
              <w:pStyle w:val="TableTextLeft"/>
            </w:pPr>
            <w:r w:rsidRPr="009E7CA0">
              <w:t xml:space="preserve">In 2024, AGD </w:t>
            </w:r>
            <w:r w:rsidRPr="009E7CA0" w:rsidDel="0099571B">
              <w:t>consul</w:t>
            </w:r>
            <w:r w:rsidRPr="009E7CA0" w:rsidDel="00401EEE">
              <w:t>t</w:t>
            </w:r>
            <w:r w:rsidRPr="009E7CA0">
              <w:t xml:space="preserve">ed on a potential new personal insolvency option proposed for individuals with less than $50,000 in debts and minimal realisable assets to pay those debts. </w:t>
            </w:r>
          </w:p>
          <w:p w14:paraId="077E3542" w14:textId="77777777" w:rsidR="00527AD3" w:rsidRPr="009E7CA0" w:rsidRDefault="00527AD3" w:rsidP="00527AD3">
            <w:pPr>
              <w:pStyle w:val="TableTextLeft"/>
            </w:pPr>
            <w:r w:rsidRPr="009E7CA0">
              <w:t>Portfolio responsibility for personal insolvency moved to Treasury in May 2025.</w:t>
            </w:r>
          </w:p>
          <w:p w14:paraId="338FAF1A" w14:textId="0FCDD442" w:rsidR="00527AD3" w:rsidRPr="009E7CA0" w:rsidRDefault="00527AD3" w:rsidP="00527AD3">
            <w:pPr>
              <w:pStyle w:val="TableTextLeft"/>
            </w:pPr>
            <w:r w:rsidRPr="009E7CA0">
              <w:t>Timing of any further work will be announced in due course.</w:t>
            </w:r>
          </w:p>
        </w:tc>
        <w:tc>
          <w:tcPr>
            <w:tcW w:w="1501" w:type="dxa"/>
            <w:shd w:val="clear" w:color="auto" w:fill="E8F0FC" w:themeFill="accent5" w:themeFillTint="33"/>
            <w:tcMar>
              <w:left w:w="85" w:type="dxa"/>
              <w:right w:w="85" w:type="dxa"/>
            </w:tcMar>
          </w:tcPr>
          <w:p w14:paraId="2A3D4972" w14:textId="77777777" w:rsidR="00527AD3" w:rsidRPr="009E7CA0" w:rsidRDefault="00527AD3" w:rsidP="00C13FB1">
            <w:pPr>
              <w:pStyle w:val="TableTextLeft"/>
              <w:rPr>
                <w:sz w:val="16"/>
              </w:rPr>
            </w:pPr>
          </w:p>
        </w:tc>
        <w:tc>
          <w:tcPr>
            <w:tcW w:w="1152" w:type="dxa"/>
            <w:shd w:val="clear" w:color="auto" w:fill="E8F0FC" w:themeFill="accent5" w:themeFillTint="33"/>
          </w:tcPr>
          <w:p w14:paraId="0C375B75" w14:textId="77777777" w:rsidR="00527AD3" w:rsidRPr="009E7CA0" w:rsidRDefault="00527AD3" w:rsidP="00527AD3">
            <w:pPr>
              <w:pStyle w:val="TableTextLeft"/>
            </w:pPr>
          </w:p>
        </w:tc>
        <w:tc>
          <w:tcPr>
            <w:tcW w:w="1152" w:type="dxa"/>
            <w:shd w:val="clear" w:color="auto" w:fill="E8F0FC" w:themeFill="accent5" w:themeFillTint="33"/>
            <w:tcMar>
              <w:left w:w="85" w:type="dxa"/>
              <w:right w:w="85" w:type="dxa"/>
            </w:tcMar>
          </w:tcPr>
          <w:p w14:paraId="42BC3E18" w14:textId="77777777" w:rsidR="00527AD3" w:rsidRPr="009E7CA0" w:rsidRDefault="00527AD3" w:rsidP="00527AD3">
            <w:pPr>
              <w:pStyle w:val="TableTextLeft"/>
            </w:pPr>
          </w:p>
        </w:tc>
        <w:tc>
          <w:tcPr>
            <w:tcW w:w="1152" w:type="dxa"/>
            <w:shd w:val="clear" w:color="auto" w:fill="F4F8FE"/>
            <w:tcMar>
              <w:left w:w="85" w:type="dxa"/>
              <w:right w:w="85" w:type="dxa"/>
            </w:tcMar>
          </w:tcPr>
          <w:p w14:paraId="4AA6E719" w14:textId="77777777" w:rsidR="00527AD3" w:rsidRPr="009E7CA0" w:rsidRDefault="00527AD3" w:rsidP="00527AD3">
            <w:pPr>
              <w:pStyle w:val="TableTextLeft"/>
            </w:pPr>
          </w:p>
        </w:tc>
        <w:tc>
          <w:tcPr>
            <w:tcW w:w="1152" w:type="dxa"/>
            <w:shd w:val="clear" w:color="auto" w:fill="F4F8FE"/>
            <w:tcMar>
              <w:left w:w="85" w:type="dxa"/>
              <w:right w:w="85" w:type="dxa"/>
            </w:tcMar>
          </w:tcPr>
          <w:p w14:paraId="7FFC95C0" w14:textId="77777777" w:rsidR="00527AD3" w:rsidRPr="009E7CA0" w:rsidRDefault="00527AD3" w:rsidP="00527AD3">
            <w:pPr>
              <w:pStyle w:val="TableTextLeft"/>
            </w:pPr>
          </w:p>
        </w:tc>
        <w:tc>
          <w:tcPr>
            <w:tcW w:w="1152" w:type="dxa"/>
            <w:shd w:val="clear" w:color="auto" w:fill="F4F8FE"/>
          </w:tcPr>
          <w:p w14:paraId="1809E7A1" w14:textId="77777777" w:rsidR="00527AD3" w:rsidRPr="009E7CA0" w:rsidRDefault="00527AD3" w:rsidP="00527AD3">
            <w:pPr>
              <w:pStyle w:val="TableTextLeft"/>
            </w:pPr>
          </w:p>
        </w:tc>
        <w:tc>
          <w:tcPr>
            <w:tcW w:w="1153" w:type="dxa"/>
            <w:shd w:val="clear" w:color="auto" w:fill="F4F8FE"/>
          </w:tcPr>
          <w:p w14:paraId="4F07CF26" w14:textId="77777777" w:rsidR="00527AD3" w:rsidRPr="009E7CA0" w:rsidRDefault="00527AD3" w:rsidP="00527AD3">
            <w:pPr>
              <w:pStyle w:val="TableTextLeft"/>
            </w:pPr>
          </w:p>
        </w:tc>
      </w:tr>
      <w:tr w:rsidR="0042770D" w:rsidRPr="009E7CA0" w14:paraId="37023ACB" w14:textId="77777777" w:rsidTr="006947D0">
        <w:trPr>
          <w:cantSplit/>
          <w:trHeight w:val="20"/>
        </w:trPr>
        <w:tc>
          <w:tcPr>
            <w:tcW w:w="852" w:type="dxa"/>
            <w:tcBorders>
              <w:top w:val="single" w:sz="4" w:space="0" w:color="90B6F0" w:themeColor="accent5"/>
              <w:left w:val="nil"/>
              <w:bottom w:val="single" w:sz="4" w:space="0" w:color="90B6F0" w:themeColor="accent5"/>
              <w:right w:val="nil"/>
            </w:tcBorders>
            <w:tcMar>
              <w:left w:w="85" w:type="dxa"/>
              <w:right w:w="85" w:type="dxa"/>
            </w:tcMar>
          </w:tcPr>
          <w:p w14:paraId="2548B32A" w14:textId="605DD881" w:rsidR="003F0449" w:rsidRPr="009E7CA0" w:rsidRDefault="003F0449" w:rsidP="003F0449">
            <w:pPr>
              <w:pStyle w:val="TableTextLeft"/>
              <w:rPr>
                <w:rStyle w:val="Strong"/>
              </w:rPr>
            </w:pPr>
            <w:r w:rsidRPr="009E7CA0">
              <w:rPr>
                <w:rStyle w:val="Strong"/>
              </w:rPr>
              <w:t>TSY</w:t>
            </w:r>
          </w:p>
        </w:tc>
        <w:tc>
          <w:tcPr>
            <w:tcW w:w="1417" w:type="dxa"/>
            <w:tcBorders>
              <w:top w:val="single" w:sz="4" w:space="0" w:color="90B6F0" w:themeColor="accent5"/>
              <w:left w:val="nil"/>
              <w:bottom w:val="single" w:sz="4" w:space="0" w:color="90B6F0" w:themeColor="accent5"/>
              <w:right w:val="nil"/>
            </w:tcBorders>
            <w:tcMar>
              <w:left w:w="85" w:type="dxa"/>
              <w:right w:w="85" w:type="dxa"/>
            </w:tcMar>
          </w:tcPr>
          <w:p w14:paraId="710E10BF" w14:textId="0B47A5F5" w:rsidR="003F0449" w:rsidRPr="009E7CA0" w:rsidRDefault="003F0449" w:rsidP="000A465B">
            <w:pPr>
              <w:pStyle w:val="TableTextLeft"/>
            </w:pPr>
            <w:r w:rsidRPr="009E7CA0">
              <w:t>Superannuation and retirement income</w:t>
            </w:r>
          </w:p>
        </w:tc>
        <w:tc>
          <w:tcPr>
            <w:tcW w:w="3319" w:type="dxa"/>
            <w:tcBorders>
              <w:top w:val="single" w:sz="4" w:space="0" w:color="90B6F0" w:themeColor="accent5"/>
              <w:left w:val="nil"/>
              <w:bottom w:val="single" w:sz="4" w:space="0" w:color="90B6F0" w:themeColor="accent5"/>
              <w:right w:val="nil"/>
            </w:tcBorders>
            <w:tcMar>
              <w:left w:w="85" w:type="dxa"/>
              <w:right w:w="85" w:type="dxa"/>
            </w:tcMar>
          </w:tcPr>
          <w:p w14:paraId="56B65A5B" w14:textId="77777777" w:rsidR="003F0449" w:rsidRPr="009E7CA0" w:rsidRDefault="003F0449" w:rsidP="003F0449">
            <w:pPr>
              <w:pStyle w:val="TableLink"/>
            </w:pPr>
            <w:hyperlink r:id="rId57" w:history="1">
              <w:r w:rsidRPr="009E7CA0">
                <w:t>Perpetrators of domestic and family violence accessing victims’ superannuation death benefits</w:t>
              </w:r>
            </w:hyperlink>
            <w:r w:rsidRPr="009E7CA0">
              <w:t xml:space="preserve"> </w:t>
            </w:r>
          </w:p>
          <w:p w14:paraId="43A55BF5" w14:textId="2CB5314C" w:rsidR="003F0449" w:rsidRPr="009E7CA0" w:rsidRDefault="003F0449" w:rsidP="0039304A">
            <w:pPr>
              <w:pStyle w:val="TableTextLeft"/>
            </w:pPr>
            <w:r w:rsidRPr="009E7CA0">
              <w:t xml:space="preserve">The government is looking at how to stop perpetrators of domestic and family violence accessing victims’ superannuation death benefits.  </w:t>
            </w:r>
          </w:p>
        </w:tc>
        <w:tc>
          <w:tcPr>
            <w:tcW w:w="1501" w:type="dxa"/>
            <w:shd w:val="clear" w:color="auto" w:fill="E8F0FC" w:themeFill="accent5" w:themeFillTint="33"/>
            <w:tcMar>
              <w:left w:w="85" w:type="dxa"/>
              <w:right w:w="85" w:type="dxa"/>
            </w:tcMar>
          </w:tcPr>
          <w:p w14:paraId="39C5A77C" w14:textId="2592CA53" w:rsidR="003F0449" w:rsidRPr="009E7CA0" w:rsidRDefault="003F0449" w:rsidP="00C13FB1">
            <w:pPr>
              <w:pStyle w:val="TableTextLeft"/>
              <w:rPr>
                <w:sz w:val="16"/>
              </w:rPr>
            </w:pPr>
            <w:r w:rsidRPr="009E7CA0">
              <w:t>The Government commenced public consultation on</w:t>
            </w:r>
            <w:r w:rsidR="0042770D" w:rsidRPr="009E7CA0">
              <w:t> </w:t>
            </w:r>
            <w:r w:rsidRPr="009E7CA0">
              <w:t>5</w:t>
            </w:r>
            <w:r w:rsidR="009B3C33" w:rsidRPr="009E7CA0">
              <w:t> </w:t>
            </w:r>
            <w:r w:rsidRPr="009E7CA0">
              <w:t>March, concluding 15</w:t>
            </w:r>
            <w:r w:rsidR="0042770D" w:rsidRPr="009E7CA0">
              <w:t> </w:t>
            </w:r>
            <w:r w:rsidRPr="009E7CA0">
              <w:t>April.</w:t>
            </w:r>
          </w:p>
        </w:tc>
        <w:tc>
          <w:tcPr>
            <w:tcW w:w="1152" w:type="dxa"/>
            <w:shd w:val="clear" w:color="auto" w:fill="E8F0FC" w:themeFill="accent5" w:themeFillTint="33"/>
          </w:tcPr>
          <w:p w14:paraId="6EB725F2" w14:textId="77777777" w:rsidR="003F0449" w:rsidRPr="009E7CA0" w:rsidRDefault="003F0449" w:rsidP="003F0449">
            <w:pPr>
              <w:pStyle w:val="TableTextLeft"/>
            </w:pPr>
          </w:p>
        </w:tc>
        <w:tc>
          <w:tcPr>
            <w:tcW w:w="1152" w:type="dxa"/>
            <w:shd w:val="clear" w:color="auto" w:fill="E8F0FC" w:themeFill="accent5" w:themeFillTint="33"/>
            <w:tcMar>
              <w:left w:w="85" w:type="dxa"/>
              <w:right w:w="85" w:type="dxa"/>
            </w:tcMar>
          </w:tcPr>
          <w:p w14:paraId="0337B652" w14:textId="77777777" w:rsidR="003F0449" w:rsidRPr="009E7CA0" w:rsidRDefault="003F0449" w:rsidP="003F0449">
            <w:pPr>
              <w:pStyle w:val="TableTextLeft"/>
            </w:pPr>
          </w:p>
        </w:tc>
        <w:tc>
          <w:tcPr>
            <w:tcW w:w="1152" w:type="dxa"/>
            <w:shd w:val="clear" w:color="auto" w:fill="F4F8FE"/>
            <w:tcMar>
              <w:left w:w="85" w:type="dxa"/>
              <w:right w:w="85" w:type="dxa"/>
            </w:tcMar>
          </w:tcPr>
          <w:p w14:paraId="0B5A0F94" w14:textId="77777777" w:rsidR="003F0449" w:rsidRPr="009E7CA0" w:rsidRDefault="003F0449" w:rsidP="003F0449">
            <w:pPr>
              <w:pStyle w:val="TableTextLeft"/>
            </w:pPr>
          </w:p>
        </w:tc>
        <w:tc>
          <w:tcPr>
            <w:tcW w:w="1152" w:type="dxa"/>
            <w:shd w:val="clear" w:color="auto" w:fill="F4F8FE"/>
            <w:tcMar>
              <w:left w:w="85" w:type="dxa"/>
              <w:right w:w="85" w:type="dxa"/>
            </w:tcMar>
          </w:tcPr>
          <w:p w14:paraId="1914658E" w14:textId="77777777" w:rsidR="003F0449" w:rsidRPr="009E7CA0" w:rsidRDefault="003F0449" w:rsidP="003F0449">
            <w:pPr>
              <w:pStyle w:val="TableTextLeft"/>
            </w:pPr>
          </w:p>
        </w:tc>
        <w:tc>
          <w:tcPr>
            <w:tcW w:w="1152" w:type="dxa"/>
            <w:shd w:val="clear" w:color="auto" w:fill="F4F8FE"/>
          </w:tcPr>
          <w:p w14:paraId="3E88B951" w14:textId="77777777" w:rsidR="003F0449" w:rsidRPr="009E7CA0" w:rsidRDefault="003F0449" w:rsidP="003F0449">
            <w:pPr>
              <w:pStyle w:val="TableTextLeft"/>
            </w:pPr>
          </w:p>
        </w:tc>
        <w:tc>
          <w:tcPr>
            <w:tcW w:w="1153" w:type="dxa"/>
            <w:shd w:val="clear" w:color="auto" w:fill="F4F8FE"/>
          </w:tcPr>
          <w:p w14:paraId="1E3A209F" w14:textId="77777777" w:rsidR="003F0449" w:rsidRPr="009E7CA0" w:rsidRDefault="003F0449" w:rsidP="003F0449">
            <w:pPr>
              <w:pStyle w:val="TableTextLeft"/>
            </w:pPr>
          </w:p>
        </w:tc>
      </w:tr>
      <w:tr w:rsidR="0042770D" w:rsidRPr="009E7CA0" w14:paraId="7822D523" w14:textId="77777777" w:rsidTr="006947D0">
        <w:trPr>
          <w:cantSplit/>
          <w:trHeight w:val="20"/>
        </w:trPr>
        <w:tc>
          <w:tcPr>
            <w:tcW w:w="852" w:type="dxa"/>
            <w:tcBorders>
              <w:top w:val="single" w:sz="4" w:space="0" w:color="90B6F0" w:themeColor="accent5"/>
              <w:left w:val="nil"/>
              <w:bottom w:val="single" w:sz="4" w:space="0" w:color="90B6F0" w:themeColor="accent5"/>
              <w:right w:val="nil"/>
            </w:tcBorders>
            <w:tcMar>
              <w:left w:w="85" w:type="dxa"/>
              <w:right w:w="85" w:type="dxa"/>
            </w:tcMar>
          </w:tcPr>
          <w:p w14:paraId="5732063A" w14:textId="047EDA04" w:rsidR="003F0449" w:rsidRPr="009E7CA0" w:rsidRDefault="003F0449" w:rsidP="003F0449">
            <w:pPr>
              <w:pStyle w:val="TableTextLeft"/>
              <w:rPr>
                <w:rStyle w:val="Strong"/>
              </w:rPr>
            </w:pPr>
            <w:r w:rsidRPr="009E7CA0">
              <w:rPr>
                <w:rStyle w:val="Strong"/>
              </w:rPr>
              <w:t>TSY</w:t>
            </w:r>
          </w:p>
        </w:tc>
        <w:tc>
          <w:tcPr>
            <w:tcW w:w="1417" w:type="dxa"/>
            <w:tcBorders>
              <w:top w:val="single" w:sz="4" w:space="0" w:color="90B6F0" w:themeColor="accent5"/>
              <w:left w:val="nil"/>
              <w:bottom w:val="single" w:sz="4" w:space="0" w:color="90B6F0" w:themeColor="accent5"/>
              <w:right w:val="nil"/>
            </w:tcBorders>
            <w:tcMar>
              <w:left w:w="85" w:type="dxa"/>
              <w:right w:w="85" w:type="dxa"/>
            </w:tcMar>
          </w:tcPr>
          <w:p w14:paraId="3525C439" w14:textId="117E77BD" w:rsidR="003F0449" w:rsidRPr="009E7CA0" w:rsidRDefault="003F0449" w:rsidP="000A465B">
            <w:pPr>
              <w:pStyle w:val="TableTextLeft"/>
            </w:pPr>
            <w:r w:rsidRPr="009E7CA0">
              <w:t>All</w:t>
            </w:r>
          </w:p>
        </w:tc>
        <w:tc>
          <w:tcPr>
            <w:tcW w:w="3319" w:type="dxa"/>
            <w:tcBorders>
              <w:top w:val="single" w:sz="4" w:space="0" w:color="90B6F0" w:themeColor="accent5"/>
              <w:left w:val="nil"/>
              <w:bottom w:val="single" w:sz="4" w:space="0" w:color="90B6F0" w:themeColor="accent5"/>
              <w:right w:val="nil"/>
            </w:tcBorders>
            <w:tcMar>
              <w:left w:w="85" w:type="dxa"/>
              <w:right w:w="85" w:type="dxa"/>
            </w:tcMar>
          </w:tcPr>
          <w:p w14:paraId="3BC44E8C" w14:textId="77777777" w:rsidR="003F0449" w:rsidRPr="009E7CA0" w:rsidRDefault="003F0449" w:rsidP="003F0449">
            <w:pPr>
              <w:pStyle w:val="TableLink"/>
            </w:pPr>
            <w:r w:rsidRPr="009E7CA0">
              <w:fldChar w:fldCharType="begin"/>
            </w:r>
            <w:r w:rsidRPr="009E7CA0">
              <w:instrText>HYPERLINK "https://consult.treasury.gov.au/c2025-714739"</w:instrText>
            </w:r>
            <w:r w:rsidRPr="009E7CA0">
              <w:fldChar w:fldCharType="separate"/>
            </w:r>
            <w:r w:rsidRPr="009E7CA0">
              <w:t>Reforms to streamline and strengthen Australia’s foreign investment framework</w:t>
            </w:r>
          </w:p>
          <w:p w14:paraId="04E5A0CB" w14:textId="76540A5A" w:rsidR="003F0449" w:rsidRPr="009E7CA0" w:rsidRDefault="003F0449" w:rsidP="005C4187">
            <w:pPr>
              <w:pStyle w:val="TableTextLeft"/>
            </w:pPr>
            <w:r w:rsidRPr="009E7CA0">
              <w:rPr>
                <w:color w:val="5D779D" w:themeColor="accent3"/>
                <w:u w:val="single"/>
                <w:lang w:val="en-US"/>
              </w:rPr>
              <w:fldChar w:fldCharType="end"/>
            </w:r>
            <w:r w:rsidRPr="009E7CA0">
              <w:t xml:space="preserve">In late 2025, Treasury consulted on legislative reforms to streamline and strengthen the foreign investment framework. The reforms will seek to ensure Australia remains an attractive destination for global capital, while managing new and evolving risks to the national interest and national security in an increasingly challenging international security environment. The reforms build on the </w:t>
            </w:r>
            <w:hyperlink r:id="rId58" w:history="1">
              <w:r w:rsidRPr="009E7CA0">
                <w:rPr>
                  <w:rStyle w:val="Hyperlink"/>
                  <w:color w:val="000000"/>
                </w:rPr>
                <w:t>policy and practice reforms announced in</w:t>
              </w:r>
              <w:r w:rsidR="0008278F" w:rsidRPr="009E7CA0">
                <w:rPr>
                  <w:rStyle w:val="Hyperlink"/>
                  <w:color w:val="000000"/>
                </w:rPr>
                <w:t> </w:t>
              </w:r>
              <w:r w:rsidRPr="009E7CA0">
                <w:rPr>
                  <w:rStyle w:val="Hyperlink"/>
                  <w:color w:val="000000"/>
                </w:rPr>
                <w:t>2024.</w:t>
              </w:r>
            </w:hyperlink>
          </w:p>
        </w:tc>
        <w:tc>
          <w:tcPr>
            <w:tcW w:w="1501" w:type="dxa"/>
            <w:shd w:val="clear" w:color="auto" w:fill="E8F0FC" w:themeFill="accent5" w:themeFillTint="33"/>
            <w:tcMar>
              <w:left w:w="85" w:type="dxa"/>
              <w:right w:w="85" w:type="dxa"/>
            </w:tcMar>
          </w:tcPr>
          <w:p w14:paraId="7856364D" w14:textId="77777777" w:rsidR="003F0449" w:rsidRPr="009E7CA0" w:rsidRDefault="003F0449" w:rsidP="00C13FB1">
            <w:pPr>
              <w:pStyle w:val="TableTextLeft"/>
            </w:pPr>
          </w:p>
        </w:tc>
        <w:tc>
          <w:tcPr>
            <w:tcW w:w="1152" w:type="dxa"/>
            <w:shd w:val="clear" w:color="auto" w:fill="E8F0FC" w:themeFill="accent5" w:themeFillTint="33"/>
          </w:tcPr>
          <w:p w14:paraId="1E6E2EC5" w14:textId="77777777" w:rsidR="003F0449" w:rsidRPr="009E7CA0" w:rsidRDefault="003F0449" w:rsidP="003F0449">
            <w:pPr>
              <w:pStyle w:val="TableTextLeft"/>
            </w:pPr>
          </w:p>
        </w:tc>
        <w:tc>
          <w:tcPr>
            <w:tcW w:w="1152" w:type="dxa"/>
            <w:shd w:val="clear" w:color="auto" w:fill="E8F0FC" w:themeFill="accent5" w:themeFillTint="33"/>
            <w:tcMar>
              <w:left w:w="85" w:type="dxa"/>
              <w:right w:w="85" w:type="dxa"/>
            </w:tcMar>
          </w:tcPr>
          <w:p w14:paraId="04050CB8" w14:textId="77777777" w:rsidR="003F0449" w:rsidRPr="009E7CA0" w:rsidRDefault="003F0449" w:rsidP="003F0449">
            <w:pPr>
              <w:pStyle w:val="TableTextLeft"/>
            </w:pPr>
          </w:p>
        </w:tc>
        <w:tc>
          <w:tcPr>
            <w:tcW w:w="1152" w:type="dxa"/>
            <w:shd w:val="clear" w:color="auto" w:fill="F4F8FE"/>
            <w:tcMar>
              <w:left w:w="85" w:type="dxa"/>
              <w:right w:w="85" w:type="dxa"/>
            </w:tcMar>
          </w:tcPr>
          <w:p w14:paraId="50C59774" w14:textId="77777777" w:rsidR="003F0449" w:rsidRPr="009E7CA0" w:rsidRDefault="003F0449" w:rsidP="003F0449">
            <w:pPr>
              <w:pStyle w:val="TableTextLeft"/>
            </w:pPr>
          </w:p>
        </w:tc>
        <w:tc>
          <w:tcPr>
            <w:tcW w:w="1152" w:type="dxa"/>
            <w:shd w:val="clear" w:color="auto" w:fill="F4F8FE"/>
            <w:tcMar>
              <w:left w:w="85" w:type="dxa"/>
              <w:right w:w="85" w:type="dxa"/>
            </w:tcMar>
          </w:tcPr>
          <w:p w14:paraId="47502837" w14:textId="77777777" w:rsidR="003F0449" w:rsidRPr="009E7CA0" w:rsidRDefault="003F0449" w:rsidP="003F0449">
            <w:pPr>
              <w:pStyle w:val="TableTextLeft"/>
            </w:pPr>
          </w:p>
        </w:tc>
        <w:tc>
          <w:tcPr>
            <w:tcW w:w="1152" w:type="dxa"/>
            <w:shd w:val="clear" w:color="auto" w:fill="F4F8FE"/>
          </w:tcPr>
          <w:p w14:paraId="69238F1C" w14:textId="77777777" w:rsidR="003F0449" w:rsidRPr="009E7CA0" w:rsidRDefault="003F0449" w:rsidP="003F0449">
            <w:pPr>
              <w:pStyle w:val="TableTextLeft"/>
            </w:pPr>
          </w:p>
        </w:tc>
        <w:tc>
          <w:tcPr>
            <w:tcW w:w="1153" w:type="dxa"/>
            <w:shd w:val="clear" w:color="auto" w:fill="F4F8FE"/>
          </w:tcPr>
          <w:p w14:paraId="143609CE" w14:textId="77777777" w:rsidR="003F0449" w:rsidRPr="009E7CA0" w:rsidRDefault="003F0449" w:rsidP="003F0449">
            <w:pPr>
              <w:pStyle w:val="TableTextLeft"/>
            </w:pPr>
          </w:p>
        </w:tc>
      </w:tr>
      <w:tr w:rsidR="00121FF2" w:rsidRPr="009E7CA0" w14:paraId="4CD5F9F8" w14:textId="77777777" w:rsidTr="006947D0">
        <w:trPr>
          <w:cantSplit/>
          <w:trHeight w:val="20"/>
        </w:trPr>
        <w:tc>
          <w:tcPr>
            <w:tcW w:w="852" w:type="dxa"/>
            <w:tcBorders>
              <w:top w:val="single" w:sz="4" w:space="0" w:color="90B6F0" w:themeColor="accent5"/>
              <w:left w:val="nil"/>
              <w:bottom w:val="single" w:sz="4" w:space="0" w:color="90B6F0" w:themeColor="accent5"/>
              <w:right w:val="nil"/>
            </w:tcBorders>
            <w:tcMar>
              <w:left w:w="85" w:type="dxa"/>
              <w:right w:w="85" w:type="dxa"/>
            </w:tcMar>
          </w:tcPr>
          <w:p w14:paraId="76BE2905" w14:textId="77777777" w:rsidR="003F0449" w:rsidRPr="009E7CA0" w:rsidRDefault="003F0449" w:rsidP="003F0449">
            <w:pPr>
              <w:pStyle w:val="TableLeadAgency"/>
            </w:pPr>
            <w:r w:rsidRPr="009E7CA0">
              <w:lastRenderedPageBreak/>
              <w:t xml:space="preserve">TSY </w:t>
            </w:r>
          </w:p>
          <w:p w14:paraId="197D79A2" w14:textId="783896B4" w:rsidR="003F0449" w:rsidRPr="00FB319C" w:rsidRDefault="003F0449" w:rsidP="00FB319C">
            <w:pPr>
              <w:pStyle w:val="TableSecondaryAgency"/>
              <w:rPr>
                <w:rStyle w:val="Strong"/>
                <w:b w:val="0"/>
                <w:bCs/>
              </w:rPr>
            </w:pPr>
            <w:r w:rsidRPr="00FB319C">
              <w:rPr>
                <w:rStyle w:val="Strong"/>
                <w:b w:val="0"/>
                <w:bCs/>
              </w:rPr>
              <w:t>ASIC</w:t>
            </w:r>
          </w:p>
        </w:tc>
        <w:tc>
          <w:tcPr>
            <w:tcW w:w="1417" w:type="dxa"/>
            <w:tcBorders>
              <w:top w:val="single" w:sz="4" w:space="0" w:color="90B6F0" w:themeColor="accent5"/>
              <w:left w:val="nil"/>
              <w:bottom w:val="single" w:sz="4" w:space="0" w:color="90B6F0" w:themeColor="accent5"/>
              <w:right w:val="nil"/>
            </w:tcBorders>
            <w:tcMar>
              <w:left w:w="85" w:type="dxa"/>
              <w:right w:w="85" w:type="dxa"/>
            </w:tcMar>
          </w:tcPr>
          <w:p w14:paraId="2DFA7B31" w14:textId="77777777" w:rsidR="003F0449" w:rsidRPr="009E7CA0" w:rsidRDefault="003F0449" w:rsidP="000A465B">
            <w:pPr>
              <w:pStyle w:val="TableTextLeft"/>
            </w:pPr>
            <w:r w:rsidRPr="009E7CA0">
              <w:t>Superannuation and retirement income</w:t>
            </w:r>
          </w:p>
          <w:p w14:paraId="7DAFF492" w14:textId="7D54CDC1" w:rsidR="003F0449" w:rsidRPr="009E7CA0" w:rsidRDefault="003F0449" w:rsidP="000A465B">
            <w:pPr>
              <w:pStyle w:val="TableTextLeft"/>
            </w:pPr>
            <w:r w:rsidRPr="009E7CA0">
              <w:t xml:space="preserve">Collective management and investment management </w:t>
            </w:r>
          </w:p>
        </w:tc>
        <w:tc>
          <w:tcPr>
            <w:tcW w:w="3319" w:type="dxa"/>
            <w:tcBorders>
              <w:top w:val="single" w:sz="4" w:space="0" w:color="90B6F0" w:themeColor="accent5"/>
              <w:left w:val="nil"/>
              <w:bottom w:val="single" w:sz="4" w:space="0" w:color="90B6F0" w:themeColor="accent5"/>
              <w:right w:val="nil"/>
            </w:tcBorders>
            <w:tcMar>
              <w:left w:w="85" w:type="dxa"/>
              <w:right w:w="85" w:type="dxa"/>
            </w:tcMar>
          </w:tcPr>
          <w:p w14:paraId="396665D7" w14:textId="77777777" w:rsidR="003F0449" w:rsidRPr="009E7CA0" w:rsidRDefault="003F0449" w:rsidP="003F0449">
            <w:pPr>
              <w:pStyle w:val="TableLink"/>
            </w:pPr>
            <w:hyperlink r:id="rId59" w:history="1">
              <w:r w:rsidRPr="009E7CA0">
                <w:t>Sustainable investment product labels</w:t>
              </w:r>
            </w:hyperlink>
          </w:p>
          <w:p w14:paraId="3FDFDAC0" w14:textId="77777777" w:rsidR="003F0449" w:rsidRDefault="003F0449" w:rsidP="003F0449">
            <w:pPr>
              <w:pStyle w:val="TableTextLeft"/>
            </w:pPr>
            <w:r w:rsidRPr="009E7CA0">
              <w:t xml:space="preserve">The government will establish consistent labels and disclosure requirements for investment products marketed as ‘sustainable’ or similar, including for managed funds and within the superannuation system. </w:t>
            </w:r>
            <w:r w:rsidRPr="009E7CA0" w:rsidDel="00256AAD">
              <w:t>The government is targeting 2027 for regime commencement, subject to final policy decisions.</w:t>
            </w:r>
          </w:p>
          <w:p w14:paraId="62467222" w14:textId="54FDF0E7" w:rsidR="00F93785" w:rsidRPr="009E7CA0" w:rsidRDefault="00F93785" w:rsidP="003F0449">
            <w:pPr>
              <w:pStyle w:val="TableTextLeft"/>
            </w:pPr>
            <w:r w:rsidRPr="009E7CA0">
              <w:t>Public consultation on central design elements of the regime closed on 13 March 2026.</w:t>
            </w:r>
          </w:p>
        </w:tc>
        <w:tc>
          <w:tcPr>
            <w:tcW w:w="1501" w:type="dxa"/>
            <w:shd w:val="clear" w:color="auto" w:fill="E8F0FC" w:themeFill="accent5" w:themeFillTint="33"/>
            <w:tcMar>
              <w:left w:w="85" w:type="dxa"/>
              <w:right w:w="85" w:type="dxa"/>
            </w:tcMar>
          </w:tcPr>
          <w:p w14:paraId="43956E2C" w14:textId="63FAC7D6" w:rsidR="003F0449" w:rsidRPr="009E7CA0" w:rsidRDefault="003F0449" w:rsidP="00C13FB1">
            <w:pPr>
              <w:pStyle w:val="TableTextLeft"/>
            </w:pPr>
          </w:p>
        </w:tc>
        <w:tc>
          <w:tcPr>
            <w:tcW w:w="1152" w:type="dxa"/>
            <w:shd w:val="clear" w:color="auto" w:fill="E8F0FC" w:themeFill="accent5" w:themeFillTint="33"/>
          </w:tcPr>
          <w:p w14:paraId="56B0766F" w14:textId="77777777" w:rsidR="003F0449" w:rsidRPr="009E7CA0" w:rsidRDefault="003F0449" w:rsidP="003F0449">
            <w:pPr>
              <w:pStyle w:val="TableTextLeft"/>
            </w:pPr>
          </w:p>
        </w:tc>
        <w:tc>
          <w:tcPr>
            <w:tcW w:w="1152" w:type="dxa"/>
            <w:shd w:val="clear" w:color="auto" w:fill="E8F0FC" w:themeFill="accent5" w:themeFillTint="33"/>
            <w:tcMar>
              <w:left w:w="85" w:type="dxa"/>
              <w:right w:w="85" w:type="dxa"/>
            </w:tcMar>
          </w:tcPr>
          <w:p w14:paraId="4ABC621B" w14:textId="77777777" w:rsidR="003F0449" w:rsidRPr="009E7CA0" w:rsidRDefault="003F0449" w:rsidP="003F0449">
            <w:pPr>
              <w:pStyle w:val="TableTextLeft"/>
            </w:pPr>
          </w:p>
        </w:tc>
        <w:tc>
          <w:tcPr>
            <w:tcW w:w="1152" w:type="dxa"/>
            <w:shd w:val="clear" w:color="auto" w:fill="F4F8FE"/>
            <w:tcMar>
              <w:left w:w="85" w:type="dxa"/>
              <w:right w:w="85" w:type="dxa"/>
            </w:tcMar>
          </w:tcPr>
          <w:p w14:paraId="380C8139" w14:textId="77777777" w:rsidR="003F0449" w:rsidRPr="009E7CA0" w:rsidRDefault="003F0449" w:rsidP="003F0449">
            <w:pPr>
              <w:pStyle w:val="TableTextLeft"/>
            </w:pPr>
          </w:p>
        </w:tc>
        <w:tc>
          <w:tcPr>
            <w:tcW w:w="1152" w:type="dxa"/>
            <w:shd w:val="clear" w:color="auto" w:fill="F4F8FE"/>
            <w:tcMar>
              <w:left w:w="85" w:type="dxa"/>
              <w:right w:w="85" w:type="dxa"/>
            </w:tcMar>
          </w:tcPr>
          <w:p w14:paraId="52C63243" w14:textId="77777777" w:rsidR="003F0449" w:rsidRPr="009E7CA0" w:rsidRDefault="003F0449" w:rsidP="003F0449">
            <w:pPr>
              <w:pStyle w:val="TableTextLeft"/>
            </w:pPr>
          </w:p>
        </w:tc>
        <w:tc>
          <w:tcPr>
            <w:tcW w:w="1152" w:type="dxa"/>
            <w:shd w:val="clear" w:color="auto" w:fill="F4F8FE"/>
          </w:tcPr>
          <w:p w14:paraId="188303EB" w14:textId="77777777" w:rsidR="003F0449" w:rsidRPr="009E7CA0" w:rsidRDefault="003F0449" w:rsidP="003F0449">
            <w:pPr>
              <w:pStyle w:val="TableTextLeft"/>
            </w:pPr>
          </w:p>
        </w:tc>
        <w:tc>
          <w:tcPr>
            <w:tcW w:w="1153" w:type="dxa"/>
            <w:shd w:val="clear" w:color="auto" w:fill="F4F8FE"/>
          </w:tcPr>
          <w:p w14:paraId="7539FE19" w14:textId="77777777" w:rsidR="003F0449" w:rsidRPr="009E7CA0" w:rsidRDefault="003F0449" w:rsidP="003F0449">
            <w:pPr>
              <w:pStyle w:val="TableTextLeft"/>
            </w:pPr>
          </w:p>
        </w:tc>
      </w:tr>
    </w:tbl>
    <w:p w14:paraId="30E2C61D" w14:textId="77777777" w:rsidR="00363B10" w:rsidRPr="0088394A" w:rsidRDefault="00363B10" w:rsidP="00DA24B1">
      <w:pPr>
        <w:pStyle w:val="NoSpacing"/>
      </w:pPr>
      <w:r>
        <w:br w:type="page"/>
      </w:r>
    </w:p>
    <w:p w14:paraId="459A9BFB" w14:textId="33AF8EFC" w:rsidR="00B54CF6" w:rsidRDefault="00B54CF6" w:rsidP="004125A1">
      <w:pPr>
        <w:pStyle w:val="Heading1Numbered"/>
      </w:pPr>
      <w:bookmarkStart w:id="43" w:name="_Toc209785817"/>
      <w:r w:rsidRPr="001A09DB">
        <w:lastRenderedPageBreak/>
        <w:t>Development</w:t>
      </w:r>
      <w:r w:rsidRPr="00D61A55">
        <w:t xml:space="preserve"> of </w:t>
      </w:r>
      <w:r w:rsidR="00140E23">
        <w:t>l</w:t>
      </w:r>
      <w:r w:rsidRPr="00D61A55">
        <w:t xml:space="preserve">egislation, </w:t>
      </w:r>
      <w:r w:rsidR="00140E23">
        <w:t>r</w:t>
      </w:r>
      <w:r w:rsidRPr="00D61A55">
        <w:t xml:space="preserve">egulations and </w:t>
      </w:r>
      <w:r w:rsidR="00140E23">
        <w:t>i</w:t>
      </w:r>
      <w:r w:rsidRPr="00D61A55">
        <w:t>nstruments</w:t>
      </w:r>
      <w:bookmarkEnd w:id="43"/>
    </w:p>
    <w:p w14:paraId="575EBE3B" w14:textId="208E57E4" w:rsidR="00B54CF6" w:rsidRDefault="00B54CF6" w:rsidP="00B54CF6">
      <w:pPr>
        <w:rPr>
          <w:rFonts w:cs="Calibri Light"/>
          <w:szCs w:val="22"/>
        </w:rPr>
      </w:pPr>
      <w:bookmarkStart w:id="44" w:name="_Hlk175051218"/>
      <w:r w:rsidRPr="00464DE7">
        <w:rPr>
          <w:rFonts w:cs="Calibri Light"/>
          <w:szCs w:val="22"/>
        </w:rPr>
        <w:t xml:space="preserve">This </w:t>
      </w:r>
      <w:r w:rsidR="00C734E8">
        <w:rPr>
          <w:rFonts w:cs="Calibri Light"/>
          <w:szCs w:val="22"/>
        </w:rPr>
        <w:t>category</w:t>
      </w:r>
      <w:r w:rsidR="00C734E8" w:rsidRPr="00464DE7">
        <w:rPr>
          <w:rFonts w:cs="Calibri Light"/>
          <w:szCs w:val="22"/>
        </w:rPr>
        <w:t xml:space="preserve"> </w:t>
      </w:r>
      <w:r>
        <w:rPr>
          <w:rFonts w:cs="Calibri Light"/>
          <w:szCs w:val="22"/>
        </w:rPr>
        <w:t>includes</w:t>
      </w:r>
      <w:r w:rsidRPr="00464DE7">
        <w:rPr>
          <w:rFonts w:cs="Calibri Light"/>
          <w:szCs w:val="22"/>
        </w:rPr>
        <w:t xml:space="preserve"> </w:t>
      </w:r>
      <w:r w:rsidR="00272CC7" w:rsidRPr="00CD6131">
        <w:rPr>
          <w:rStyle w:val="Strong"/>
        </w:rPr>
        <w:t>3</w:t>
      </w:r>
      <w:r w:rsidR="004E0384" w:rsidRPr="00C139C7">
        <w:rPr>
          <w:rStyle w:val="Strong"/>
        </w:rPr>
        <w:t>4</w:t>
      </w:r>
      <w:r w:rsidR="009B6078" w:rsidRPr="002931AD">
        <w:rPr>
          <w:rFonts w:cs="Calibri Light"/>
          <w:szCs w:val="22"/>
        </w:rPr>
        <w:t xml:space="preserve"> </w:t>
      </w:r>
      <w:r w:rsidRPr="00464DE7">
        <w:rPr>
          <w:rFonts w:cs="Calibri Light"/>
          <w:szCs w:val="22"/>
        </w:rPr>
        <w:t xml:space="preserve">initiatives. The </w:t>
      </w:r>
      <w:r w:rsidRPr="00532C61">
        <w:t xml:space="preserve">initiatives in this section cover </w:t>
      </w:r>
      <w:r w:rsidRPr="00532C61" w:rsidDel="003363F0">
        <w:t>the</w:t>
      </w:r>
      <w:r w:rsidRPr="00532C61">
        <w:t xml:space="preserve"> development </w:t>
      </w:r>
      <w:r w:rsidRPr="00532C61" w:rsidDel="0071183C">
        <w:t>of</w:t>
      </w:r>
      <w:r w:rsidRPr="00532C61">
        <w:t xml:space="preserve"> primary and subordinate legislation, amendments to existing laws and regulations, the development of industry codes and the notification</w:t>
      </w:r>
      <w:r w:rsidRPr="0011666C">
        <w:rPr>
          <w:rFonts w:cs="Calibri Light"/>
          <w:szCs w:val="22"/>
        </w:rPr>
        <w:t xml:space="preserve"> of tax determinations</w:t>
      </w:r>
      <w:r>
        <w:rPr>
          <w:rFonts w:cs="Calibri Light"/>
          <w:szCs w:val="22"/>
        </w:rPr>
        <w:t>.</w:t>
      </w:r>
      <w:r w:rsidR="008C63FB">
        <w:rPr>
          <w:rFonts w:cs="Calibri Light"/>
          <w:szCs w:val="22"/>
        </w:rPr>
        <w:t xml:space="preserve"> Initiatives that </w:t>
      </w:r>
      <w:r w:rsidR="00F05778">
        <w:rPr>
          <w:rFonts w:cs="Calibri Light"/>
          <w:szCs w:val="22"/>
        </w:rPr>
        <w:t xml:space="preserve">involve </w:t>
      </w:r>
      <w:r w:rsidR="00825570">
        <w:rPr>
          <w:rFonts w:cs="Calibri Light"/>
          <w:szCs w:val="22"/>
        </w:rPr>
        <w:t xml:space="preserve">policy development related to </w:t>
      </w:r>
      <w:r w:rsidR="008C63FB">
        <w:rPr>
          <w:rFonts w:cs="Calibri Light"/>
          <w:szCs w:val="22"/>
        </w:rPr>
        <w:t xml:space="preserve">developing legislation, regulations and instruments </w:t>
      </w:r>
      <w:r w:rsidR="00825570">
        <w:rPr>
          <w:rFonts w:cs="Calibri Light"/>
          <w:szCs w:val="22"/>
        </w:rPr>
        <w:t xml:space="preserve">are also included </w:t>
      </w:r>
      <w:r w:rsidR="00C734E8">
        <w:rPr>
          <w:rFonts w:cs="Calibri Light"/>
          <w:szCs w:val="22"/>
        </w:rPr>
        <w:t>in this section.</w:t>
      </w:r>
    </w:p>
    <w:bookmarkEnd w:id="44"/>
    <w:p w14:paraId="37A7FDC4" w14:textId="796E96EC" w:rsidR="00D723F0" w:rsidRDefault="00835C7A" w:rsidP="00B54CF6">
      <w:pPr>
        <w:rPr>
          <w:rStyle w:val="Strong"/>
          <w:b w:val="0"/>
          <w:bCs w:val="0"/>
        </w:rPr>
      </w:pPr>
      <w:r w:rsidRPr="00A62973">
        <w:rPr>
          <w:rStyle w:val="Strong"/>
          <w:b w:val="0"/>
          <w:bCs w:val="0"/>
        </w:rPr>
        <w:t>The t</w:t>
      </w:r>
      <w:r w:rsidR="00CE33B4" w:rsidRPr="00A62973">
        <w:rPr>
          <w:rStyle w:val="Strong"/>
          <w:b w:val="0"/>
          <w:bCs w:val="0"/>
        </w:rPr>
        <w:t xml:space="preserve">iming </w:t>
      </w:r>
      <w:r w:rsidR="007A1AF9" w:rsidRPr="00A62973">
        <w:rPr>
          <w:rStyle w:val="Strong"/>
          <w:b w:val="0"/>
          <w:bCs w:val="0"/>
        </w:rPr>
        <w:t xml:space="preserve">of </w:t>
      </w:r>
      <w:r w:rsidR="00602FA2" w:rsidRPr="00A62973">
        <w:rPr>
          <w:rStyle w:val="Strong"/>
          <w:b w:val="0"/>
          <w:bCs w:val="0"/>
        </w:rPr>
        <w:t>activities</w:t>
      </w:r>
      <w:r w:rsidR="00086FC7" w:rsidRPr="00A62973">
        <w:rPr>
          <w:rStyle w:val="Strong"/>
          <w:b w:val="0"/>
          <w:bCs w:val="0"/>
        </w:rPr>
        <w:t xml:space="preserve"> </w:t>
      </w:r>
      <w:r w:rsidR="009C28D5" w:rsidRPr="00A62973">
        <w:rPr>
          <w:rStyle w:val="Strong"/>
          <w:b w:val="0"/>
          <w:bCs w:val="0"/>
        </w:rPr>
        <w:t xml:space="preserve">to </w:t>
      </w:r>
      <w:r w:rsidR="00086FC7" w:rsidRPr="00A62973">
        <w:rPr>
          <w:rStyle w:val="Strong"/>
          <w:b w:val="0"/>
          <w:bCs w:val="0"/>
        </w:rPr>
        <w:t xml:space="preserve">support </w:t>
      </w:r>
      <w:r w:rsidR="009C28D5" w:rsidRPr="00A62973">
        <w:rPr>
          <w:rStyle w:val="Strong"/>
          <w:b w:val="0"/>
          <w:bCs w:val="0"/>
        </w:rPr>
        <w:t>new</w:t>
      </w:r>
      <w:r w:rsidR="00086FC7" w:rsidRPr="00A62973">
        <w:rPr>
          <w:rStyle w:val="Strong"/>
          <w:b w:val="0"/>
          <w:bCs w:val="0"/>
        </w:rPr>
        <w:t xml:space="preserve"> legislative measures</w:t>
      </w:r>
      <w:r w:rsidR="0084123C" w:rsidRPr="00A62973">
        <w:rPr>
          <w:rStyle w:val="Strong"/>
          <w:b w:val="0"/>
          <w:bCs w:val="0"/>
        </w:rPr>
        <w:t>,</w:t>
      </w:r>
      <w:r w:rsidR="00602FA2" w:rsidRPr="00A62973">
        <w:rPr>
          <w:rStyle w:val="Strong"/>
          <w:b w:val="0"/>
          <w:bCs w:val="0"/>
        </w:rPr>
        <w:t xml:space="preserve"> such as the development of </w:t>
      </w:r>
      <w:r w:rsidR="000B52B8" w:rsidRPr="00A62973">
        <w:rPr>
          <w:rStyle w:val="Strong"/>
          <w:b w:val="0"/>
          <w:bCs w:val="0"/>
        </w:rPr>
        <w:t xml:space="preserve">relevant regulations, legislative instruments and/or </w:t>
      </w:r>
      <w:r w:rsidR="00602FA2" w:rsidRPr="00A62973">
        <w:rPr>
          <w:rStyle w:val="Strong"/>
          <w:b w:val="0"/>
          <w:bCs w:val="0"/>
        </w:rPr>
        <w:t>regulatory guidance</w:t>
      </w:r>
      <w:r w:rsidR="0084123C" w:rsidRPr="00A62973">
        <w:rPr>
          <w:rStyle w:val="Strong"/>
          <w:b w:val="0"/>
          <w:bCs w:val="0"/>
        </w:rPr>
        <w:t>,</w:t>
      </w:r>
      <w:r w:rsidRPr="00A62973">
        <w:rPr>
          <w:rStyle w:val="Strong"/>
          <w:b w:val="0"/>
          <w:bCs w:val="0"/>
        </w:rPr>
        <w:t xml:space="preserve"> </w:t>
      </w:r>
      <w:r w:rsidR="0053207F" w:rsidRPr="00A62973">
        <w:rPr>
          <w:rStyle w:val="Strong"/>
          <w:b w:val="0"/>
          <w:bCs w:val="0"/>
        </w:rPr>
        <w:t xml:space="preserve">are </w:t>
      </w:r>
      <w:r w:rsidR="00602FA2" w:rsidRPr="00A62973">
        <w:rPr>
          <w:rStyle w:val="Strong"/>
          <w:b w:val="0"/>
          <w:bCs w:val="0"/>
        </w:rPr>
        <w:t xml:space="preserve">subject to </w:t>
      </w:r>
      <w:r w:rsidR="0053207F" w:rsidRPr="00A62973">
        <w:rPr>
          <w:rStyle w:val="Strong"/>
          <w:b w:val="0"/>
          <w:bCs w:val="0"/>
        </w:rPr>
        <w:t xml:space="preserve">the </w:t>
      </w:r>
      <w:r w:rsidR="00602FA2" w:rsidRPr="00A62973">
        <w:rPr>
          <w:rStyle w:val="Strong"/>
          <w:b w:val="0"/>
          <w:bCs w:val="0"/>
        </w:rPr>
        <w:t>passage of</w:t>
      </w:r>
      <w:r w:rsidR="000F1B45" w:rsidRPr="00A62973">
        <w:rPr>
          <w:rStyle w:val="Strong"/>
          <w:b w:val="0"/>
          <w:bCs w:val="0"/>
        </w:rPr>
        <w:t xml:space="preserve"> </w:t>
      </w:r>
      <w:r w:rsidR="0059728F" w:rsidRPr="00A62973">
        <w:rPr>
          <w:rStyle w:val="Strong"/>
          <w:b w:val="0"/>
          <w:bCs w:val="0"/>
        </w:rPr>
        <w:t xml:space="preserve">the relevant </w:t>
      </w:r>
      <w:r w:rsidR="00602FA2" w:rsidRPr="00A62973">
        <w:rPr>
          <w:rStyle w:val="Strong"/>
          <w:b w:val="0"/>
          <w:bCs w:val="0"/>
        </w:rPr>
        <w:t>legislation</w:t>
      </w:r>
      <w:r w:rsidR="0053207F" w:rsidRPr="00A62973">
        <w:rPr>
          <w:rStyle w:val="Strong"/>
          <w:b w:val="0"/>
          <w:bCs w:val="0"/>
        </w:rPr>
        <w:t xml:space="preserve"> and ongoing </w:t>
      </w:r>
      <w:r w:rsidR="00621D79" w:rsidRPr="00A62973">
        <w:rPr>
          <w:rStyle w:val="Strong"/>
          <w:b w:val="0"/>
          <w:bCs w:val="0"/>
        </w:rPr>
        <w:t>government</w:t>
      </w:r>
      <w:r w:rsidR="0053207F" w:rsidRPr="00A62973">
        <w:rPr>
          <w:rStyle w:val="Strong"/>
          <w:b w:val="0"/>
          <w:bCs w:val="0"/>
        </w:rPr>
        <w:t xml:space="preserve"> and regulator consideration</w:t>
      </w:r>
      <w:r w:rsidR="00602FA2" w:rsidRPr="00A62973">
        <w:rPr>
          <w:rStyle w:val="Strong"/>
          <w:b w:val="0"/>
          <w:bCs w:val="0"/>
        </w:rPr>
        <w:t>.</w:t>
      </w:r>
      <w:r w:rsidR="009C6F98" w:rsidRPr="00A62973">
        <w:rPr>
          <w:rStyle w:val="Strong"/>
          <w:b w:val="0"/>
          <w:bCs w:val="0"/>
        </w:rPr>
        <w:t xml:space="preserve"> Where </w:t>
      </w:r>
      <w:r w:rsidR="001777E2" w:rsidRPr="00A62973">
        <w:rPr>
          <w:rStyle w:val="Strong"/>
          <w:b w:val="0"/>
          <w:bCs w:val="0"/>
        </w:rPr>
        <w:t xml:space="preserve">there is sufficient certainty that certain </w:t>
      </w:r>
      <w:r w:rsidR="005D5089" w:rsidRPr="00A62973">
        <w:rPr>
          <w:rStyle w:val="Strong"/>
          <w:b w:val="0"/>
          <w:bCs w:val="0"/>
        </w:rPr>
        <w:t>activities will be undertaken</w:t>
      </w:r>
      <w:r w:rsidR="001777E2" w:rsidRPr="00A62973">
        <w:rPr>
          <w:rStyle w:val="Strong"/>
          <w:b w:val="0"/>
          <w:bCs w:val="0"/>
        </w:rPr>
        <w:t xml:space="preserve"> to support implementation</w:t>
      </w:r>
      <w:r w:rsidR="005D5089" w:rsidRPr="00A62973">
        <w:rPr>
          <w:rStyle w:val="Strong"/>
          <w:b w:val="0"/>
          <w:bCs w:val="0"/>
        </w:rPr>
        <w:t xml:space="preserve">, </w:t>
      </w:r>
      <w:r w:rsidR="008D1F43" w:rsidRPr="00A62973">
        <w:rPr>
          <w:rStyle w:val="Strong"/>
          <w:b w:val="0"/>
          <w:bCs w:val="0"/>
        </w:rPr>
        <w:t xml:space="preserve">activities have been </w:t>
      </w:r>
      <w:r w:rsidR="005D5089" w:rsidRPr="00A62973">
        <w:rPr>
          <w:rStyle w:val="Strong"/>
          <w:b w:val="0"/>
          <w:bCs w:val="0"/>
        </w:rPr>
        <w:t>identified.</w:t>
      </w:r>
      <w:r w:rsidR="005A6290" w:rsidRPr="00A62973">
        <w:rPr>
          <w:rStyle w:val="Strong"/>
          <w:b w:val="0"/>
          <w:bCs w:val="0"/>
        </w:rPr>
        <w:t xml:space="preserve"> </w:t>
      </w:r>
    </w:p>
    <w:p w14:paraId="67E912CA" w14:textId="2EC245EE" w:rsidR="00776E56" w:rsidRPr="000D1F59" w:rsidRDefault="00776E56" w:rsidP="000D1F59">
      <w:pPr>
        <w:rPr>
          <w:rStyle w:val="Strong"/>
        </w:rPr>
      </w:pPr>
      <w:r w:rsidRPr="000D1F59">
        <w:rPr>
          <w:rStyle w:val="Strong"/>
        </w:rPr>
        <w:t xml:space="preserve">A * indicates a new milestone for an initiative that was included in Edition </w:t>
      </w:r>
      <w:r w:rsidR="32F76806" w:rsidRPr="000D1F59">
        <w:rPr>
          <w:rStyle w:val="Strong"/>
        </w:rPr>
        <w:t>2</w:t>
      </w:r>
      <w:r w:rsidRPr="000D1F59">
        <w:rPr>
          <w:rStyle w:val="Strong"/>
        </w:rPr>
        <w:t xml:space="preserve"> where progress on the work has occurred. </w:t>
      </w:r>
    </w:p>
    <w:p w14:paraId="27F50E7A" w14:textId="6E0186D6" w:rsidR="00776E56" w:rsidRDefault="00776E56" w:rsidP="000D1F59">
      <w:pPr>
        <w:rPr>
          <w:rStyle w:val="Strong"/>
        </w:rPr>
      </w:pPr>
      <w:r w:rsidRPr="000D1F59">
        <w:rPr>
          <w:rStyle w:val="Strong"/>
        </w:rPr>
        <w:t xml:space="preserve">A ^ indicates where a milestone has changed from Edition </w:t>
      </w:r>
      <w:r w:rsidR="363EA319" w:rsidRPr="000D1F59">
        <w:rPr>
          <w:rStyle w:val="Strong"/>
        </w:rPr>
        <w:t>2</w:t>
      </w:r>
      <w:r w:rsidRPr="000D1F59">
        <w:rPr>
          <w:rStyle w:val="Strong"/>
        </w:rPr>
        <w:t xml:space="preserve"> to this Edition. A changes table at the end of this document explains the change.</w:t>
      </w:r>
    </w:p>
    <w:p w14:paraId="625D2AF3" w14:textId="08646EB1" w:rsidR="00ED40F9" w:rsidRDefault="00ED40F9" w:rsidP="00D752E0">
      <w:pPr>
        <w:pStyle w:val="TableMainHeading"/>
      </w:pPr>
      <w:r w:rsidRPr="000D1F59">
        <w:t>Forward calendar</w:t>
      </w:r>
    </w:p>
    <w:tbl>
      <w:tblPr>
        <w:tblStyle w:val="GridTable1Light-Accent2"/>
        <w:tblW w:w="5001" w:type="pct"/>
        <w:tblBorders>
          <w:top w:val="none" w:sz="0" w:space="0" w:color="auto"/>
          <w:left w:val="none" w:sz="0" w:space="0" w:color="auto"/>
          <w:bottom w:val="none" w:sz="0" w:space="0" w:color="auto"/>
          <w:right w:val="none" w:sz="0" w:space="0" w:color="auto"/>
          <w:insideH w:val="single" w:sz="4" w:space="0" w:color="B1F0CF" w:themeColor="accent4"/>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863"/>
        <w:gridCol w:w="1405"/>
        <w:gridCol w:w="2763"/>
        <w:gridCol w:w="12"/>
        <w:gridCol w:w="1446"/>
        <w:gridCol w:w="12"/>
        <w:gridCol w:w="1434"/>
        <w:gridCol w:w="12"/>
        <w:gridCol w:w="1409"/>
        <w:gridCol w:w="1276"/>
        <w:gridCol w:w="1312"/>
        <w:gridCol w:w="1084"/>
        <w:gridCol w:w="13"/>
        <w:gridCol w:w="951"/>
        <w:gridCol w:w="13"/>
      </w:tblGrid>
      <w:tr w:rsidR="00ED572E" w:rsidRPr="009E7CA0" w14:paraId="0625C68B" w14:textId="77777777" w:rsidTr="001E416A">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863" w:type="dxa"/>
            <w:tcBorders>
              <w:top w:val="nil"/>
              <w:bottom w:val="single" w:sz="4" w:space="0" w:color="BCE4CF"/>
            </w:tcBorders>
            <w:shd w:val="clear" w:color="auto" w:fill="C5E8D6"/>
            <w:vAlign w:val="center"/>
            <w:hideMark/>
          </w:tcPr>
          <w:p w14:paraId="3F21B3FA" w14:textId="77777777" w:rsidR="00761977" w:rsidRPr="009E7CA0" w:rsidRDefault="00761977" w:rsidP="00761977">
            <w:pPr>
              <w:pStyle w:val="TableColumnHeadingLeft"/>
              <w:rPr>
                <w:b/>
              </w:rPr>
            </w:pPr>
            <w:r w:rsidRPr="009E7CA0">
              <w:rPr>
                <w:b/>
              </w:rPr>
              <w:t>Agency</w:t>
            </w:r>
          </w:p>
        </w:tc>
        <w:tc>
          <w:tcPr>
            <w:tcW w:w="1405" w:type="dxa"/>
            <w:tcBorders>
              <w:top w:val="nil"/>
              <w:bottom w:val="single" w:sz="4" w:space="0" w:color="BCE4CF"/>
            </w:tcBorders>
            <w:shd w:val="clear" w:color="auto" w:fill="C5E8D6"/>
            <w:vAlign w:val="center"/>
          </w:tcPr>
          <w:p w14:paraId="0B025CFC" w14:textId="77777777" w:rsidR="00761977" w:rsidRPr="009E7CA0" w:rsidRDefault="00761977" w:rsidP="00E573EA">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9E7CA0">
              <w:rPr>
                <w:b/>
                <w:bCs w:val="0"/>
              </w:rPr>
              <w:t>Sector</w:t>
            </w:r>
          </w:p>
        </w:tc>
        <w:tc>
          <w:tcPr>
            <w:tcW w:w="2775" w:type="dxa"/>
            <w:gridSpan w:val="2"/>
            <w:tcBorders>
              <w:top w:val="nil"/>
              <w:bottom w:val="single" w:sz="4" w:space="0" w:color="BCE4CF"/>
            </w:tcBorders>
            <w:shd w:val="clear" w:color="auto" w:fill="C5E8D6"/>
            <w:vAlign w:val="center"/>
          </w:tcPr>
          <w:p w14:paraId="74B5D6E2" w14:textId="77777777" w:rsidR="00761977" w:rsidRPr="009E7CA0" w:rsidRDefault="00761977" w:rsidP="00E573EA">
            <w:pPr>
              <w:pStyle w:val="TableColumnHeadingLeft"/>
              <w:cnfStyle w:val="100000000000" w:firstRow="1" w:lastRow="0" w:firstColumn="0" w:lastColumn="0" w:oddVBand="0" w:evenVBand="0" w:oddHBand="0" w:evenHBand="0" w:firstRowFirstColumn="0" w:firstRowLastColumn="0" w:lastRowFirstColumn="0" w:lastRowLastColumn="0"/>
              <w:rPr>
                <w:b/>
                <w:bCs w:val="0"/>
              </w:rPr>
            </w:pPr>
            <w:r w:rsidRPr="009E7CA0">
              <w:rPr>
                <w:b/>
                <w:bCs w:val="0"/>
              </w:rPr>
              <w:t>Initiative</w:t>
            </w:r>
          </w:p>
        </w:tc>
        <w:tc>
          <w:tcPr>
            <w:tcW w:w="1458" w:type="dxa"/>
            <w:gridSpan w:val="2"/>
            <w:tcBorders>
              <w:top w:val="nil"/>
              <w:bottom w:val="single" w:sz="4" w:space="0" w:color="BCE4CF"/>
            </w:tcBorders>
            <w:shd w:val="clear" w:color="auto" w:fill="C5E8D6"/>
            <w:vAlign w:val="center"/>
          </w:tcPr>
          <w:p w14:paraId="7F0183CC" w14:textId="77777777" w:rsidR="00761977" w:rsidRPr="009E7CA0" w:rsidRDefault="00761977" w:rsidP="00761977">
            <w:pPr>
              <w:pStyle w:val="TableColumnHeadingLeft"/>
              <w:cnfStyle w:val="100000000000" w:firstRow="1" w:lastRow="0" w:firstColumn="0" w:lastColumn="0" w:oddVBand="0" w:evenVBand="0" w:oddHBand="0" w:evenHBand="0" w:firstRowFirstColumn="0" w:firstRowLastColumn="0" w:lastRowFirstColumn="0" w:lastRowLastColumn="0"/>
              <w:rPr>
                <w:b/>
              </w:rPr>
            </w:pPr>
            <w:r w:rsidRPr="009E7CA0">
              <w:rPr>
                <w:b/>
              </w:rPr>
              <w:t xml:space="preserve">Q2 2026 </w:t>
            </w:r>
            <w:r w:rsidRPr="009E7CA0" w:rsidDel="00240B71">
              <w:rPr>
                <w:b/>
              </w:rPr>
              <w:t>activity</w:t>
            </w:r>
          </w:p>
        </w:tc>
        <w:tc>
          <w:tcPr>
            <w:tcW w:w="1446" w:type="dxa"/>
            <w:gridSpan w:val="2"/>
            <w:tcBorders>
              <w:top w:val="nil"/>
              <w:bottom w:val="single" w:sz="4" w:space="0" w:color="BCE4CF"/>
            </w:tcBorders>
            <w:shd w:val="clear" w:color="auto" w:fill="C5E8D6"/>
            <w:vAlign w:val="center"/>
          </w:tcPr>
          <w:p w14:paraId="782A384B" w14:textId="77777777" w:rsidR="00761977" w:rsidRPr="009E7CA0" w:rsidRDefault="00761977" w:rsidP="00761977">
            <w:pPr>
              <w:pStyle w:val="TableColumnHeadingLeft"/>
              <w:cnfStyle w:val="100000000000" w:firstRow="1" w:lastRow="0" w:firstColumn="0" w:lastColumn="0" w:oddVBand="0" w:evenVBand="0" w:oddHBand="0" w:evenHBand="0" w:firstRowFirstColumn="0" w:firstRowLastColumn="0" w:lastRowFirstColumn="0" w:lastRowLastColumn="0"/>
              <w:rPr>
                <w:b/>
              </w:rPr>
            </w:pPr>
            <w:r w:rsidRPr="009E7CA0">
              <w:rPr>
                <w:b/>
              </w:rPr>
              <w:t>Q3 2026 activity</w:t>
            </w:r>
          </w:p>
        </w:tc>
        <w:tc>
          <w:tcPr>
            <w:tcW w:w="1409" w:type="dxa"/>
            <w:tcBorders>
              <w:top w:val="nil"/>
              <w:bottom w:val="single" w:sz="4" w:space="0" w:color="BCE4CF"/>
            </w:tcBorders>
            <w:shd w:val="clear" w:color="auto" w:fill="C5E8D6"/>
            <w:vAlign w:val="center"/>
          </w:tcPr>
          <w:p w14:paraId="06BE99F3" w14:textId="77777777" w:rsidR="00761977" w:rsidRPr="009E7CA0" w:rsidRDefault="00761977" w:rsidP="00761977">
            <w:pPr>
              <w:pStyle w:val="TableColumnHeadingLeft"/>
              <w:cnfStyle w:val="100000000000" w:firstRow="1" w:lastRow="0" w:firstColumn="0" w:lastColumn="0" w:oddVBand="0" w:evenVBand="0" w:oddHBand="0" w:evenHBand="0" w:firstRowFirstColumn="0" w:firstRowLastColumn="0" w:lastRowFirstColumn="0" w:lastRowLastColumn="0"/>
              <w:rPr>
                <w:b/>
              </w:rPr>
            </w:pPr>
            <w:r w:rsidRPr="009E7CA0">
              <w:rPr>
                <w:b/>
              </w:rPr>
              <w:t xml:space="preserve">Q4 2026 </w:t>
            </w:r>
            <w:r w:rsidRPr="009E7CA0" w:rsidDel="00867E3D">
              <w:rPr>
                <w:b/>
              </w:rPr>
              <w:t>activity</w:t>
            </w:r>
          </w:p>
        </w:tc>
        <w:tc>
          <w:tcPr>
            <w:tcW w:w="1276" w:type="dxa"/>
            <w:tcBorders>
              <w:top w:val="nil"/>
              <w:bottom w:val="single" w:sz="4" w:space="0" w:color="BCE4CF"/>
            </w:tcBorders>
            <w:shd w:val="clear" w:color="auto" w:fill="C5E8D6"/>
            <w:vAlign w:val="center"/>
          </w:tcPr>
          <w:p w14:paraId="5924A6C3" w14:textId="77777777" w:rsidR="00761977" w:rsidRPr="009E7CA0" w:rsidRDefault="00761977" w:rsidP="00761977">
            <w:pPr>
              <w:pStyle w:val="TableColumnHeadingLeft"/>
              <w:cnfStyle w:val="100000000000" w:firstRow="1" w:lastRow="0" w:firstColumn="0" w:lastColumn="0" w:oddVBand="0" w:evenVBand="0" w:oddHBand="0" w:evenHBand="0" w:firstRowFirstColumn="0" w:firstRowLastColumn="0" w:lastRowFirstColumn="0" w:lastRowLastColumn="0"/>
              <w:rPr>
                <w:b/>
              </w:rPr>
            </w:pPr>
            <w:r w:rsidRPr="009E7CA0">
              <w:rPr>
                <w:b/>
              </w:rPr>
              <w:t xml:space="preserve">Q1 2027 </w:t>
            </w:r>
            <w:r w:rsidRPr="009E7CA0" w:rsidDel="007C238E">
              <w:rPr>
                <w:b/>
              </w:rPr>
              <w:t>activity</w:t>
            </w:r>
          </w:p>
        </w:tc>
        <w:tc>
          <w:tcPr>
            <w:tcW w:w="1312" w:type="dxa"/>
            <w:tcBorders>
              <w:top w:val="nil"/>
              <w:bottom w:val="single" w:sz="4" w:space="0" w:color="BCE4CF"/>
            </w:tcBorders>
            <w:shd w:val="clear" w:color="auto" w:fill="C5E8D6"/>
            <w:vAlign w:val="center"/>
          </w:tcPr>
          <w:p w14:paraId="6E1E7C7A" w14:textId="77777777" w:rsidR="00761977" w:rsidRPr="009E7CA0" w:rsidRDefault="00761977" w:rsidP="00761977">
            <w:pPr>
              <w:pStyle w:val="TableColumnHeadingLeft"/>
              <w:cnfStyle w:val="100000000000" w:firstRow="1" w:lastRow="0" w:firstColumn="0" w:lastColumn="0" w:oddVBand="0" w:evenVBand="0" w:oddHBand="0" w:evenHBand="0" w:firstRowFirstColumn="0" w:firstRowLastColumn="0" w:lastRowFirstColumn="0" w:lastRowLastColumn="0"/>
              <w:rPr>
                <w:b/>
              </w:rPr>
            </w:pPr>
            <w:r w:rsidRPr="009E7CA0">
              <w:rPr>
                <w:b/>
              </w:rPr>
              <w:t xml:space="preserve">Q2 2027 </w:t>
            </w:r>
            <w:r w:rsidRPr="009E7CA0" w:rsidDel="007C238E">
              <w:rPr>
                <w:b/>
              </w:rPr>
              <w:t>activity</w:t>
            </w:r>
          </w:p>
        </w:tc>
        <w:tc>
          <w:tcPr>
            <w:tcW w:w="1097" w:type="dxa"/>
            <w:gridSpan w:val="2"/>
            <w:tcBorders>
              <w:top w:val="nil"/>
              <w:bottom w:val="single" w:sz="4" w:space="0" w:color="BCE4CF"/>
            </w:tcBorders>
            <w:shd w:val="clear" w:color="auto" w:fill="C5E8D6"/>
          </w:tcPr>
          <w:p w14:paraId="229A34E8" w14:textId="77777777" w:rsidR="00761977" w:rsidRPr="009E7CA0" w:rsidRDefault="00761977" w:rsidP="00761977">
            <w:pPr>
              <w:pStyle w:val="TableColumnHeadingLeft"/>
              <w:cnfStyle w:val="100000000000" w:firstRow="1" w:lastRow="0" w:firstColumn="0" w:lastColumn="0" w:oddVBand="0" w:evenVBand="0" w:oddHBand="0" w:evenHBand="0" w:firstRowFirstColumn="0" w:firstRowLastColumn="0" w:lastRowFirstColumn="0" w:lastRowLastColumn="0"/>
            </w:pPr>
            <w:r w:rsidRPr="009E7CA0">
              <w:rPr>
                <w:b/>
              </w:rPr>
              <w:t>H2 2027 activity</w:t>
            </w:r>
          </w:p>
        </w:tc>
        <w:tc>
          <w:tcPr>
            <w:tcW w:w="964" w:type="dxa"/>
            <w:gridSpan w:val="2"/>
            <w:tcBorders>
              <w:top w:val="nil"/>
              <w:bottom w:val="single" w:sz="4" w:space="0" w:color="BCE4CF"/>
            </w:tcBorders>
            <w:shd w:val="clear" w:color="auto" w:fill="C5E8D6"/>
          </w:tcPr>
          <w:p w14:paraId="57522A18" w14:textId="51AA1089" w:rsidR="00761977" w:rsidRPr="00FF2671" w:rsidRDefault="00761977" w:rsidP="00761977">
            <w:pPr>
              <w:pStyle w:val="TableColumnHeadingLeft"/>
              <w:cnfStyle w:val="100000000000" w:firstRow="1" w:lastRow="0" w:firstColumn="0" w:lastColumn="0" w:oddVBand="0" w:evenVBand="0" w:oddHBand="0" w:evenHBand="0" w:firstRowFirstColumn="0" w:firstRowLastColumn="0" w:lastRowFirstColumn="0" w:lastRowLastColumn="0"/>
              <w:rPr>
                <w:b/>
              </w:rPr>
            </w:pPr>
            <w:r w:rsidRPr="009E7CA0">
              <w:rPr>
                <w:b/>
              </w:rPr>
              <w:t>H1 2028</w:t>
            </w:r>
            <w:r w:rsidR="00FF2671">
              <w:rPr>
                <w:b/>
              </w:rPr>
              <w:t xml:space="preserve"> </w:t>
            </w:r>
            <w:r w:rsidRPr="009E7CA0">
              <w:rPr>
                <w:b/>
              </w:rPr>
              <w:t>activity</w:t>
            </w:r>
          </w:p>
        </w:tc>
      </w:tr>
      <w:tr w:rsidR="00B67E23" w:rsidRPr="009E7CA0" w14:paraId="70D74EB7"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723E8495" w14:textId="77777777" w:rsidR="00761977" w:rsidRPr="009E7CA0" w:rsidRDefault="00761977" w:rsidP="00DA0B22">
            <w:pPr>
              <w:pStyle w:val="TableLeadAgency"/>
              <w:rPr>
                <w:b/>
                <w:bCs/>
              </w:rPr>
            </w:pPr>
            <w:r w:rsidRPr="009E7CA0">
              <w:rPr>
                <w:b/>
                <w:bCs/>
              </w:rPr>
              <w:t xml:space="preserve">TSY </w:t>
            </w:r>
          </w:p>
          <w:p w14:paraId="637129E9" w14:textId="77777777" w:rsidR="00761977" w:rsidRPr="00871D7C" w:rsidRDefault="00761977" w:rsidP="00871D7C">
            <w:pPr>
              <w:pStyle w:val="TableSecondaryAgency"/>
              <w:rPr>
                <w:b w:val="0"/>
              </w:rPr>
            </w:pPr>
            <w:r w:rsidRPr="00871D7C">
              <w:rPr>
                <w:b w:val="0"/>
              </w:rPr>
              <w:t xml:space="preserve">ATO </w:t>
            </w:r>
          </w:p>
          <w:p w14:paraId="0761AB23" w14:textId="77777777" w:rsidR="00761977" w:rsidRPr="009E7CA0" w:rsidRDefault="00761977" w:rsidP="00DA0B22">
            <w:pPr>
              <w:pStyle w:val="TableLeadAgency"/>
              <w:rPr>
                <w:rFonts w:cs="Calibri Light"/>
                <w:b/>
                <w:bCs/>
                <w:i/>
                <w:iCs/>
              </w:rPr>
            </w:pPr>
          </w:p>
        </w:tc>
        <w:tc>
          <w:tcPr>
            <w:tcW w:w="1405" w:type="dxa"/>
            <w:tcBorders>
              <w:top w:val="single" w:sz="4" w:space="0" w:color="BCE4CF"/>
              <w:bottom w:val="single" w:sz="4" w:space="0" w:color="BCE4CF"/>
            </w:tcBorders>
          </w:tcPr>
          <w:p w14:paraId="48EF08E0"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Superannuation and retirement income</w:t>
            </w:r>
          </w:p>
        </w:tc>
        <w:tc>
          <w:tcPr>
            <w:tcW w:w="2775" w:type="dxa"/>
            <w:gridSpan w:val="2"/>
            <w:tcBorders>
              <w:top w:val="single" w:sz="4" w:space="0" w:color="BCE4CF"/>
              <w:bottom w:val="single" w:sz="4" w:space="0" w:color="BCE4CF"/>
            </w:tcBorders>
          </w:tcPr>
          <w:p w14:paraId="153444D5" w14:textId="77777777" w:rsidR="00761977" w:rsidRPr="009E7CA0" w:rsidRDefault="00761977" w:rsidP="0005174A">
            <w:pPr>
              <w:pStyle w:val="TableLink"/>
              <w:cnfStyle w:val="000000000000" w:firstRow="0" w:lastRow="0" w:firstColumn="0" w:lastColumn="0" w:oddVBand="0" w:evenVBand="0" w:oddHBand="0" w:evenHBand="0" w:firstRowFirstColumn="0" w:firstRowLastColumn="0" w:lastRowFirstColumn="0" w:lastRowLastColumn="0"/>
            </w:pPr>
            <w:hyperlink r:id="rId60" w:history="1">
              <w:r w:rsidRPr="009E7CA0">
                <w:t>Access to offenders’ superannuation</w:t>
              </w:r>
            </w:hyperlink>
          </w:p>
          <w:p w14:paraId="11414F7C" w14:textId="14021D1B" w:rsidR="00761977" w:rsidRPr="009E7CA0" w:rsidRDefault="00761977" w:rsidP="00E573EA">
            <w:pPr>
              <w:pStyle w:val="TableTextLeft"/>
              <w:cnfStyle w:val="000000000000" w:firstRow="0" w:lastRow="0" w:firstColumn="0" w:lastColumn="0" w:oddVBand="0" w:evenVBand="0" w:oddHBand="0" w:evenHBand="0" w:firstRowFirstColumn="0" w:firstRowLastColumn="0" w:lastRowFirstColumn="0" w:lastRowLastColumn="0"/>
            </w:pPr>
            <w:r w:rsidRPr="009E7CA0">
              <w:t>The government committed to preventing convicted child sexual abuse offenders from shielding their assets in superannuation to avoid court</w:t>
            </w:r>
            <w:r w:rsidRPr="009E7CA0">
              <w:noBreakHyphen/>
              <w:t>ordered compensation for victims and survivors. Exposure Draft legislation was released for public consultation in February</w:t>
            </w:r>
            <w:r w:rsidR="004C01C6" w:rsidRPr="009E7CA0">
              <w:t> </w:t>
            </w:r>
            <w:r w:rsidRPr="009E7CA0">
              <w:t xml:space="preserve">2026. The </w:t>
            </w:r>
            <w:r w:rsidRPr="004679A2">
              <w:t>Treasury Laws Amendment (The Survivors Law) Bill</w:t>
            </w:r>
            <w:r w:rsidR="0070088C" w:rsidRPr="004679A2">
              <w:t> </w:t>
            </w:r>
            <w:r w:rsidRPr="004679A2">
              <w:t>2026</w:t>
            </w:r>
            <w:r w:rsidRPr="009E7CA0">
              <w:t xml:space="preserve"> was introduced into Parliament on 25</w:t>
            </w:r>
            <w:r w:rsidR="004C01C6" w:rsidRPr="009E7CA0">
              <w:t> </w:t>
            </w:r>
            <w:r w:rsidRPr="009E7CA0">
              <w:t>March</w:t>
            </w:r>
            <w:r w:rsidR="004C01C6" w:rsidRPr="009E7CA0">
              <w:t> </w:t>
            </w:r>
            <w:r w:rsidRPr="009E7CA0">
              <w:t xml:space="preserve">2026. </w:t>
            </w:r>
          </w:p>
        </w:tc>
        <w:tc>
          <w:tcPr>
            <w:tcW w:w="1458" w:type="dxa"/>
            <w:gridSpan w:val="2"/>
            <w:tcBorders>
              <w:top w:val="single" w:sz="4" w:space="0" w:color="BCE4CF"/>
              <w:bottom w:val="single" w:sz="4" w:space="0" w:color="BCE4CF"/>
            </w:tcBorders>
            <w:shd w:val="clear" w:color="auto" w:fill="ECF7F1"/>
          </w:tcPr>
          <w:p w14:paraId="1193130E"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1446" w:type="dxa"/>
            <w:gridSpan w:val="2"/>
            <w:tcBorders>
              <w:top w:val="single" w:sz="4" w:space="0" w:color="BCE4CF"/>
              <w:bottom w:val="single" w:sz="4" w:space="0" w:color="BCE4CF"/>
            </w:tcBorders>
            <w:shd w:val="clear" w:color="auto" w:fill="ECF7F1"/>
          </w:tcPr>
          <w:p w14:paraId="524EACBE"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1409" w:type="dxa"/>
            <w:tcBorders>
              <w:top w:val="single" w:sz="4" w:space="0" w:color="BCE4CF"/>
              <w:bottom w:val="single" w:sz="4" w:space="0" w:color="BCE4CF"/>
            </w:tcBorders>
            <w:shd w:val="clear" w:color="auto" w:fill="ECF7F1"/>
          </w:tcPr>
          <w:p w14:paraId="2F45D8C1"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BCE4CF"/>
              <w:bottom w:val="single" w:sz="4" w:space="0" w:color="BCE4CF"/>
            </w:tcBorders>
            <w:shd w:val="clear" w:color="auto" w:fill="F5FBF8"/>
          </w:tcPr>
          <w:p w14:paraId="259934E3"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1312" w:type="dxa"/>
            <w:tcBorders>
              <w:top w:val="single" w:sz="4" w:space="0" w:color="BCE4CF"/>
              <w:bottom w:val="single" w:sz="4" w:space="0" w:color="BCE4CF"/>
            </w:tcBorders>
            <w:shd w:val="clear" w:color="auto" w:fill="F5FBF8"/>
          </w:tcPr>
          <w:p w14:paraId="018EBAF7"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1097" w:type="dxa"/>
            <w:gridSpan w:val="2"/>
            <w:tcBorders>
              <w:top w:val="single" w:sz="4" w:space="0" w:color="BCE4CF"/>
              <w:bottom w:val="single" w:sz="4" w:space="0" w:color="BCE4CF"/>
            </w:tcBorders>
            <w:shd w:val="clear" w:color="auto" w:fill="F5FBF8"/>
          </w:tcPr>
          <w:p w14:paraId="5BA748AE"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964" w:type="dxa"/>
            <w:gridSpan w:val="2"/>
            <w:tcBorders>
              <w:top w:val="single" w:sz="4" w:space="0" w:color="BCE4CF"/>
              <w:bottom w:val="single" w:sz="4" w:space="0" w:color="BCE4CF"/>
            </w:tcBorders>
            <w:shd w:val="clear" w:color="auto" w:fill="F5FBF8"/>
          </w:tcPr>
          <w:p w14:paraId="3B9C28D5"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r>
      <w:tr w:rsidR="00B67E23" w:rsidRPr="009E7CA0" w14:paraId="2D051E6E"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0EF3AC6F" w14:textId="77777777" w:rsidR="00761977" w:rsidRPr="009E7CA0" w:rsidRDefault="00761977" w:rsidP="00DA0B22">
            <w:pPr>
              <w:pStyle w:val="TableLeadAgency"/>
              <w:rPr>
                <w:rFonts w:cs="Calibri Light"/>
                <w:b/>
                <w:bCs/>
                <w:iCs/>
                <w:szCs w:val="16"/>
              </w:rPr>
            </w:pPr>
            <w:r w:rsidRPr="009E7CA0">
              <w:rPr>
                <w:rFonts w:cs="Calibri Light"/>
                <w:b/>
                <w:bCs/>
                <w:iCs/>
              </w:rPr>
              <w:lastRenderedPageBreak/>
              <w:t>TSY</w:t>
            </w:r>
          </w:p>
        </w:tc>
        <w:tc>
          <w:tcPr>
            <w:tcW w:w="1405" w:type="dxa"/>
            <w:tcBorders>
              <w:top w:val="single" w:sz="4" w:space="0" w:color="BCE4CF"/>
              <w:bottom w:val="single" w:sz="4" w:space="0" w:color="BCE4CF"/>
            </w:tcBorders>
          </w:tcPr>
          <w:p w14:paraId="352ACBCF"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Insurance and reinsurance</w:t>
            </w:r>
          </w:p>
        </w:tc>
        <w:tc>
          <w:tcPr>
            <w:tcW w:w="2775" w:type="dxa"/>
            <w:gridSpan w:val="2"/>
            <w:tcBorders>
              <w:top w:val="single" w:sz="4" w:space="0" w:color="BCE4CF"/>
              <w:bottom w:val="single" w:sz="4" w:space="0" w:color="BCE4CF"/>
            </w:tcBorders>
          </w:tcPr>
          <w:p w14:paraId="45D9817E" w14:textId="77777777" w:rsidR="00761977" w:rsidRPr="009E7CA0" w:rsidRDefault="00761977" w:rsidP="0005174A">
            <w:pPr>
              <w:pStyle w:val="TableLink"/>
              <w:cnfStyle w:val="000000000000" w:firstRow="0" w:lastRow="0" w:firstColumn="0" w:lastColumn="0" w:oddVBand="0" w:evenVBand="0" w:oddHBand="0" w:evenHBand="0" w:firstRowFirstColumn="0" w:firstRowLastColumn="0" w:lastRowFirstColumn="0" w:lastRowLastColumn="0"/>
            </w:pPr>
            <w:hyperlink r:id="rId61" w:history="1">
              <w:r w:rsidRPr="009E7CA0">
                <w:t>Ban on adverse genetic test results in life insurance</w:t>
              </w:r>
            </w:hyperlink>
          </w:p>
          <w:p w14:paraId="44498894" w14:textId="3C1D1E6D" w:rsidR="00761977" w:rsidRPr="009E7CA0" w:rsidRDefault="00216C7F" w:rsidP="00E573EA">
            <w:pPr>
              <w:pStyle w:val="TableTextLeft"/>
              <w:cnfStyle w:val="000000000000" w:firstRow="0" w:lastRow="0" w:firstColumn="0" w:lastColumn="0" w:oddVBand="0" w:evenVBand="0" w:oddHBand="0" w:evenHBand="0" w:firstRowFirstColumn="0" w:firstRowLastColumn="0" w:lastRowFirstColumn="0" w:lastRowLastColumn="0"/>
            </w:pPr>
            <w:r>
              <w:rPr>
                <w:rFonts w:cs="Calibri Light"/>
              </w:rPr>
              <w:t xml:space="preserve">On 1 </w:t>
            </w:r>
            <w:r>
              <w:t xml:space="preserve">April 2026, the </w:t>
            </w:r>
            <w:r w:rsidRPr="008B759B">
              <w:rPr>
                <w:iCs/>
              </w:rPr>
              <w:t>Treasury Laws Amendment (Genetic Testing Protections in Life Insurance and Other Measures) Bill 2025</w:t>
            </w:r>
            <w:r>
              <w:t xml:space="preserve"> passed both Houses of Parliament. </w:t>
            </w:r>
            <w:r>
              <w:rPr>
                <w:rFonts w:cs="Calibri Light"/>
              </w:rPr>
              <w:t xml:space="preserve">The Bill </w:t>
            </w:r>
            <w:r w:rsidRPr="71CBDF61">
              <w:rPr>
                <w:rFonts w:cs="Calibri Light"/>
              </w:rPr>
              <w:t>introduced</w:t>
            </w:r>
            <w:r w:rsidRPr="1213AF8E">
              <w:rPr>
                <w:rFonts w:cs="Calibri Light"/>
              </w:rPr>
              <w:t xml:space="preserve"> </w:t>
            </w:r>
            <w:r>
              <w:rPr>
                <w:rFonts w:cs="Calibri Light"/>
              </w:rPr>
              <w:t>a</w:t>
            </w:r>
            <w:r w:rsidRPr="1213AF8E">
              <w:rPr>
                <w:rFonts w:cs="Calibri Light"/>
              </w:rPr>
              <w:t xml:space="preserve"> ban </w:t>
            </w:r>
            <w:r>
              <w:rPr>
                <w:rFonts w:cs="Calibri Light"/>
              </w:rPr>
              <w:t xml:space="preserve">on </w:t>
            </w:r>
            <w:r w:rsidRPr="1213AF8E">
              <w:rPr>
                <w:rFonts w:cs="Calibri Light"/>
              </w:rPr>
              <w:t xml:space="preserve">the use of adverse predictive genetic test results in underwriting life </w:t>
            </w:r>
            <w:r w:rsidRPr="71CBDF61">
              <w:rPr>
                <w:rFonts w:cs="Calibri Light"/>
              </w:rPr>
              <w:t>insurance.</w:t>
            </w:r>
            <w:r>
              <w:rPr>
                <w:rFonts w:cs="Calibri Light"/>
              </w:rPr>
              <w:t xml:space="preserve"> The n</w:t>
            </w:r>
            <w:r w:rsidRPr="45951AD6">
              <w:rPr>
                <w:rFonts w:cs="Calibri Light"/>
              </w:rPr>
              <w:t>ew</w:t>
            </w:r>
            <w:r w:rsidRPr="71CBDF61">
              <w:rPr>
                <w:rFonts w:cs="Calibri Light"/>
              </w:rPr>
              <w:t xml:space="preserve"> law will</w:t>
            </w:r>
            <w:r w:rsidRPr="45FCFC4F" w:rsidDel="00BA07FD">
              <w:rPr>
                <w:rFonts w:cs="Calibri Light"/>
              </w:rPr>
              <w:t xml:space="preserve"> </w:t>
            </w:r>
            <w:r w:rsidRPr="71CBDF61">
              <w:rPr>
                <w:rFonts w:cs="Calibri Light"/>
              </w:rPr>
              <w:t>commence six months after royal assent</w:t>
            </w:r>
            <w:r w:rsidRPr="5459250C">
              <w:rPr>
                <w:rFonts w:cs="Calibri Light"/>
              </w:rPr>
              <w:t>.</w:t>
            </w:r>
          </w:p>
        </w:tc>
        <w:tc>
          <w:tcPr>
            <w:tcW w:w="1458" w:type="dxa"/>
            <w:gridSpan w:val="2"/>
            <w:tcBorders>
              <w:top w:val="single" w:sz="4" w:space="0" w:color="BCE4CF"/>
              <w:bottom w:val="single" w:sz="4" w:space="0" w:color="BCE4CF"/>
            </w:tcBorders>
            <w:shd w:val="clear" w:color="auto" w:fill="ECF7F1"/>
          </w:tcPr>
          <w:p w14:paraId="54096C62"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1446" w:type="dxa"/>
            <w:gridSpan w:val="2"/>
            <w:tcBorders>
              <w:top w:val="single" w:sz="4" w:space="0" w:color="BCE4CF"/>
              <w:bottom w:val="single" w:sz="4" w:space="0" w:color="BCE4CF"/>
            </w:tcBorders>
            <w:shd w:val="clear" w:color="auto" w:fill="ECF7F1"/>
          </w:tcPr>
          <w:p w14:paraId="088FC48C"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1409" w:type="dxa"/>
            <w:tcBorders>
              <w:top w:val="single" w:sz="4" w:space="0" w:color="BCE4CF"/>
              <w:bottom w:val="single" w:sz="4" w:space="0" w:color="BCE4CF"/>
            </w:tcBorders>
            <w:shd w:val="clear" w:color="auto" w:fill="ECF7F1"/>
          </w:tcPr>
          <w:p w14:paraId="0E73D347"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BCE4CF"/>
              <w:bottom w:val="single" w:sz="4" w:space="0" w:color="BCE4CF"/>
            </w:tcBorders>
            <w:shd w:val="clear" w:color="auto" w:fill="F5FBF8"/>
          </w:tcPr>
          <w:p w14:paraId="0C7D08E9"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1312" w:type="dxa"/>
            <w:tcBorders>
              <w:top w:val="single" w:sz="4" w:space="0" w:color="BCE4CF"/>
              <w:bottom w:val="single" w:sz="4" w:space="0" w:color="BCE4CF"/>
            </w:tcBorders>
            <w:shd w:val="clear" w:color="auto" w:fill="F5FBF8"/>
          </w:tcPr>
          <w:p w14:paraId="33CB9C60"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1097" w:type="dxa"/>
            <w:gridSpan w:val="2"/>
            <w:tcBorders>
              <w:top w:val="single" w:sz="4" w:space="0" w:color="BCE4CF"/>
              <w:bottom w:val="single" w:sz="4" w:space="0" w:color="BCE4CF"/>
            </w:tcBorders>
            <w:shd w:val="clear" w:color="auto" w:fill="F5FBF8"/>
          </w:tcPr>
          <w:p w14:paraId="253ADE87"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964" w:type="dxa"/>
            <w:gridSpan w:val="2"/>
            <w:tcBorders>
              <w:top w:val="single" w:sz="4" w:space="0" w:color="BCE4CF"/>
              <w:bottom w:val="single" w:sz="4" w:space="0" w:color="BCE4CF"/>
            </w:tcBorders>
            <w:shd w:val="clear" w:color="auto" w:fill="F5FBF8"/>
          </w:tcPr>
          <w:p w14:paraId="5E7797BD"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r>
      <w:tr w:rsidR="00B67E23" w:rsidRPr="009E7CA0" w14:paraId="6D694047"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386D2399" w14:textId="77777777" w:rsidR="00761977" w:rsidRPr="009E7CA0" w:rsidRDefault="00761977" w:rsidP="00DA0B22">
            <w:pPr>
              <w:pStyle w:val="TableLeadAgency"/>
              <w:rPr>
                <w:b/>
                <w:bCs/>
              </w:rPr>
            </w:pPr>
            <w:r w:rsidRPr="009E7CA0">
              <w:rPr>
                <w:b/>
                <w:bCs/>
              </w:rPr>
              <w:t xml:space="preserve">TSY </w:t>
            </w:r>
          </w:p>
          <w:p w14:paraId="4DFB82EB" w14:textId="77777777" w:rsidR="00761977" w:rsidRPr="00871D7C" w:rsidRDefault="00761977" w:rsidP="00871D7C">
            <w:pPr>
              <w:pStyle w:val="TableSecondaryAgency"/>
              <w:rPr>
                <w:b w:val="0"/>
                <w:bCs/>
              </w:rPr>
            </w:pPr>
            <w:r w:rsidRPr="00871D7C">
              <w:rPr>
                <w:b w:val="0"/>
                <w:bCs/>
              </w:rPr>
              <w:t>ATO</w:t>
            </w:r>
          </w:p>
        </w:tc>
        <w:tc>
          <w:tcPr>
            <w:tcW w:w="1405" w:type="dxa"/>
            <w:tcBorders>
              <w:top w:val="single" w:sz="4" w:space="0" w:color="BCE4CF"/>
              <w:bottom w:val="single" w:sz="4" w:space="0" w:color="BCE4CF"/>
            </w:tcBorders>
          </w:tcPr>
          <w:p w14:paraId="44DA3F26"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Superannuation and retirement income</w:t>
            </w:r>
          </w:p>
          <w:p w14:paraId="03B55D1D"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Financial advice</w:t>
            </w:r>
          </w:p>
        </w:tc>
        <w:tc>
          <w:tcPr>
            <w:tcW w:w="2775" w:type="dxa"/>
            <w:gridSpan w:val="2"/>
            <w:tcBorders>
              <w:top w:val="single" w:sz="4" w:space="0" w:color="BCE4CF"/>
              <w:bottom w:val="single" w:sz="4" w:space="0" w:color="BCE4CF"/>
            </w:tcBorders>
          </w:tcPr>
          <w:p w14:paraId="5FC1DFE0" w14:textId="77777777" w:rsidR="00761977" w:rsidRPr="009E7CA0" w:rsidRDefault="00761977" w:rsidP="0005174A">
            <w:pPr>
              <w:pStyle w:val="TableLink"/>
              <w:cnfStyle w:val="000000000000" w:firstRow="0" w:lastRow="0" w:firstColumn="0" w:lastColumn="0" w:oddVBand="0" w:evenVBand="0" w:oddHBand="0" w:evenHBand="0" w:firstRowFirstColumn="0" w:firstRowLastColumn="0" w:lastRowFirstColumn="0" w:lastRowLastColumn="0"/>
            </w:pPr>
            <w:hyperlink r:id="rId62">
              <w:r w:rsidRPr="00087A37">
                <w:t>Better targeted superannuation concessions</w:t>
              </w:r>
            </w:hyperlink>
            <w:r w:rsidRPr="00087A37">
              <w:t xml:space="preserve"> (Division 296 tax)</w:t>
            </w:r>
          </w:p>
          <w:p w14:paraId="2BB67303" w14:textId="577DE36E" w:rsidR="00761977" w:rsidRPr="009E7CA0" w:rsidRDefault="00761977" w:rsidP="00E573EA">
            <w:pPr>
              <w:pStyle w:val="TableTextLeft"/>
              <w:cnfStyle w:val="000000000000" w:firstRow="0" w:lastRow="0" w:firstColumn="0" w:lastColumn="0" w:oddVBand="0" w:evenVBand="0" w:oddHBand="0" w:evenHBand="0" w:firstRowFirstColumn="0" w:firstRowLastColumn="0" w:lastRowFirstColumn="0" w:lastRowLastColumn="0"/>
            </w:pPr>
            <w:r w:rsidRPr="009E7CA0">
              <w:t>The government will ensure the sustainabilit</w:t>
            </w:r>
            <w:r w:rsidRPr="009E7CA0">
              <w:rPr>
                <w:rFonts w:cs="Calibri Light"/>
              </w:rPr>
              <w:t>y of superannuation tax concessions</w:t>
            </w:r>
            <w:r w:rsidRPr="009E7CA0">
              <w:t xml:space="preserve"> by applying an additional 15 per cent tax on earnings attributable to superannuation balances exceeding $3 million and an additional 25</w:t>
            </w:r>
            <w:r w:rsidR="0031560C" w:rsidRPr="009E7CA0">
              <w:t> </w:t>
            </w:r>
            <w:r w:rsidRPr="009E7CA0">
              <w:t>per</w:t>
            </w:r>
            <w:r w:rsidR="0031560C" w:rsidRPr="009E7CA0">
              <w:t> </w:t>
            </w:r>
            <w:r w:rsidRPr="009E7CA0">
              <w:t>cent on earnings attributable to balances exceeding $10</w:t>
            </w:r>
            <w:r w:rsidR="003C4376" w:rsidRPr="009E7CA0">
              <w:t> </w:t>
            </w:r>
            <w:r w:rsidRPr="009E7CA0">
              <w:t>million. The Treasury Laws Amendment (Building a Stronger and Fairer Super System) Act 2026 received Royal Assent on 13</w:t>
            </w:r>
            <w:r w:rsidR="00A82234" w:rsidRPr="009E7CA0">
              <w:t> </w:t>
            </w:r>
            <w:r w:rsidRPr="009E7CA0">
              <w:t>March</w:t>
            </w:r>
            <w:r w:rsidR="00A82234" w:rsidRPr="009E7CA0">
              <w:t> </w:t>
            </w:r>
            <w:r w:rsidRPr="009E7CA0">
              <w:t>2026, with a law effect date of 1</w:t>
            </w:r>
            <w:r w:rsidR="00A82234" w:rsidRPr="009E7CA0">
              <w:t> </w:t>
            </w:r>
            <w:r w:rsidRPr="009E7CA0">
              <w:t>July</w:t>
            </w:r>
            <w:r w:rsidR="00A82234" w:rsidRPr="009E7CA0">
              <w:t> </w:t>
            </w:r>
            <w:r w:rsidRPr="009E7CA0">
              <w:t xml:space="preserve">2026. </w:t>
            </w:r>
            <w:r w:rsidR="006C1C02">
              <w:t>Public c</w:t>
            </w:r>
            <w:r w:rsidR="00C50793">
              <w:t>onsultation on d</w:t>
            </w:r>
            <w:r w:rsidR="00FD60B5">
              <w:t>raft s</w:t>
            </w:r>
            <w:r w:rsidRPr="009E7CA0">
              <w:t xml:space="preserve">upporting Regulations </w:t>
            </w:r>
            <w:r w:rsidR="00C1773F">
              <w:t xml:space="preserve">is </w:t>
            </w:r>
            <w:r w:rsidR="00C50793">
              <w:t>occurr</w:t>
            </w:r>
            <w:r w:rsidR="00C1773F">
              <w:t>ing</w:t>
            </w:r>
            <w:r w:rsidR="00C50793">
              <w:t xml:space="preserve"> in </w:t>
            </w:r>
            <w:r w:rsidR="00424EB1">
              <w:t>March-</w:t>
            </w:r>
            <w:r w:rsidR="00F253ED">
              <w:t xml:space="preserve">April 2026, </w:t>
            </w:r>
            <w:r w:rsidR="002074FD">
              <w:t>with the Regulations</w:t>
            </w:r>
            <w:r w:rsidR="00FD60B5">
              <w:t xml:space="preserve"> </w:t>
            </w:r>
            <w:r w:rsidRPr="009E7CA0">
              <w:t>expected to be in place by 1</w:t>
            </w:r>
            <w:r w:rsidR="00A82234" w:rsidRPr="009E7CA0">
              <w:t> </w:t>
            </w:r>
            <w:r w:rsidRPr="009E7CA0">
              <w:t>July</w:t>
            </w:r>
            <w:r w:rsidR="00A82234" w:rsidRPr="009E7CA0">
              <w:t> </w:t>
            </w:r>
            <w:r w:rsidRPr="009E7CA0">
              <w:t>2026. The</w:t>
            </w:r>
            <w:r w:rsidRPr="009E7CA0" w:rsidDel="001D6DAD">
              <w:t xml:space="preserve"> </w:t>
            </w:r>
            <w:r w:rsidRPr="009E7CA0">
              <w:t>ATO intends to issue guidance to assist the implementation of the legislation.</w:t>
            </w:r>
          </w:p>
        </w:tc>
        <w:tc>
          <w:tcPr>
            <w:tcW w:w="1458" w:type="dxa"/>
            <w:gridSpan w:val="2"/>
            <w:tcBorders>
              <w:top w:val="single" w:sz="4" w:space="0" w:color="BCE4CF"/>
              <w:bottom w:val="single" w:sz="4" w:space="0" w:color="BCE4CF"/>
            </w:tcBorders>
            <w:shd w:val="clear" w:color="auto" w:fill="ECF7F1"/>
          </w:tcPr>
          <w:p w14:paraId="1166FD61"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1446" w:type="dxa"/>
            <w:gridSpan w:val="2"/>
            <w:tcBorders>
              <w:top w:val="single" w:sz="4" w:space="0" w:color="BCE4CF"/>
              <w:bottom w:val="single" w:sz="4" w:space="0" w:color="BCE4CF"/>
            </w:tcBorders>
            <w:shd w:val="clear" w:color="auto" w:fill="ECF7F1"/>
          </w:tcPr>
          <w:p w14:paraId="37132A10" w14:textId="2DCC65F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r w:rsidRPr="009E7CA0">
              <w:t>1</w:t>
            </w:r>
            <w:r w:rsidR="004C01C6" w:rsidRPr="009E7CA0">
              <w:t> </w:t>
            </w:r>
            <w:r w:rsidRPr="009E7CA0">
              <w:t>July</w:t>
            </w:r>
            <w:r w:rsidR="004C01C6" w:rsidRPr="009E7CA0">
              <w:t> </w:t>
            </w:r>
            <w:r w:rsidRPr="009E7CA0">
              <w:t>2026 new Division</w:t>
            </w:r>
            <w:r w:rsidR="004C01C6" w:rsidRPr="009E7CA0">
              <w:t> </w:t>
            </w:r>
            <w:r w:rsidRPr="009E7CA0">
              <w:t>296 tax commences</w:t>
            </w:r>
            <w:r w:rsidR="001E00D3">
              <w:t>.</w:t>
            </w:r>
            <w:r w:rsidRPr="009E7CA0">
              <w:t xml:space="preserve"> </w:t>
            </w:r>
          </w:p>
        </w:tc>
        <w:tc>
          <w:tcPr>
            <w:tcW w:w="1409" w:type="dxa"/>
            <w:tcBorders>
              <w:top w:val="single" w:sz="4" w:space="0" w:color="BCE4CF"/>
              <w:bottom w:val="single" w:sz="4" w:space="0" w:color="BCE4CF"/>
            </w:tcBorders>
            <w:shd w:val="clear" w:color="auto" w:fill="ECF7F1"/>
          </w:tcPr>
          <w:p w14:paraId="754167A6"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BCE4CF"/>
              <w:bottom w:val="single" w:sz="4" w:space="0" w:color="BCE4CF"/>
            </w:tcBorders>
            <w:shd w:val="clear" w:color="auto" w:fill="F5FBF8"/>
          </w:tcPr>
          <w:p w14:paraId="69324237"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1312" w:type="dxa"/>
            <w:tcBorders>
              <w:top w:val="single" w:sz="4" w:space="0" w:color="BCE4CF"/>
              <w:bottom w:val="single" w:sz="4" w:space="0" w:color="BCE4CF"/>
            </w:tcBorders>
            <w:shd w:val="clear" w:color="auto" w:fill="F5FBF8"/>
          </w:tcPr>
          <w:p w14:paraId="48231C02"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1097" w:type="dxa"/>
            <w:gridSpan w:val="2"/>
            <w:tcBorders>
              <w:top w:val="single" w:sz="4" w:space="0" w:color="BCE4CF"/>
              <w:bottom w:val="single" w:sz="4" w:space="0" w:color="BCE4CF"/>
            </w:tcBorders>
            <w:shd w:val="clear" w:color="auto" w:fill="F5FBF8"/>
          </w:tcPr>
          <w:p w14:paraId="05F66560"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964" w:type="dxa"/>
            <w:gridSpan w:val="2"/>
            <w:tcBorders>
              <w:top w:val="single" w:sz="4" w:space="0" w:color="BCE4CF"/>
              <w:bottom w:val="single" w:sz="4" w:space="0" w:color="BCE4CF"/>
            </w:tcBorders>
            <w:shd w:val="clear" w:color="auto" w:fill="F5FBF8"/>
          </w:tcPr>
          <w:p w14:paraId="589BD5E3"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r>
      <w:tr w:rsidR="00B67E23" w:rsidRPr="009E7CA0" w14:paraId="5BAD629B" w14:textId="77777777" w:rsidTr="001E00D3">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79D3C353" w14:textId="77777777" w:rsidR="00761977" w:rsidRPr="009E7CA0" w:rsidRDefault="00761977" w:rsidP="00DA0B22">
            <w:pPr>
              <w:pStyle w:val="TableLeadAgency"/>
              <w:rPr>
                <w:b/>
                <w:bCs/>
              </w:rPr>
            </w:pPr>
            <w:r w:rsidRPr="009E7CA0">
              <w:rPr>
                <w:b/>
                <w:bCs/>
              </w:rPr>
              <w:lastRenderedPageBreak/>
              <w:t>TSY</w:t>
            </w:r>
          </w:p>
          <w:p w14:paraId="4BF937C5" w14:textId="77777777" w:rsidR="00761977" w:rsidRPr="00924915" w:rsidRDefault="00761977" w:rsidP="00924915">
            <w:pPr>
              <w:pStyle w:val="TableSecondaryAgency"/>
              <w:rPr>
                <w:b w:val="0"/>
              </w:rPr>
            </w:pPr>
            <w:r w:rsidRPr="00924915">
              <w:rPr>
                <w:b w:val="0"/>
              </w:rPr>
              <w:t>ASIC</w:t>
            </w:r>
          </w:p>
        </w:tc>
        <w:tc>
          <w:tcPr>
            <w:tcW w:w="1405" w:type="dxa"/>
            <w:tcBorders>
              <w:top w:val="single" w:sz="4" w:space="0" w:color="BCE4CF"/>
              <w:bottom w:val="single" w:sz="4" w:space="0" w:color="BCE4CF"/>
            </w:tcBorders>
          </w:tcPr>
          <w:p w14:paraId="32DD5AB5"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Banking, credit and lending</w:t>
            </w:r>
          </w:p>
        </w:tc>
        <w:tc>
          <w:tcPr>
            <w:tcW w:w="2775" w:type="dxa"/>
            <w:gridSpan w:val="2"/>
            <w:tcBorders>
              <w:top w:val="single" w:sz="4" w:space="0" w:color="BCE4CF"/>
              <w:bottom w:val="single" w:sz="4" w:space="0" w:color="BCE4CF"/>
            </w:tcBorders>
          </w:tcPr>
          <w:p w14:paraId="70ED98EF" w14:textId="77777777" w:rsidR="00761977" w:rsidRPr="009E7CA0" w:rsidRDefault="00761977" w:rsidP="0005174A">
            <w:pPr>
              <w:pStyle w:val="TableLink"/>
              <w:cnfStyle w:val="000000000000" w:firstRow="0" w:lastRow="0" w:firstColumn="0" w:lastColumn="0" w:oddVBand="0" w:evenVBand="0" w:oddHBand="0" w:evenHBand="0" w:firstRowFirstColumn="0" w:firstRowLastColumn="0" w:lastRowFirstColumn="0" w:lastRowLastColumn="0"/>
            </w:pPr>
            <w:hyperlink r:id="rId63">
              <w:r w:rsidRPr="009E7CA0">
                <w:t>Buy Now, Pay Later reforms</w:t>
              </w:r>
            </w:hyperlink>
          </w:p>
          <w:p w14:paraId="6610F817" w14:textId="77777777" w:rsidR="00761977" w:rsidRPr="009E7CA0" w:rsidRDefault="00761977" w:rsidP="00E573EA">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The </w:t>
            </w:r>
            <w:r w:rsidRPr="009E7CA0">
              <w:rPr>
                <w:i/>
              </w:rPr>
              <w:t>Treasury Laws Amendment (Responsible Buy Now Pay Later and Other Measures) Act 2024</w:t>
            </w:r>
            <w:r w:rsidRPr="009E7CA0">
              <w:t xml:space="preserve"> amended the </w:t>
            </w:r>
            <w:r w:rsidRPr="009E7CA0">
              <w:rPr>
                <w:i/>
              </w:rPr>
              <w:t>National Consumer Credit Protection Act 2009</w:t>
            </w:r>
            <w:r w:rsidRPr="009E7CA0">
              <w:t xml:space="preserve"> to regulate Buy Now, Pay Later (BNPL) products as a form of consumer credit. Key operative aspects commenced on 10 June 2025. </w:t>
            </w:r>
          </w:p>
          <w:p w14:paraId="340A8085" w14:textId="77777777" w:rsidR="00761977" w:rsidRPr="009E7CA0" w:rsidRDefault="00761977" w:rsidP="004907AE">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The </w:t>
            </w:r>
            <w:r w:rsidRPr="009E7CA0">
              <w:rPr>
                <w:i/>
                <w:iCs/>
              </w:rPr>
              <w:t xml:space="preserve">National Consumer Credit Protection Amendment (Low Cost Credit) Regulations 2025 </w:t>
            </w:r>
            <w:r w:rsidRPr="009E7CA0">
              <w:t xml:space="preserve">commenced on 10 June 2025 and set requirements for inquiries, fees and unsuitability assessments. </w:t>
            </w:r>
          </w:p>
          <w:p w14:paraId="11F132F4" w14:textId="77777777" w:rsidR="00761977" w:rsidRPr="009E7CA0" w:rsidRDefault="00761977" w:rsidP="00E573EA">
            <w:pPr>
              <w:pStyle w:val="TableTextLeft"/>
              <w:cnfStyle w:val="000000000000" w:firstRow="0" w:lastRow="0" w:firstColumn="0" w:lastColumn="0" w:oddVBand="0" w:evenVBand="0" w:oddHBand="0" w:evenHBand="0" w:firstRowFirstColumn="0" w:firstRowLastColumn="0" w:lastRowFirstColumn="0" w:lastRowLastColumn="0"/>
              <w:rPr>
                <w:color w:val="5D779D" w:themeColor="accent3"/>
              </w:rPr>
            </w:pPr>
            <w:r w:rsidRPr="009E7CA0">
              <w:t>ASIC released its related Regulatory Guide (RG281 – Low Cost Credit Contracts) on 8 May 2025 to provide guidance on the implementation of the legislation.</w:t>
            </w:r>
          </w:p>
        </w:tc>
        <w:tc>
          <w:tcPr>
            <w:tcW w:w="1458" w:type="dxa"/>
            <w:gridSpan w:val="2"/>
            <w:tcBorders>
              <w:top w:val="single" w:sz="4" w:space="0" w:color="BCE4CF"/>
              <w:bottom w:val="single" w:sz="4" w:space="0" w:color="BCE4CF"/>
            </w:tcBorders>
            <w:shd w:val="clear" w:color="auto" w:fill="ECF7F1"/>
          </w:tcPr>
          <w:p w14:paraId="6D3C7CCD"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1446" w:type="dxa"/>
            <w:gridSpan w:val="2"/>
            <w:tcBorders>
              <w:top w:val="single" w:sz="4" w:space="0" w:color="BCE4CF"/>
              <w:bottom w:val="single" w:sz="4" w:space="0" w:color="BCE4CF"/>
            </w:tcBorders>
            <w:shd w:val="clear" w:color="auto" w:fill="ECF7F1"/>
          </w:tcPr>
          <w:p w14:paraId="448CAD39"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1409" w:type="dxa"/>
            <w:tcBorders>
              <w:top w:val="single" w:sz="4" w:space="0" w:color="BCE4CF"/>
              <w:bottom w:val="single" w:sz="4" w:space="0" w:color="BCE4CF"/>
            </w:tcBorders>
            <w:shd w:val="clear" w:color="auto" w:fill="ECF7F1"/>
          </w:tcPr>
          <w:p w14:paraId="63DE3B26"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BCE4CF"/>
              <w:bottom w:val="single" w:sz="4" w:space="0" w:color="BCE4CF"/>
            </w:tcBorders>
            <w:shd w:val="clear" w:color="auto" w:fill="F5FBF8"/>
          </w:tcPr>
          <w:p w14:paraId="5F8FF9AB"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1312" w:type="dxa"/>
            <w:tcBorders>
              <w:top w:val="single" w:sz="4" w:space="0" w:color="BCE4CF"/>
              <w:bottom w:val="single" w:sz="4" w:space="0" w:color="BCE4CF"/>
            </w:tcBorders>
            <w:shd w:val="clear" w:color="auto" w:fill="F5FBF8"/>
            <w:tcMar>
              <w:right w:w="57" w:type="dxa"/>
            </w:tcMar>
          </w:tcPr>
          <w:p w14:paraId="3169FF4C" w14:textId="68E05598" w:rsidR="00761977" w:rsidRPr="0070088C" w:rsidRDefault="00761977" w:rsidP="00F60A71">
            <w:pPr>
              <w:pStyle w:val="TableTextLeft"/>
              <w:keepNext/>
              <w:cnfStyle w:val="000000000000" w:firstRow="0" w:lastRow="0" w:firstColumn="0" w:lastColumn="0" w:oddVBand="0" w:evenVBand="0" w:oddHBand="0" w:evenHBand="0" w:firstRowFirstColumn="0" w:firstRowLastColumn="0" w:lastRowFirstColumn="0" w:lastRowLastColumn="0"/>
              <w:rPr>
                <w:sz w:val="17"/>
                <w:szCs w:val="17"/>
              </w:rPr>
            </w:pPr>
            <w:r w:rsidRPr="0070088C">
              <w:rPr>
                <w:sz w:val="17"/>
                <w:szCs w:val="17"/>
              </w:rPr>
              <w:t>The Government has indicated its intent to conduct a non</w:t>
            </w:r>
            <w:r w:rsidR="00F60A71" w:rsidRPr="0070088C">
              <w:rPr>
                <w:sz w:val="17"/>
                <w:szCs w:val="17"/>
              </w:rPr>
              <w:noBreakHyphen/>
            </w:r>
            <w:r w:rsidRPr="0070088C">
              <w:rPr>
                <w:sz w:val="17"/>
                <w:szCs w:val="17"/>
              </w:rPr>
              <w:t>statutory review, two</w:t>
            </w:r>
            <w:r w:rsidR="0070088C">
              <w:rPr>
                <w:sz w:val="17"/>
                <w:szCs w:val="17"/>
              </w:rPr>
              <w:t> </w:t>
            </w:r>
            <w:r w:rsidRPr="0070088C">
              <w:rPr>
                <w:sz w:val="17"/>
                <w:szCs w:val="17"/>
              </w:rPr>
              <w:t>years after commencement</w:t>
            </w:r>
            <w:r w:rsidR="001E00D3">
              <w:rPr>
                <w:sz w:val="17"/>
                <w:szCs w:val="17"/>
              </w:rPr>
              <w:t>.</w:t>
            </w:r>
          </w:p>
        </w:tc>
        <w:tc>
          <w:tcPr>
            <w:tcW w:w="1097" w:type="dxa"/>
            <w:gridSpan w:val="2"/>
            <w:tcBorders>
              <w:top w:val="single" w:sz="4" w:space="0" w:color="BCE4CF"/>
              <w:bottom w:val="single" w:sz="4" w:space="0" w:color="BCE4CF"/>
            </w:tcBorders>
            <w:shd w:val="clear" w:color="auto" w:fill="F5FBF8"/>
          </w:tcPr>
          <w:p w14:paraId="4A73C8D8"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56ECF630"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27B0C7FB"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25ACC5FA" w14:textId="77777777" w:rsidR="00761977" w:rsidRPr="009E7CA0" w:rsidRDefault="00761977" w:rsidP="00DA0B22">
            <w:pPr>
              <w:pStyle w:val="TableLeadAgency"/>
              <w:rPr>
                <w:b/>
                <w:bCs/>
              </w:rPr>
            </w:pPr>
            <w:r w:rsidRPr="009E7CA0">
              <w:rPr>
                <w:b/>
                <w:bCs/>
              </w:rPr>
              <w:lastRenderedPageBreak/>
              <w:t>TSY</w:t>
            </w:r>
          </w:p>
          <w:p w14:paraId="7033D059" w14:textId="77777777" w:rsidR="00761977" w:rsidRPr="00CD1F4D" w:rsidRDefault="00761977" w:rsidP="00CD1F4D">
            <w:pPr>
              <w:pStyle w:val="TableSecondaryAgency"/>
              <w:rPr>
                <w:b w:val="0"/>
              </w:rPr>
            </w:pPr>
            <w:r w:rsidRPr="00CD1F4D">
              <w:rPr>
                <w:b w:val="0"/>
              </w:rPr>
              <w:t>ACCC</w:t>
            </w:r>
          </w:p>
        </w:tc>
        <w:tc>
          <w:tcPr>
            <w:tcW w:w="1405" w:type="dxa"/>
            <w:tcBorders>
              <w:top w:val="single" w:sz="4" w:space="0" w:color="BCE4CF"/>
              <w:bottom w:val="single" w:sz="4" w:space="0" w:color="BCE4CF"/>
            </w:tcBorders>
          </w:tcPr>
          <w:p w14:paraId="0ECCDFF2"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Banking, credit and lending</w:t>
            </w:r>
          </w:p>
        </w:tc>
        <w:tc>
          <w:tcPr>
            <w:tcW w:w="2775" w:type="dxa"/>
            <w:gridSpan w:val="2"/>
            <w:tcBorders>
              <w:top w:val="single" w:sz="4" w:space="0" w:color="BCE4CF"/>
              <w:bottom w:val="single" w:sz="4" w:space="0" w:color="BCE4CF"/>
            </w:tcBorders>
          </w:tcPr>
          <w:p w14:paraId="64B7F2E5" w14:textId="77777777" w:rsidR="00761977" w:rsidRPr="009E7CA0" w:rsidRDefault="00761977" w:rsidP="0005174A">
            <w:pPr>
              <w:pStyle w:val="TableLink"/>
              <w:cnfStyle w:val="000000000000" w:firstRow="0" w:lastRow="0" w:firstColumn="0" w:lastColumn="0" w:oddVBand="0" w:evenVBand="0" w:oddHBand="0" w:evenHBand="0" w:firstRowFirstColumn="0" w:firstRowLastColumn="0" w:lastRowFirstColumn="0" w:lastRowLastColumn="0"/>
            </w:pPr>
            <w:hyperlink r:id="rId64" w:history="1">
              <w:r w:rsidRPr="009E7CA0">
                <w:t>Cash acceptance mandate</w:t>
              </w:r>
            </w:hyperlink>
          </w:p>
          <w:p w14:paraId="7FEE2CEE" w14:textId="77777777" w:rsidR="00761977" w:rsidRPr="009E7CA0" w:rsidRDefault="00761977" w:rsidP="004907AE">
            <w:pPr>
              <w:pStyle w:val="TableTextLeft"/>
              <w:cnfStyle w:val="000000000000" w:firstRow="0" w:lastRow="0" w:firstColumn="0" w:lastColumn="0" w:oddVBand="0" w:evenVBand="0" w:oddHBand="0" w:evenHBand="0" w:firstRowFirstColumn="0" w:firstRowLastColumn="0" w:lastRowFirstColumn="0" w:lastRowLastColumn="0"/>
            </w:pPr>
            <w:r w:rsidRPr="009E7CA0">
              <w:t>On 1 January 2026, the cash acceptance mandate came into force. The mandate requires fuel and grocery retailers that meet certain criteria to accept cash payments for in-person transactions of $500 or less between 7am and 9pm, with exemptions for most small businesses.</w:t>
            </w:r>
          </w:p>
          <w:p w14:paraId="6F3E9C52" w14:textId="0E8275AC" w:rsidR="00761977" w:rsidRPr="009E7CA0" w:rsidRDefault="00761977" w:rsidP="00705362">
            <w:pPr>
              <w:pStyle w:val="TableTextLeft"/>
              <w:cnfStyle w:val="000000000000" w:firstRow="0" w:lastRow="0" w:firstColumn="0" w:lastColumn="0" w:oddVBand="0" w:evenVBand="0" w:oddHBand="0" w:evenHBand="0" w:firstRowFirstColumn="0" w:firstRowLastColumn="0" w:lastRowFirstColumn="0" w:lastRowLastColumn="0"/>
            </w:pPr>
            <w:r w:rsidRPr="009E7CA0">
              <w:t>The ACCC is responsible for enforcing the cash acceptance mandate and</w:t>
            </w:r>
            <w:r w:rsidR="00D91FFF">
              <w:t xml:space="preserve"> </w:t>
            </w:r>
            <w:r w:rsidR="00D01A2F">
              <w:t xml:space="preserve">published guidance </w:t>
            </w:r>
            <w:r w:rsidR="00041AC7">
              <w:t>for industry on 17 March 2026</w:t>
            </w:r>
            <w:r w:rsidRPr="009E7CA0">
              <w:t>. From</w:t>
            </w:r>
            <w:r w:rsidR="00705362" w:rsidRPr="009E7CA0">
              <w:t> </w:t>
            </w:r>
            <w:r w:rsidRPr="009E7CA0">
              <w:t>1</w:t>
            </w:r>
            <w:r w:rsidR="00705362" w:rsidRPr="009E7CA0">
              <w:t> </w:t>
            </w:r>
            <w:r w:rsidRPr="009E7CA0">
              <w:t>July</w:t>
            </w:r>
            <w:r w:rsidR="00705362" w:rsidRPr="009E7CA0">
              <w:t> </w:t>
            </w:r>
            <w:r w:rsidRPr="009E7CA0">
              <w:t>2026 penalties for non</w:t>
            </w:r>
            <w:r w:rsidR="00FF2DDE" w:rsidRPr="009E7CA0">
              <w:rPr>
                <w:vertAlign w:val="subscript"/>
              </w:rPr>
              <w:noBreakHyphen/>
            </w:r>
            <w:r w:rsidRPr="009E7CA0">
              <w:t>compliance with the mandate will</w:t>
            </w:r>
            <w:r w:rsidR="0095079E" w:rsidRPr="009E7CA0">
              <w:t> </w:t>
            </w:r>
            <w:r w:rsidRPr="009E7CA0">
              <w:t xml:space="preserve">apply. </w:t>
            </w:r>
          </w:p>
        </w:tc>
        <w:tc>
          <w:tcPr>
            <w:tcW w:w="1458" w:type="dxa"/>
            <w:gridSpan w:val="2"/>
            <w:tcBorders>
              <w:top w:val="single" w:sz="4" w:space="0" w:color="BCE4CF"/>
              <w:bottom w:val="single" w:sz="4" w:space="0" w:color="BCE4CF"/>
            </w:tcBorders>
            <w:shd w:val="clear" w:color="auto" w:fill="ECF7F1"/>
          </w:tcPr>
          <w:p w14:paraId="27F4B563" w14:textId="215C6F93"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Community awareness </w:t>
            </w:r>
            <w:r w:rsidR="00EC12C4" w:rsidRPr="009E7CA0">
              <w:t>campaign</w:t>
            </w:r>
            <w:r w:rsidR="00EC12C4">
              <w:t>.</w:t>
            </w:r>
            <w:r w:rsidR="00EC12C4" w:rsidRPr="009E7CA0">
              <w:t>*</w:t>
            </w:r>
          </w:p>
          <w:p w14:paraId="60776728" w14:textId="77777777" w:rsidR="00A2653E" w:rsidRPr="009E7CA0" w:rsidRDefault="00A2653E" w:rsidP="00217DC3">
            <w:pPr>
              <w:pStyle w:val="TableTextLeft"/>
              <w:cnfStyle w:val="000000000000" w:firstRow="0" w:lastRow="0" w:firstColumn="0" w:lastColumn="0" w:oddVBand="0" w:evenVBand="0" w:oddHBand="0" w:evenHBand="0" w:firstRowFirstColumn="0" w:firstRowLastColumn="0" w:lastRowFirstColumn="0" w:lastRowLastColumn="0"/>
            </w:pPr>
          </w:p>
          <w:p w14:paraId="20A766A9" w14:textId="77777777" w:rsidR="00761977" w:rsidRPr="009E7CA0" w:rsidRDefault="00761977" w:rsidP="005F2392">
            <w:pPr>
              <w:pStyle w:val="TableTextLeft"/>
              <w:cnfStyle w:val="000000000000" w:firstRow="0" w:lastRow="0" w:firstColumn="0" w:lastColumn="0" w:oddVBand="0" w:evenVBand="0" w:oddHBand="0" w:evenHBand="0" w:firstRowFirstColumn="0" w:firstRowLastColumn="0" w:lastRowFirstColumn="0" w:lastRowLastColumn="0"/>
              <w:rPr>
                <w:rFonts w:eastAsia="Calibri Light" w:cs="Calibri Light"/>
                <w:szCs w:val="22"/>
              </w:rPr>
            </w:pPr>
          </w:p>
        </w:tc>
        <w:tc>
          <w:tcPr>
            <w:tcW w:w="1446" w:type="dxa"/>
            <w:gridSpan w:val="2"/>
            <w:tcBorders>
              <w:top w:val="single" w:sz="4" w:space="0" w:color="BCE4CF"/>
              <w:bottom w:val="single" w:sz="4" w:space="0" w:color="BCE4CF"/>
            </w:tcBorders>
            <w:shd w:val="clear" w:color="auto" w:fill="ECF7F1"/>
          </w:tcPr>
          <w:p w14:paraId="511A2EF2" w14:textId="27CA634E"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rPr>
                <w:rFonts w:eastAsia="Calibri Light" w:cs="Calibri Light"/>
                <w:color w:val="000000" w:themeColor="text1"/>
                <w:szCs w:val="16"/>
              </w:rPr>
            </w:pPr>
            <w:r w:rsidRPr="009E7CA0">
              <w:rPr>
                <w:rFonts w:eastAsia="Calibri Light" w:cs="Calibri Light"/>
                <w:color w:val="000000" w:themeColor="text1"/>
                <w:szCs w:val="16"/>
              </w:rPr>
              <w:t xml:space="preserve">Penalties </w:t>
            </w:r>
            <w:r w:rsidR="00EC12C4" w:rsidRPr="009E7CA0">
              <w:rPr>
                <w:rFonts w:eastAsia="Calibri Light" w:cs="Calibri Light"/>
                <w:color w:val="000000" w:themeColor="text1"/>
                <w:szCs w:val="16"/>
              </w:rPr>
              <w:t>commence</w:t>
            </w:r>
            <w:r w:rsidR="00EC12C4">
              <w:rPr>
                <w:rFonts w:eastAsia="Calibri Light" w:cs="Calibri Light"/>
                <w:color w:val="000000" w:themeColor="text1"/>
                <w:szCs w:val="16"/>
              </w:rPr>
              <w:t>.</w:t>
            </w:r>
            <w:r w:rsidR="00EC12C4" w:rsidRPr="009E7CA0">
              <w:rPr>
                <w:rFonts w:eastAsia="Calibri Light" w:cs="Calibri Light"/>
                <w:color w:val="000000" w:themeColor="text1"/>
                <w:szCs w:val="16"/>
              </w:rPr>
              <w:t>*</w:t>
            </w:r>
          </w:p>
        </w:tc>
        <w:tc>
          <w:tcPr>
            <w:tcW w:w="1409" w:type="dxa"/>
            <w:tcBorders>
              <w:top w:val="single" w:sz="4" w:space="0" w:color="BCE4CF"/>
              <w:bottom w:val="single" w:sz="4" w:space="0" w:color="BCE4CF"/>
            </w:tcBorders>
            <w:shd w:val="clear" w:color="auto" w:fill="ECF7F1"/>
          </w:tcPr>
          <w:p w14:paraId="7487D3AD"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BCE4CF"/>
              <w:bottom w:val="single" w:sz="4" w:space="0" w:color="BCE4CF"/>
            </w:tcBorders>
            <w:shd w:val="clear" w:color="auto" w:fill="F5FBF8"/>
          </w:tcPr>
          <w:p w14:paraId="19D084EB"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1312" w:type="dxa"/>
            <w:tcBorders>
              <w:top w:val="single" w:sz="4" w:space="0" w:color="BCE4CF"/>
              <w:bottom w:val="single" w:sz="4" w:space="0" w:color="BCE4CF"/>
            </w:tcBorders>
            <w:shd w:val="clear" w:color="auto" w:fill="F5FBF8"/>
          </w:tcPr>
          <w:p w14:paraId="6F87E297" w14:textId="77777777" w:rsidR="00761977" w:rsidRPr="009E7CA0" w:rsidRDefault="00761977" w:rsidP="00217DC3">
            <w:pPr>
              <w:pStyle w:val="TableTextLeft"/>
              <w:cnfStyle w:val="000000000000" w:firstRow="0" w:lastRow="0" w:firstColumn="0" w:lastColumn="0" w:oddVBand="0" w:evenVBand="0" w:oddHBand="0" w:evenHBand="0" w:firstRowFirstColumn="0" w:firstRowLastColumn="0" w:lastRowFirstColumn="0" w:lastRowLastColumn="0"/>
            </w:pPr>
          </w:p>
        </w:tc>
        <w:tc>
          <w:tcPr>
            <w:tcW w:w="1097" w:type="dxa"/>
            <w:gridSpan w:val="2"/>
            <w:tcBorders>
              <w:top w:val="single" w:sz="4" w:space="0" w:color="BCE4CF"/>
              <w:bottom w:val="single" w:sz="4" w:space="0" w:color="BCE4CF"/>
            </w:tcBorders>
            <w:shd w:val="clear" w:color="auto" w:fill="F5FBF8"/>
          </w:tcPr>
          <w:p w14:paraId="4B0CB60A"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41B068C9"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50534014"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43F49D4F" w14:textId="77777777" w:rsidR="00761977" w:rsidRPr="009E7CA0" w:rsidRDefault="00761977" w:rsidP="00DA0B22">
            <w:pPr>
              <w:pStyle w:val="TableLeadAgency"/>
              <w:rPr>
                <w:b/>
                <w:bCs/>
              </w:rPr>
            </w:pPr>
            <w:r w:rsidRPr="009E7CA0">
              <w:rPr>
                <w:b/>
                <w:bCs/>
              </w:rPr>
              <w:t>TSY</w:t>
            </w:r>
          </w:p>
          <w:p w14:paraId="1A43B139" w14:textId="77777777" w:rsidR="00761977" w:rsidRPr="00CD1F4D" w:rsidRDefault="00761977" w:rsidP="00CD1F4D">
            <w:pPr>
              <w:pStyle w:val="TableSecondaryAgency"/>
              <w:rPr>
                <w:b w:val="0"/>
                <w:bCs/>
              </w:rPr>
            </w:pPr>
            <w:r w:rsidRPr="00CD1F4D" w:rsidDel="000D593D">
              <w:rPr>
                <w:b w:val="0"/>
                <w:bCs/>
              </w:rPr>
              <w:t>ACCC</w:t>
            </w:r>
          </w:p>
        </w:tc>
        <w:tc>
          <w:tcPr>
            <w:tcW w:w="1405" w:type="dxa"/>
            <w:tcBorders>
              <w:top w:val="single" w:sz="4" w:space="0" w:color="BCE4CF"/>
              <w:bottom w:val="single" w:sz="4" w:space="0" w:color="BCE4CF"/>
            </w:tcBorders>
          </w:tcPr>
          <w:p w14:paraId="31F2A329"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Banking, credit and lending</w:t>
            </w:r>
          </w:p>
        </w:tc>
        <w:tc>
          <w:tcPr>
            <w:tcW w:w="2775" w:type="dxa"/>
            <w:gridSpan w:val="2"/>
            <w:tcBorders>
              <w:top w:val="single" w:sz="4" w:space="0" w:color="BCE4CF"/>
              <w:bottom w:val="single" w:sz="4" w:space="0" w:color="BCE4CF"/>
            </w:tcBorders>
          </w:tcPr>
          <w:p w14:paraId="446A325D" w14:textId="77777777" w:rsidR="00761977" w:rsidRPr="009E7CA0" w:rsidRDefault="00761977" w:rsidP="00FF2DDE">
            <w:pPr>
              <w:pStyle w:val="TableLink"/>
              <w:cnfStyle w:val="000000000000" w:firstRow="0" w:lastRow="0" w:firstColumn="0" w:lastColumn="0" w:oddVBand="0" w:evenVBand="0" w:oddHBand="0" w:evenHBand="0" w:firstRowFirstColumn="0" w:firstRowLastColumn="0" w:lastRowFirstColumn="0" w:lastRowLastColumn="0"/>
            </w:pPr>
            <w:hyperlink r:id="rId65">
              <w:r w:rsidRPr="009E7CA0">
                <w:t>Consumer Data Right (CDR) redirect to app Data Standards</w:t>
              </w:r>
            </w:hyperlink>
            <w:r w:rsidRPr="009E7CA0">
              <w:t xml:space="preserve"> </w:t>
            </w:r>
          </w:p>
          <w:p w14:paraId="391AE4CA" w14:textId="6D6560B3" w:rsidR="00761977" w:rsidRPr="009E7CA0" w:rsidRDefault="00761977" w:rsidP="004907AE">
            <w:pPr>
              <w:pStyle w:val="TableTextLeft"/>
              <w:cnfStyle w:val="000000000000" w:firstRow="0" w:lastRow="0" w:firstColumn="0" w:lastColumn="0" w:oddVBand="0" w:evenVBand="0" w:oddHBand="0" w:evenHBand="0" w:firstRowFirstColumn="0" w:firstRowLastColumn="0" w:lastRowFirstColumn="0" w:lastRowLastColumn="0"/>
            </w:pPr>
            <w:r w:rsidRPr="009E7CA0">
              <w:t>In June 2025, the Data Standards Chair amended the authentication standards to meet best practice security requirements, align to international security standards, and address identified security and consumer experience concerns raised due to the current use of one</w:t>
            </w:r>
            <w:r w:rsidRPr="009E7CA0">
              <w:noBreakHyphen/>
              <w:t>time passwords. This change will enable an alternative authentication flow so that data holders can authenticate customers using their consumer</w:t>
            </w:r>
            <w:r w:rsidRPr="009E7CA0">
              <w:noBreakHyphen/>
              <w:t xml:space="preserve">facing apps. From 10 May 2027, data holders and data recipients are required to implement the new standards. </w:t>
            </w:r>
          </w:p>
        </w:tc>
        <w:tc>
          <w:tcPr>
            <w:tcW w:w="1458" w:type="dxa"/>
            <w:gridSpan w:val="2"/>
            <w:tcBorders>
              <w:top w:val="single" w:sz="4" w:space="0" w:color="BCE4CF"/>
              <w:bottom w:val="single" w:sz="4" w:space="0" w:color="BCE4CF"/>
            </w:tcBorders>
            <w:shd w:val="clear" w:color="auto" w:fill="ECF7F1"/>
          </w:tcPr>
          <w:p w14:paraId="57C7EC67"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46" w:type="dxa"/>
            <w:gridSpan w:val="2"/>
            <w:tcBorders>
              <w:top w:val="single" w:sz="4" w:space="0" w:color="BCE4CF"/>
              <w:bottom w:val="single" w:sz="4" w:space="0" w:color="BCE4CF"/>
            </w:tcBorders>
            <w:shd w:val="clear" w:color="auto" w:fill="ECF7F1"/>
          </w:tcPr>
          <w:p w14:paraId="2BC50F26"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09" w:type="dxa"/>
            <w:tcBorders>
              <w:top w:val="single" w:sz="4" w:space="0" w:color="BCE4CF"/>
              <w:bottom w:val="single" w:sz="4" w:space="0" w:color="BCE4CF"/>
            </w:tcBorders>
            <w:shd w:val="clear" w:color="auto" w:fill="ECF7F1"/>
          </w:tcPr>
          <w:p w14:paraId="41E2F594"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276" w:type="dxa"/>
            <w:tcBorders>
              <w:top w:val="single" w:sz="4" w:space="0" w:color="BCE4CF"/>
              <w:bottom w:val="single" w:sz="4" w:space="0" w:color="BCE4CF"/>
            </w:tcBorders>
            <w:shd w:val="clear" w:color="auto" w:fill="F5FBF8"/>
          </w:tcPr>
          <w:p w14:paraId="3AF40143"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312" w:type="dxa"/>
            <w:tcBorders>
              <w:top w:val="single" w:sz="4" w:space="0" w:color="BCE4CF"/>
              <w:bottom w:val="single" w:sz="4" w:space="0" w:color="BCE4CF"/>
            </w:tcBorders>
            <w:shd w:val="clear" w:color="auto" w:fill="F5FBF8"/>
          </w:tcPr>
          <w:p w14:paraId="3DE140A8" w14:textId="512FE0E6" w:rsidR="00761977" w:rsidRPr="009E7CA0" w:rsidRDefault="00761977" w:rsidP="008262B6">
            <w:pPr>
              <w:pStyle w:val="TableTextLeft"/>
              <w:cnfStyle w:val="000000000000" w:firstRow="0" w:lastRow="0" w:firstColumn="0" w:lastColumn="0" w:oddVBand="0" w:evenVBand="0" w:oddHBand="0" w:evenHBand="0" w:firstRowFirstColumn="0" w:firstRowLastColumn="0" w:lastRowFirstColumn="0" w:lastRowLastColumn="0"/>
            </w:pPr>
            <w:r w:rsidRPr="009E7CA0">
              <w:t>New obligations begin to apply to data holders and data recipients</w:t>
            </w:r>
            <w:r w:rsidR="001E00D3">
              <w:t>.</w:t>
            </w:r>
          </w:p>
        </w:tc>
        <w:tc>
          <w:tcPr>
            <w:tcW w:w="1097" w:type="dxa"/>
            <w:gridSpan w:val="2"/>
            <w:tcBorders>
              <w:top w:val="single" w:sz="4" w:space="0" w:color="BCE4CF"/>
              <w:bottom w:val="single" w:sz="4" w:space="0" w:color="BCE4CF"/>
            </w:tcBorders>
            <w:shd w:val="clear" w:color="auto" w:fill="F5FBF8"/>
          </w:tcPr>
          <w:p w14:paraId="057A344B"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3C34CAC2"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60C511E5"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24CE23AC" w14:textId="77777777" w:rsidR="00761977" w:rsidRPr="009E7CA0" w:rsidRDefault="00761977" w:rsidP="00DA0B22">
            <w:pPr>
              <w:pStyle w:val="TableLeadAgency"/>
              <w:rPr>
                <w:rFonts w:cs="Calibri Light"/>
                <w:b/>
                <w:bCs/>
                <w:szCs w:val="16"/>
              </w:rPr>
            </w:pPr>
            <w:r w:rsidRPr="009E7CA0">
              <w:rPr>
                <w:rFonts w:cs="Calibri Light"/>
                <w:b/>
                <w:bCs/>
                <w:szCs w:val="16"/>
              </w:rPr>
              <w:lastRenderedPageBreak/>
              <w:t>TSY</w:t>
            </w:r>
          </w:p>
        </w:tc>
        <w:tc>
          <w:tcPr>
            <w:tcW w:w="1405" w:type="dxa"/>
            <w:tcBorders>
              <w:top w:val="single" w:sz="4" w:space="0" w:color="BCE4CF"/>
              <w:bottom w:val="single" w:sz="4" w:space="0" w:color="BCE4CF"/>
            </w:tcBorders>
          </w:tcPr>
          <w:p w14:paraId="133B4040"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Insurance and reinsurance</w:t>
            </w:r>
          </w:p>
        </w:tc>
        <w:tc>
          <w:tcPr>
            <w:tcW w:w="2775" w:type="dxa"/>
            <w:gridSpan w:val="2"/>
            <w:tcBorders>
              <w:top w:val="single" w:sz="4" w:space="0" w:color="BCE4CF"/>
              <w:bottom w:val="single" w:sz="4" w:space="0" w:color="BCE4CF"/>
            </w:tcBorders>
          </w:tcPr>
          <w:p w14:paraId="631C84A8" w14:textId="77777777" w:rsidR="00761977" w:rsidRPr="0015307D" w:rsidRDefault="00761977" w:rsidP="00FF2DDE">
            <w:pPr>
              <w:pStyle w:val="TableLink"/>
              <w:cnfStyle w:val="000000000000" w:firstRow="0" w:lastRow="0" w:firstColumn="0" w:lastColumn="0" w:oddVBand="0" w:evenVBand="0" w:oddHBand="0" w:evenHBand="0" w:firstRowFirstColumn="0" w:firstRowLastColumn="0" w:lastRowFirstColumn="0" w:lastRowLastColumn="0"/>
              <w:rPr>
                <w:color w:val="4D7861" w:themeColor="accent2"/>
                <w:sz w:val="16"/>
              </w:rPr>
            </w:pPr>
            <w:hyperlink r:id="rId66" w:history="1">
              <w:r w:rsidRPr="009E7CA0">
                <w:t>Deferred sales model - class exemptions</w:t>
              </w:r>
            </w:hyperlink>
            <w:r w:rsidRPr="009E7CA0">
              <w:rPr>
                <w:sz w:val="16"/>
              </w:rPr>
              <w:t xml:space="preserve"> </w:t>
            </w:r>
            <w:r w:rsidRPr="0015307D">
              <w:rPr>
                <w:color w:val="4D7861" w:themeColor="accent2"/>
                <w:szCs w:val="18"/>
                <w:u w:val="none"/>
              </w:rPr>
              <w:t>(new)</w:t>
            </w:r>
          </w:p>
          <w:p w14:paraId="5819FDB7" w14:textId="4C3C28F7" w:rsidR="00761977" w:rsidRPr="009E7CA0" w:rsidRDefault="00761977" w:rsidP="00EA52E9">
            <w:pPr>
              <w:pStyle w:val="TableTextLeft"/>
              <w:cnfStyle w:val="000000000000" w:firstRow="0" w:lastRow="0" w:firstColumn="0" w:lastColumn="0" w:oddVBand="0" w:evenVBand="0" w:oddHBand="0" w:evenHBand="0" w:firstRowFirstColumn="0" w:firstRowLastColumn="0" w:lastRowFirstColumn="0" w:lastRowLastColumn="0"/>
              <w:rPr>
                <w:color w:val="5D779D" w:themeColor="accent3"/>
              </w:rPr>
            </w:pPr>
            <w:r w:rsidRPr="009E7CA0">
              <w:t>Treasury consulted on the deferred sales model regime for add-on insurance class exemptions in December 2025</w:t>
            </w:r>
            <w:r w:rsidR="00EA52E9" w:rsidRPr="009E7CA0">
              <w:t xml:space="preserve"> – </w:t>
            </w:r>
            <w:r w:rsidRPr="009E7CA0">
              <w:t>January 2026. The Government will consider whether the current exemptions should be continued and whether new classes should be exempted ahead of the legislated expiry of the</w:t>
            </w:r>
            <w:r w:rsidR="0070088C">
              <w:t> </w:t>
            </w:r>
            <w:r w:rsidRPr="009E7CA0">
              <w:t>current exemptions in October</w:t>
            </w:r>
            <w:r w:rsidR="0070088C">
              <w:t> </w:t>
            </w:r>
            <w:r w:rsidRPr="009E7CA0">
              <w:t xml:space="preserve">2026. </w:t>
            </w:r>
          </w:p>
        </w:tc>
        <w:tc>
          <w:tcPr>
            <w:tcW w:w="1458" w:type="dxa"/>
            <w:gridSpan w:val="2"/>
            <w:tcBorders>
              <w:top w:val="single" w:sz="4" w:space="0" w:color="BCE4CF"/>
              <w:bottom w:val="single" w:sz="4" w:space="0" w:color="BCE4CF"/>
            </w:tcBorders>
            <w:shd w:val="clear" w:color="auto" w:fill="ECF7F1"/>
          </w:tcPr>
          <w:p w14:paraId="782749C4"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46" w:type="dxa"/>
            <w:gridSpan w:val="2"/>
            <w:tcBorders>
              <w:top w:val="single" w:sz="4" w:space="0" w:color="BCE4CF"/>
              <w:bottom w:val="single" w:sz="4" w:space="0" w:color="BCE4CF"/>
            </w:tcBorders>
            <w:shd w:val="clear" w:color="auto" w:fill="ECF7F1"/>
          </w:tcPr>
          <w:p w14:paraId="1645E0D0"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09" w:type="dxa"/>
            <w:tcBorders>
              <w:top w:val="single" w:sz="4" w:space="0" w:color="BCE4CF"/>
              <w:bottom w:val="single" w:sz="4" w:space="0" w:color="BCE4CF"/>
            </w:tcBorders>
            <w:shd w:val="clear" w:color="auto" w:fill="ECF7F1"/>
          </w:tcPr>
          <w:p w14:paraId="11CE41BD"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276" w:type="dxa"/>
            <w:tcBorders>
              <w:top w:val="single" w:sz="4" w:space="0" w:color="BCE4CF"/>
              <w:bottom w:val="single" w:sz="4" w:space="0" w:color="BCE4CF"/>
            </w:tcBorders>
            <w:shd w:val="clear" w:color="auto" w:fill="F5FBF8"/>
          </w:tcPr>
          <w:p w14:paraId="30BCAFA6"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312" w:type="dxa"/>
            <w:tcBorders>
              <w:top w:val="single" w:sz="4" w:space="0" w:color="BCE4CF"/>
              <w:bottom w:val="single" w:sz="4" w:space="0" w:color="BCE4CF"/>
            </w:tcBorders>
            <w:shd w:val="clear" w:color="auto" w:fill="F5FBF8"/>
          </w:tcPr>
          <w:p w14:paraId="51AB51CA"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097" w:type="dxa"/>
            <w:gridSpan w:val="2"/>
            <w:tcBorders>
              <w:top w:val="single" w:sz="4" w:space="0" w:color="BCE4CF"/>
              <w:bottom w:val="single" w:sz="4" w:space="0" w:color="BCE4CF"/>
            </w:tcBorders>
            <w:shd w:val="clear" w:color="auto" w:fill="F5FBF8"/>
          </w:tcPr>
          <w:p w14:paraId="346D8E19"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69F11525"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730A6374"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034C55C9" w14:textId="77777777" w:rsidR="00761977" w:rsidRPr="009E7CA0" w:rsidRDefault="00761977" w:rsidP="00DA0B22">
            <w:pPr>
              <w:pStyle w:val="TableLeadAgency"/>
              <w:rPr>
                <w:rFonts w:cs="Calibri Light"/>
                <w:b/>
                <w:bCs/>
                <w:szCs w:val="16"/>
              </w:rPr>
            </w:pPr>
            <w:r w:rsidRPr="009E7CA0">
              <w:rPr>
                <w:rFonts w:cs="Calibri Light"/>
                <w:b/>
                <w:bCs/>
                <w:szCs w:val="16"/>
              </w:rPr>
              <w:t xml:space="preserve">TSY </w:t>
            </w:r>
          </w:p>
          <w:p w14:paraId="2283C076" w14:textId="77777777" w:rsidR="00761977" w:rsidRPr="003F208E" w:rsidRDefault="00761977" w:rsidP="003F208E">
            <w:pPr>
              <w:pStyle w:val="TableSecondaryAgency"/>
              <w:rPr>
                <w:b w:val="0"/>
              </w:rPr>
            </w:pPr>
            <w:r w:rsidRPr="003F208E">
              <w:rPr>
                <w:b w:val="0"/>
              </w:rPr>
              <w:t xml:space="preserve">ASIC </w:t>
            </w:r>
          </w:p>
          <w:p w14:paraId="337B2A70" w14:textId="77777777" w:rsidR="00761977" w:rsidRPr="009E7CA0" w:rsidRDefault="00761977" w:rsidP="003F208E">
            <w:pPr>
              <w:pStyle w:val="TableSecondaryAgency"/>
              <w:rPr>
                <w:b w:val="0"/>
                <w:bCs/>
              </w:rPr>
            </w:pPr>
            <w:r w:rsidRPr="003F208E">
              <w:rPr>
                <w:b w:val="0"/>
              </w:rPr>
              <w:t>APRA</w:t>
            </w:r>
          </w:p>
        </w:tc>
        <w:tc>
          <w:tcPr>
            <w:tcW w:w="1405" w:type="dxa"/>
            <w:tcBorders>
              <w:top w:val="single" w:sz="4" w:space="0" w:color="BCE4CF"/>
              <w:bottom w:val="single" w:sz="4" w:space="0" w:color="BCE4CF"/>
            </w:tcBorders>
          </w:tcPr>
          <w:p w14:paraId="1717E4AE"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Financial advice</w:t>
            </w:r>
          </w:p>
          <w:p w14:paraId="0AACA076"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Insurance and reinsurance</w:t>
            </w:r>
          </w:p>
          <w:p w14:paraId="1B9479A7"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Superannuation and retirement income</w:t>
            </w:r>
          </w:p>
          <w:p w14:paraId="2A0BCAA5"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p>
        </w:tc>
        <w:tc>
          <w:tcPr>
            <w:tcW w:w="2775" w:type="dxa"/>
            <w:gridSpan w:val="2"/>
            <w:tcBorders>
              <w:top w:val="single" w:sz="4" w:space="0" w:color="BCE4CF"/>
              <w:bottom w:val="single" w:sz="4" w:space="0" w:color="BCE4CF"/>
            </w:tcBorders>
          </w:tcPr>
          <w:p w14:paraId="2169E0A7" w14:textId="77777777" w:rsidR="00761977" w:rsidRPr="009E7CA0" w:rsidRDefault="00761977" w:rsidP="00130DD5">
            <w:pPr>
              <w:pStyle w:val="TableLink"/>
              <w:cnfStyle w:val="000000000000" w:firstRow="0" w:lastRow="0" w:firstColumn="0" w:lastColumn="0" w:oddVBand="0" w:evenVBand="0" w:oddHBand="0" w:evenHBand="0" w:firstRowFirstColumn="0" w:firstRowLastColumn="0" w:lastRowFirstColumn="0" w:lastRowLastColumn="0"/>
            </w:pPr>
            <w:hyperlink r:id="rId67" w:history="1">
              <w:r w:rsidRPr="009E7CA0">
                <w:t>Delivering Better Financial Outcomes</w:t>
              </w:r>
            </w:hyperlink>
            <w:r w:rsidRPr="009E7CA0">
              <w:t xml:space="preserve"> – tranche two</w:t>
            </w:r>
          </w:p>
          <w:p w14:paraId="75DC2FCC" w14:textId="77777777" w:rsidR="00761977" w:rsidRPr="009E7CA0" w:rsidRDefault="00761977" w:rsidP="00130DD5">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In December 2023, government announced reforms to enhance the affordability and accessibility of financial advice in response to the Quality of Advice review. </w:t>
            </w:r>
          </w:p>
          <w:p w14:paraId="1B2289BE" w14:textId="77777777" w:rsidR="00761977" w:rsidRPr="009E7CA0" w:rsidRDefault="00761977" w:rsidP="00130DD5">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The government has concluded public consultation on exposure draft legislation for three of the five measures in tranche two, with further consultation on remaining measures to be undertaken in due course. </w:t>
            </w:r>
          </w:p>
          <w:p w14:paraId="170AEF67" w14:textId="77777777" w:rsidR="00761977" w:rsidRPr="009E7CA0" w:rsidRDefault="00761977" w:rsidP="00130DD5">
            <w:pPr>
              <w:pStyle w:val="TableTextLeft"/>
              <w:cnfStyle w:val="000000000000" w:firstRow="0" w:lastRow="0" w:firstColumn="0" w:lastColumn="0" w:oddVBand="0" w:evenVBand="0" w:oddHBand="0" w:evenHBand="0" w:firstRowFirstColumn="0" w:firstRowLastColumn="0" w:lastRowFirstColumn="0" w:lastRowLastColumn="0"/>
            </w:pPr>
            <w:r w:rsidRPr="009E7CA0">
              <w:t>ASIC intends to issue regulatory guidance to assist implementation of the legislation.</w:t>
            </w:r>
            <w:r w:rsidRPr="009E7CA0">
              <w:rPr>
                <w:rFonts w:cs="Calibri Light"/>
                <w:color w:val="00B050"/>
              </w:rPr>
              <w:t xml:space="preserve"> </w:t>
            </w:r>
          </w:p>
        </w:tc>
        <w:tc>
          <w:tcPr>
            <w:tcW w:w="1458" w:type="dxa"/>
            <w:gridSpan w:val="2"/>
            <w:tcBorders>
              <w:top w:val="single" w:sz="4" w:space="0" w:color="BCE4CF"/>
              <w:bottom w:val="single" w:sz="4" w:space="0" w:color="BCE4CF"/>
            </w:tcBorders>
            <w:shd w:val="clear" w:color="auto" w:fill="ECF7F1"/>
          </w:tcPr>
          <w:p w14:paraId="198F10CC"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46" w:type="dxa"/>
            <w:gridSpan w:val="2"/>
            <w:tcBorders>
              <w:top w:val="single" w:sz="4" w:space="0" w:color="BCE4CF"/>
              <w:bottom w:val="single" w:sz="4" w:space="0" w:color="BCE4CF"/>
            </w:tcBorders>
            <w:shd w:val="clear" w:color="auto" w:fill="ECF7F1"/>
          </w:tcPr>
          <w:p w14:paraId="20841570"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09" w:type="dxa"/>
            <w:tcBorders>
              <w:top w:val="single" w:sz="4" w:space="0" w:color="BCE4CF"/>
              <w:bottom w:val="single" w:sz="4" w:space="0" w:color="BCE4CF"/>
            </w:tcBorders>
            <w:shd w:val="clear" w:color="auto" w:fill="ECF7F1"/>
          </w:tcPr>
          <w:p w14:paraId="06372D6D"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276" w:type="dxa"/>
            <w:tcBorders>
              <w:top w:val="single" w:sz="4" w:space="0" w:color="BCE4CF"/>
              <w:bottom w:val="single" w:sz="4" w:space="0" w:color="BCE4CF"/>
            </w:tcBorders>
            <w:shd w:val="clear" w:color="auto" w:fill="F5FBF8"/>
          </w:tcPr>
          <w:p w14:paraId="0DD669DF"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312" w:type="dxa"/>
            <w:tcBorders>
              <w:top w:val="single" w:sz="4" w:space="0" w:color="BCE4CF"/>
              <w:bottom w:val="single" w:sz="4" w:space="0" w:color="BCE4CF"/>
            </w:tcBorders>
            <w:shd w:val="clear" w:color="auto" w:fill="F5FBF8"/>
          </w:tcPr>
          <w:p w14:paraId="75A8371F"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097" w:type="dxa"/>
            <w:gridSpan w:val="2"/>
            <w:tcBorders>
              <w:top w:val="single" w:sz="4" w:space="0" w:color="BCE4CF"/>
              <w:bottom w:val="single" w:sz="4" w:space="0" w:color="BCE4CF"/>
            </w:tcBorders>
            <w:shd w:val="clear" w:color="auto" w:fill="F5FBF8"/>
          </w:tcPr>
          <w:p w14:paraId="5157996C"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28A59323"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9E7CA0" w:rsidRPr="009E7CA0" w14:paraId="79E84976"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70964CC1" w14:textId="77777777" w:rsidR="00761977" w:rsidRPr="009E7CA0" w:rsidRDefault="00761977" w:rsidP="00DA0B22">
            <w:pPr>
              <w:pStyle w:val="TableLeadAgency"/>
              <w:rPr>
                <w:b/>
                <w:bCs/>
              </w:rPr>
            </w:pPr>
            <w:r w:rsidRPr="009E7CA0">
              <w:rPr>
                <w:b/>
                <w:bCs/>
              </w:rPr>
              <w:lastRenderedPageBreak/>
              <w:t xml:space="preserve">TSY </w:t>
            </w:r>
          </w:p>
          <w:p w14:paraId="510B6C71" w14:textId="77777777" w:rsidR="00761977" w:rsidRPr="00076BC8" w:rsidRDefault="00761977" w:rsidP="00076BC8">
            <w:pPr>
              <w:pStyle w:val="TableSecondaryAgency"/>
              <w:rPr>
                <w:b w:val="0"/>
              </w:rPr>
            </w:pPr>
            <w:r w:rsidRPr="00076BC8">
              <w:rPr>
                <w:b w:val="0"/>
              </w:rPr>
              <w:t>ASIC</w:t>
            </w:r>
          </w:p>
        </w:tc>
        <w:tc>
          <w:tcPr>
            <w:tcW w:w="1405" w:type="dxa"/>
            <w:tcBorders>
              <w:top w:val="single" w:sz="4" w:space="0" w:color="BCE4CF"/>
              <w:bottom w:val="single" w:sz="4" w:space="0" w:color="BCE4CF"/>
            </w:tcBorders>
          </w:tcPr>
          <w:p w14:paraId="3E4C0D48"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Payment services and digital assets</w:t>
            </w:r>
          </w:p>
        </w:tc>
        <w:tc>
          <w:tcPr>
            <w:tcW w:w="2775" w:type="dxa"/>
            <w:gridSpan w:val="2"/>
            <w:tcBorders>
              <w:top w:val="single" w:sz="4" w:space="0" w:color="BCE4CF"/>
              <w:bottom w:val="single" w:sz="4" w:space="0" w:color="BCE4CF"/>
            </w:tcBorders>
          </w:tcPr>
          <w:p w14:paraId="06A66205" w14:textId="77777777" w:rsidR="00761977" w:rsidRPr="009E7CA0" w:rsidRDefault="00761977" w:rsidP="00130DD5">
            <w:pPr>
              <w:pStyle w:val="TableLink"/>
              <w:cnfStyle w:val="000000000000" w:firstRow="0" w:lastRow="0" w:firstColumn="0" w:lastColumn="0" w:oddVBand="0" w:evenVBand="0" w:oddHBand="0" w:evenHBand="0" w:firstRowFirstColumn="0" w:firstRowLastColumn="0" w:lastRowFirstColumn="0" w:lastRowLastColumn="0"/>
            </w:pPr>
            <w:hyperlink r:id="rId68">
              <w:r w:rsidRPr="009E7CA0">
                <w:t>Digital Asset Framework (DAF) reforms</w:t>
              </w:r>
            </w:hyperlink>
          </w:p>
          <w:p w14:paraId="380B0BA5" w14:textId="77777777" w:rsidR="00761977" w:rsidRPr="009E7CA0" w:rsidRDefault="00761977" w:rsidP="00130DD5">
            <w:pPr>
              <w:pStyle w:val="TableTextLeft"/>
              <w:cnfStyle w:val="000000000000" w:firstRow="0" w:lastRow="0" w:firstColumn="0" w:lastColumn="0" w:oddVBand="0" w:evenVBand="0" w:oddHBand="0" w:evenHBand="0" w:firstRowFirstColumn="0" w:firstRowLastColumn="0" w:lastRowFirstColumn="0" w:lastRowLastColumn="0"/>
            </w:pPr>
            <w:r w:rsidRPr="009E7CA0">
              <w:t>On 1 April 2026 the Corporations Amendment (Digital Assets Framework) Act 2026 passed parliament. The reforms introduce a framework for regulating digital asset platforms to mitigate key risks for consumers so the sector can safely and securely innovate and grow.</w:t>
            </w:r>
          </w:p>
          <w:p w14:paraId="1ACA8AC4" w14:textId="77777777" w:rsidR="00761977" w:rsidRPr="009E7CA0" w:rsidRDefault="00761977" w:rsidP="00130DD5">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The framework will apply to entities that present similar risks to those operating in the traditional financial system. </w:t>
            </w:r>
          </w:p>
          <w:p w14:paraId="673A422A" w14:textId="77777777" w:rsidR="00761977" w:rsidRPr="009E7CA0" w:rsidRDefault="00761977" w:rsidP="00130DD5">
            <w:pPr>
              <w:pStyle w:val="TableTextLeft"/>
              <w:cnfStyle w:val="000000000000" w:firstRow="0" w:lastRow="0" w:firstColumn="0" w:lastColumn="0" w:oddVBand="0" w:evenVBand="0" w:oddHBand="0" w:evenHBand="0" w:firstRowFirstColumn="0" w:firstRowLastColumn="0" w:lastRowFirstColumn="0" w:lastRowLastColumn="0"/>
            </w:pPr>
            <w:r w:rsidRPr="009E7CA0">
              <w:t>Following making of regulations, ASIC intends to make standards and issue regulatory guidance to assist implementation.</w:t>
            </w:r>
          </w:p>
        </w:tc>
        <w:tc>
          <w:tcPr>
            <w:tcW w:w="1458" w:type="dxa"/>
            <w:gridSpan w:val="2"/>
            <w:tcBorders>
              <w:top w:val="single" w:sz="4" w:space="0" w:color="BCE4CF"/>
              <w:bottom w:val="single" w:sz="4" w:space="0" w:color="BCE4CF"/>
            </w:tcBorders>
            <w:shd w:val="clear" w:color="auto" w:fill="ECF7F1"/>
          </w:tcPr>
          <w:p w14:paraId="4109319B" w14:textId="2C474338" w:rsidR="00761977" w:rsidRPr="009E7CA0" w:rsidRDefault="00761977" w:rsidP="00856A74">
            <w:pPr>
              <w:pStyle w:val="TableTextLeft"/>
              <w:cnfStyle w:val="000000000000" w:firstRow="0" w:lastRow="0" w:firstColumn="0" w:lastColumn="0" w:oddVBand="0" w:evenVBand="0" w:oddHBand="0" w:evenHBand="0" w:firstRowFirstColumn="0" w:firstRowLastColumn="0" w:lastRowFirstColumn="0" w:lastRowLastColumn="0"/>
            </w:pPr>
            <w:r w:rsidRPr="009E7CA0">
              <w:t>Release of ASIC roadmap for its implementation of the DAF</w:t>
            </w:r>
            <w:r w:rsidR="003F474D" w:rsidRPr="009E7CA0">
              <w:t> </w:t>
            </w:r>
            <w:r w:rsidRPr="009E7CA0">
              <w:t>reforms</w:t>
            </w:r>
            <w:r w:rsidR="001E00D3">
              <w:t>.</w:t>
            </w:r>
          </w:p>
        </w:tc>
        <w:tc>
          <w:tcPr>
            <w:tcW w:w="1446" w:type="dxa"/>
            <w:gridSpan w:val="2"/>
            <w:tcBorders>
              <w:top w:val="single" w:sz="4" w:space="0" w:color="BCE4CF"/>
              <w:bottom w:val="single" w:sz="4" w:space="0" w:color="BCE4CF"/>
            </w:tcBorders>
            <w:shd w:val="clear" w:color="auto" w:fill="ECF7F1"/>
          </w:tcPr>
          <w:p w14:paraId="18C0D3D0"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09" w:type="dxa"/>
            <w:tcBorders>
              <w:top w:val="single" w:sz="4" w:space="0" w:color="BCE4CF"/>
              <w:bottom w:val="single" w:sz="4" w:space="0" w:color="BCE4CF"/>
            </w:tcBorders>
            <w:shd w:val="clear" w:color="auto" w:fill="ECF7F1"/>
          </w:tcPr>
          <w:p w14:paraId="388A977F" w14:textId="53917EF3" w:rsidR="00761977" w:rsidRPr="009E7CA0" w:rsidRDefault="00761977" w:rsidP="00856A74">
            <w:pPr>
              <w:pStyle w:val="TableTextLeft"/>
              <w:cnfStyle w:val="000000000000" w:firstRow="0" w:lastRow="0" w:firstColumn="0" w:lastColumn="0" w:oddVBand="0" w:evenVBand="0" w:oddHBand="0" w:evenHBand="0" w:firstRowFirstColumn="0" w:firstRowLastColumn="0" w:lastRowFirstColumn="0" w:lastRowLastColumn="0"/>
            </w:pPr>
            <w:r w:rsidRPr="009E7CA0">
              <w:t>ASIC consultation paper on draft standards and guidance</w:t>
            </w:r>
            <w:r w:rsidR="001E00D3">
              <w:t>.</w:t>
            </w:r>
          </w:p>
        </w:tc>
        <w:tc>
          <w:tcPr>
            <w:tcW w:w="1276" w:type="dxa"/>
            <w:tcBorders>
              <w:top w:val="single" w:sz="4" w:space="0" w:color="BCE4CF"/>
              <w:bottom w:val="single" w:sz="4" w:space="0" w:color="BCE4CF"/>
            </w:tcBorders>
            <w:shd w:val="clear" w:color="auto" w:fill="F5FBF8"/>
          </w:tcPr>
          <w:p w14:paraId="37E2C12C" w14:textId="31CB761B" w:rsidR="00761977" w:rsidRPr="009E7CA0" w:rsidRDefault="00761977" w:rsidP="00856A74">
            <w:pPr>
              <w:pStyle w:val="TableTextLeft"/>
              <w:cnfStyle w:val="000000000000" w:firstRow="0" w:lastRow="0" w:firstColumn="0" w:lastColumn="0" w:oddVBand="0" w:evenVBand="0" w:oddHBand="0" w:evenHBand="0" w:firstRowFirstColumn="0" w:firstRowLastColumn="0" w:lastRowFirstColumn="0" w:lastRowLastColumn="0"/>
            </w:pPr>
            <w:r w:rsidRPr="009E7CA0">
              <w:t>Final ASIC standards and guidance published</w:t>
            </w:r>
            <w:r w:rsidR="001E00D3">
              <w:t>.</w:t>
            </w:r>
          </w:p>
        </w:tc>
        <w:tc>
          <w:tcPr>
            <w:tcW w:w="1312" w:type="dxa"/>
            <w:tcBorders>
              <w:top w:val="single" w:sz="4" w:space="0" w:color="BCE4CF"/>
              <w:bottom w:val="single" w:sz="4" w:space="0" w:color="BCE4CF"/>
            </w:tcBorders>
            <w:shd w:val="clear" w:color="auto" w:fill="F5FBF8"/>
          </w:tcPr>
          <w:p w14:paraId="11198D41" w14:textId="6C516F24" w:rsidR="00761977" w:rsidRPr="009E7CA0" w:rsidRDefault="00761977" w:rsidP="00856A74">
            <w:pPr>
              <w:pStyle w:val="TableTextLeft"/>
              <w:cnfStyle w:val="000000000000" w:firstRow="0" w:lastRow="0" w:firstColumn="0" w:lastColumn="0" w:oddVBand="0" w:evenVBand="0" w:oddHBand="0" w:evenHBand="0" w:firstRowFirstColumn="0" w:firstRowLastColumn="0" w:lastRowFirstColumn="0" w:lastRowLastColumn="0"/>
            </w:pPr>
            <w:r w:rsidRPr="009E7CA0">
              <w:t>Licensing regime commences with six month transition period</w:t>
            </w:r>
            <w:r w:rsidR="001E00D3">
              <w:t>.</w:t>
            </w:r>
          </w:p>
        </w:tc>
        <w:tc>
          <w:tcPr>
            <w:tcW w:w="1097" w:type="dxa"/>
            <w:gridSpan w:val="2"/>
            <w:tcBorders>
              <w:top w:val="single" w:sz="4" w:space="0" w:color="BCE4CF"/>
              <w:bottom w:val="single" w:sz="4" w:space="0" w:color="BCE4CF"/>
            </w:tcBorders>
            <w:shd w:val="clear" w:color="auto" w:fill="F5FBF8"/>
          </w:tcPr>
          <w:p w14:paraId="1C4CA90B"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43FDC7D7"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050EE6EE" w14:textId="77777777" w:rsidTr="003355B9">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Pr>
          <w:p w14:paraId="5F572336" w14:textId="77777777" w:rsidR="00761977" w:rsidRPr="009E7CA0" w:rsidRDefault="00761977" w:rsidP="00DA0B22">
            <w:pPr>
              <w:pStyle w:val="TableLeadAgency"/>
              <w:rPr>
                <w:b/>
                <w:bCs/>
                <w:i/>
              </w:rPr>
            </w:pPr>
            <w:r w:rsidRPr="009E7CA0">
              <w:rPr>
                <w:b/>
                <w:bCs/>
              </w:rPr>
              <w:t>TSY</w:t>
            </w:r>
          </w:p>
        </w:tc>
        <w:tc>
          <w:tcPr>
            <w:tcW w:w="1405" w:type="dxa"/>
          </w:tcPr>
          <w:p w14:paraId="2CEEA576"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Superannuation and retirement</w:t>
            </w:r>
          </w:p>
        </w:tc>
        <w:tc>
          <w:tcPr>
            <w:tcW w:w="2775" w:type="dxa"/>
            <w:gridSpan w:val="2"/>
          </w:tcPr>
          <w:p w14:paraId="5A4E6759" w14:textId="77777777" w:rsidR="00761977" w:rsidRPr="009E7CA0" w:rsidRDefault="00761977" w:rsidP="00095B0B">
            <w:pPr>
              <w:pStyle w:val="TableLink"/>
              <w:cnfStyle w:val="000000000000" w:firstRow="0" w:lastRow="0" w:firstColumn="0" w:lastColumn="0" w:oddVBand="0" w:evenVBand="0" w:oddHBand="0" w:evenHBand="0" w:firstRowFirstColumn="0" w:firstRowLastColumn="0" w:lastRowFirstColumn="0" w:lastRowLastColumn="0"/>
            </w:pPr>
            <w:hyperlink r:id="rId69" w:history="1">
              <w:r w:rsidRPr="009E7CA0">
                <w:t>Enhancements to the innovative income stream regulations</w:t>
              </w:r>
            </w:hyperlink>
            <w:r w:rsidRPr="009E7CA0">
              <w:t xml:space="preserve"> </w:t>
            </w:r>
          </w:p>
          <w:p w14:paraId="0CDFA61D" w14:textId="77777777" w:rsidR="00761977" w:rsidRPr="009E7CA0" w:rsidRDefault="00761977" w:rsidP="00095B0B">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The government will make targeted improvements to the existing innovative income stream regulations to support innovation in quality retirement products, giving members more options that meet their needs. </w:t>
            </w:r>
          </w:p>
          <w:p w14:paraId="7AF465C5" w14:textId="77777777" w:rsidR="00761977" w:rsidRPr="009E7CA0" w:rsidRDefault="00761977" w:rsidP="00095B0B">
            <w:pPr>
              <w:pStyle w:val="TableTextLeft"/>
              <w:cnfStyle w:val="000000000000" w:firstRow="0" w:lastRow="0" w:firstColumn="0" w:lastColumn="0" w:oddVBand="0" w:evenVBand="0" w:oddHBand="0" w:evenHBand="0" w:firstRowFirstColumn="0" w:firstRowLastColumn="0" w:lastRowFirstColumn="0" w:lastRowLastColumn="0"/>
            </w:pPr>
            <w:r w:rsidRPr="009E7CA0">
              <w:t>The changes include allowing funds to offer product features such as money back guarantees and facilitating payment by instalment.</w:t>
            </w:r>
            <w:r w:rsidRPr="009E7CA0" w:rsidDel="00AA06F8">
              <w:t xml:space="preserve"> </w:t>
            </w:r>
            <w:r w:rsidRPr="009E7CA0">
              <w:t xml:space="preserve">The timing of next steps will be announced in due course. </w:t>
            </w:r>
          </w:p>
        </w:tc>
        <w:tc>
          <w:tcPr>
            <w:tcW w:w="1458" w:type="dxa"/>
            <w:gridSpan w:val="2"/>
            <w:shd w:val="clear" w:color="auto" w:fill="ECF7F1"/>
          </w:tcPr>
          <w:p w14:paraId="0CF14276"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46" w:type="dxa"/>
            <w:gridSpan w:val="2"/>
            <w:shd w:val="clear" w:color="auto" w:fill="ECF7F1"/>
          </w:tcPr>
          <w:p w14:paraId="1E8F6124"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09" w:type="dxa"/>
            <w:shd w:val="clear" w:color="auto" w:fill="ECF7F1"/>
          </w:tcPr>
          <w:p w14:paraId="7D8E655C"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276" w:type="dxa"/>
            <w:shd w:val="clear" w:color="auto" w:fill="F4FAF7"/>
          </w:tcPr>
          <w:p w14:paraId="5AD37EF8"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312" w:type="dxa"/>
            <w:shd w:val="clear" w:color="auto" w:fill="F4FAF7"/>
          </w:tcPr>
          <w:p w14:paraId="7EBAD65E" w14:textId="77777777" w:rsidR="00761977" w:rsidRPr="009E7CA0" w:rsidDel="00CA3485"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097" w:type="dxa"/>
            <w:gridSpan w:val="2"/>
            <w:shd w:val="clear" w:color="auto" w:fill="F4FAF7"/>
          </w:tcPr>
          <w:p w14:paraId="60BED207" w14:textId="77777777" w:rsidR="00761977" w:rsidRPr="009E7CA0" w:rsidDel="00CA3485"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shd w:val="clear" w:color="auto" w:fill="F4FAF7"/>
          </w:tcPr>
          <w:p w14:paraId="138C3661" w14:textId="77777777" w:rsidR="00761977" w:rsidRPr="009E7CA0" w:rsidDel="00CA3485"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0348E9B3"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27BDFB13" w14:textId="77777777" w:rsidR="00761977" w:rsidRPr="009E7CA0" w:rsidDel="007D4EEB" w:rsidRDefault="00761977" w:rsidP="00DA0B22">
            <w:pPr>
              <w:pStyle w:val="TableLeadAgency"/>
              <w:rPr>
                <w:rFonts w:cs="Calibri Light"/>
                <w:b/>
                <w:bCs/>
                <w:i/>
                <w:iCs/>
              </w:rPr>
            </w:pPr>
            <w:r w:rsidRPr="009E7CA0">
              <w:rPr>
                <w:b/>
                <w:bCs/>
                <w:i/>
                <w:iCs/>
              </w:rPr>
              <w:lastRenderedPageBreak/>
              <w:t>TSY</w:t>
            </w:r>
          </w:p>
        </w:tc>
        <w:tc>
          <w:tcPr>
            <w:tcW w:w="1405" w:type="dxa"/>
            <w:tcBorders>
              <w:top w:val="single" w:sz="4" w:space="0" w:color="BCE4CF"/>
              <w:bottom w:val="single" w:sz="4" w:space="0" w:color="BCE4CF"/>
            </w:tcBorders>
          </w:tcPr>
          <w:p w14:paraId="3E55CDBC" w14:textId="77777777" w:rsidR="00761977" w:rsidRPr="009E7CA0" w:rsidDel="007D4EEB"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Banking, credit and lending</w:t>
            </w:r>
          </w:p>
        </w:tc>
        <w:tc>
          <w:tcPr>
            <w:tcW w:w="2775" w:type="dxa"/>
            <w:gridSpan w:val="2"/>
            <w:tcBorders>
              <w:top w:val="single" w:sz="4" w:space="0" w:color="BCE4CF"/>
              <w:bottom w:val="single" w:sz="4" w:space="0" w:color="BCE4CF"/>
            </w:tcBorders>
          </w:tcPr>
          <w:p w14:paraId="7CC28A39" w14:textId="77777777" w:rsidR="00761977" w:rsidRPr="009E7CA0" w:rsidRDefault="00761977" w:rsidP="00095B0B">
            <w:pPr>
              <w:pStyle w:val="TableLink"/>
              <w:cnfStyle w:val="000000000000" w:firstRow="0" w:lastRow="0" w:firstColumn="0" w:lastColumn="0" w:oddVBand="0" w:evenVBand="0" w:oddHBand="0" w:evenHBand="0" w:firstRowFirstColumn="0" w:firstRowLastColumn="0" w:lastRowFirstColumn="0" w:lastRowLastColumn="0"/>
            </w:pPr>
            <w:hyperlink r:id="rId70">
              <w:r w:rsidRPr="009E7CA0">
                <w:t>Government’s response to the Retail Deposit and Home Loan Price inquiries</w:t>
              </w:r>
            </w:hyperlink>
          </w:p>
          <w:p w14:paraId="4E3DA03F" w14:textId="77777777" w:rsidR="00761977" w:rsidRPr="009E7CA0" w:rsidRDefault="00761977" w:rsidP="00095B0B">
            <w:pPr>
              <w:pStyle w:val="TableTextLeft"/>
              <w:cnfStyle w:val="000000000000" w:firstRow="0" w:lastRow="0" w:firstColumn="0" w:lastColumn="0" w:oddVBand="0" w:evenVBand="0" w:oddHBand="0" w:evenHBand="0" w:firstRowFirstColumn="0" w:firstRowLastColumn="0" w:lastRowFirstColumn="0" w:lastRowLastColumn="0"/>
            </w:pPr>
            <w:r w:rsidRPr="009E7CA0">
              <w:t>In June 2024, the government announced</w:t>
            </w:r>
            <w:r w:rsidRPr="009E7CA0" w:rsidDel="000B50D0">
              <w:t xml:space="preserve"> </w:t>
            </w:r>
            <w:r w:rsidRPr="009E7CA0">
              <w:t xml:space="preserve">that it will help Australians </w:t>
            </w:r>
            <w:r w:rsidRPr="009E7CA0">
              <w:rPr>
                <w:rFonts w:cs="Calibri Light"/>
                <w:szCs w:val="16"/>
              </w:rPr>
              <w:t>find and switch to better mortgage deals</w:t>
            </w:r>
            <w:r w:rsidRPr="009E7CA0">
              <w:t xml:space="preserve"> and get better interest rates on their savings accounts through a range of measures. </w:t>
            </w:r>
          </w:p>
          <w:p w14:paraId="2D396E53" w14:textId="77777777" w:rsidR="00761977" w:rsidRPr="009E7CA0" w:rsidDel="007D4EEB" w:rsidRDefault="00761977" w:rsidP="00095B0B">
            <w:pPr>
              <w:pStyle w:val="TableTextLeft"/>
              <w:cnfStyle w:val="000000000000" w:firstRow="0" w:lastRow="0" w:firstColumn="0" w:lastColumn="0" w:oddVBand="0" w:evenVBand="0" w:oddHBand="0" w:evenHBand="0" w:firstRowFirstColumn="0" w:firstRowLastColumn="0" w:lastRowFirstColumn="0" w:lastRowLastColumn="0"/>
            </w:pPr>
            <w:r w:rsidRPr="009E7CA0">
              <w:t>The timing of any further legislative work will be announced in due course.</w:t>
            </w:r>
          </w:p>
        </w:tc>
        <w:tc>
          <w:tcPr>
            <w:tcW w:w="1458" w:type="dxa"/>
            <w:gridSpan w:val="2"/>
            <w:tcBorders>
              <w:top w:val="single" w:sz="4" w:space="0" w:color="BCE4CF"/>
              <w:bottom w:val="single" w:sz="4" w:space="0" w:color="BCE4CF"/>
            </w:tcBorders>
            <w:shd w:val="clear" w:color="auto" w:fill="ECF7F1"/>
          </w:tcPr>
          <w:p w14:paraId="0F4A2D0A"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46" w:type="dxa"/>
            <w:gridSpan w:val="2"/>
            <w:tcBorders>
              <w:top w:val="single" w:sz="4" w:space="0" w:color="BCE4CF"/>
              <w:bottom w:val="single" w:sz="4" w:space="0" w:color="BCE4CF"/>
            </w:tcBorders>
            <w:shd w:val="clear" w:color="auto" w:fill="ECF7F1"/>
          </w:tcPr>
          <w:p w14:paraId="2BAE85AB"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09" w:type="dxa"/>
            <w:tcBorders>
              <w:top w:val="single" w:sz="4" w:space="0" w:color="BCE4CF"/>
              <w:bottom w:val="single" w:sz="4" w:space="0" w:color="BCE4CF"/>
            </w:tcBorders>
            <w:shd w:val="clear" w:color="auto" w:fill="ECF7F1"/>
          </w:tcPr>
          <w:p w14:paraId="614AAAF7"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276" w:type="dxa"/>
            <w:tcBorders>
              <w:top w:val="single" w:sz="4" w:space="0" w:color="BCE4CF"/>
              <w:bottom w:val="single" w:sz="4" w:space="0" w:color="BCE4CF"/>
            </w:tcBorders>
            <w:shd w:val="clear" w:color="auto" w:fill="F5FBF8"/>
          </w:tcPr>
          <w:p w14:paraId="088DA844"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312" w:type="dxa"/>
            <w:tcBorders>
              <w:top w:val="single" w:sz="4" w:space="0" w:color="BCE4CF"/>
              <w:bottom w:val="single" w:sz="4" w:space="0" w:color="BCE4CF"/>
            </w:tcBorders>
            <w:shd w:val="clear" w:color="auto" w:fill="F5FBF8"/>
          </w:tcPr>
          <w:p w14:paraId="3D7CE6B6"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097" w:type="dxa"/>
            <w:gridSpan w:val="2"/>
            <w:tcBorders>
              <w:top w:val="single" w:sz="4" w:space="0" w:color="BCE4CF"/>
              <w:bottom w:val="single" w:sz="4" w:space="0" w:color="BCE4CF"/>
            </w:tcBorders>
            <w:shd w:val="clear" w:color="auto" w:fill="F5FBF8"/>
          </w:tcPr>
          <w:p w14:paraId="7BAB9BD2"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0185C0FA"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2831B918"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1F3A3852" w14:textId="77777777" w:rsidR="00761977" w:rsidRPr="009E7CA0" w:rsidRDefault="00761977" w:rsidP="00DA0B22">
            <w:pPr>
              <w:pStyle w:val="TableLeadAgency"/>
              <w:rPr>
                <w:b/>
                <w:bCs/>
              </w:rPr>
            </w:pPr>
            <w:r w:rsidRPr="009E7CA0">
              <w:rPr>
                <w:b/>
                <w:bCs/>
              </w:rPr>
              <w:t xml:space="preserve">TSY </w:t>
            </w:r>
          </w:p>
          <w:p w14:paraId="178F5AEC" w14:textId="77777777" w:rsidR="00761977" w:rsidRPr="00397844" w:rsidRDefault="00761977" w:rsidP="00397844">
            <w:pPr>
              <w:pStyle w:val="TableSecondaryAgency"/>
              <w:rPr>
                <w:b w:val="0"/>
              </w:rPr>
            </w:pPr>
            <w:r w:rsidRPr="00397844">
              <w:rPr>
                <w:b w:val="0"/>
              </w:rPr>
              <w:t>ASIC</w:t>
            </w:r>
          </w:p>
        </w:tc>
        <w:tc>
          <w:tcPr>
            <w:tcW w:w="1405" w:type="dxa"/>
            <w:tcBorders>
              <w:top w:val="single" w:sz="4" w:space="0" w:color="BCE4CF"/>
              <w:bottom w:val="single" w:sz="4" w:space="0" w:color="BCE4CF"/>
            </w:tcBorders>
          </w:tcPr>
          <w:p w14:paraId="719FD29B"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Other</w:t>
            </w:r>
          </w:p>
          <w:p w14:paraId="1B5F75B7"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Financial Markets</w:t>
            </w:r>
          </w:p>
        </w:tc>
        <w:tc>
          <w:tcPr>
            <w:tcW w:w="2775" w:type="dxa"/>
            <w:gridSpan w:val="2"/>
            <w:tcBorders>
              <w:top w:val="single" w:sz="4" w:space="0" w:color="BCE4CF"/>
              <w:bottom w:val="single" w:sz="4" w:space="0" w:color="BCE4CF"/>
            </w:tcBorders>
          </w:tcPr>
          <w:p w14:paraId="3833B0D8" w14:textId="77777777" w:rsidR="00761977" w:rsidRPr="009E7CA0" w:rsidRDefault="00761977" w:rsidP="00095B0B">
            <w:pPr>
              <w:pStyle w:val="TableLink"/>
              <w:cnfStyle w:val="000000000000" w:firstRow="0" w:lastRow="0" w:firstColumn="0" w:lastColumn="0" w:oddVBand="0" w:evenVBand="0" w:oddHBand="0" w:evenHBand="0" w:firstRowFirstColumn="0" w:firstRowLastColumn="0" w:lastRowFirstColumn="0" w:lastRowLastColumn="0"/>
            </w:pPr>
            <w:hyperlink r:id="rId71">
              <w:r w:rsidRPr="009E7CA0">
                <w:t>Licensing exemptions for Foreign Financial Service Providers (FFSPs)</w:t>
              </w:r>
            </w:hyperlink>
          </w:p>
          <w:p w14:paraId="32140D43" w14:textId="455952EE" w:rsidR="00761977" w:rsidRPr="009E7CA0" w:rsidRDefault="00761977" w:rsidP="00C76E5C">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On 1 April 2026, the </w:t>
            </w:r>
            <w:r w:rsidRPr="00337F57">
              <w:rPr>
                <w:iCs/>
              </w:rPr>
              <w:t xml:space="preserve">Treasury Laws Amendment (Genetic Testing Protections in Life Insurance and Other Measures) Bill 2025 </w:t>
            </w:r>
            <w:r w:rsidRPr="009E7CA0">
              <w:t xml:space="preserve">passed </w:t>
            </w:r>
            <w:r w:rsidR="00A833C9">
              <w:t>the</w:t>
            </w:r>
            <w:r w:rsidRPr="009E7CA0">
              <w:t xml:space="preserve"> Parliament. The Bill amends the FFSPs regime to establish new exemptions to requirements to hold an Australian financial services license (AFSL) for FFSPs. The amendments will also provide greater regulatory oversight of FFSPs. </w:t>
            </w:r>
          </w:p>
        </w:tc>
        <w:tc>
          <w:tcPr>
            <w:tcW w:w="1458" w:type="dxa"/>
            <w:gridSpan w:val="2"/>
            <w:tcBorders>
              <w:top w:val="single" w:sz="4" w:space="0" w:color="BCE4CF"/>
              <w:bottom w:val="single" w:sz="4" w:space="0" w:color="BCE4CF"/>
            </w:tcBorders>
            <w:shd w:val="clear" w:color="auto" w:fill="ECF7F1"/>
          </w:tcPr>
          <w:p w14:paraId="464D7F0F"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46" w:type="dxa"/>
            <w:gridSpan w:val="2"/>
            <w:tcBorders>
              <w:top w:val="single" w:sz="4" w:space="0" w:color="BCE4CF"/>
              <w:bottom w:val="single" w:sz="4" w:space="0" w:color="BCE4CF"/>
            </w:tcBorders>
            <w:shd w:val="clear" w:color="auto" w:fill="ECF7F1"/>
          </w:tcPr>
          <w:p w14:paraId="26103360"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09" w:type="dxa"/>
            <w:tcBorders>
              <w:top w:val="single" w:sz="4" w:space="0" w:color="BCE4CF"/>
              <w:bottom w:val="single" w:sz="4" w:space="0" w:color="BCE4CF"/>
            </w:tcBorders>
            <w:shd w:val="clear" w:color="auto" w:fill="ECF7F1"/>
          </w:tcPr>
          <w:p w14:paraId="568FA3F2"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276" w:type="dxa"/>
            <w:tcBorders>
              <w:top w:val="single" w:sz="4" w:space="0" w:color="BCE4CF"/>
              <w:bottom w:val="single" w:sz="4" w:space="0" w:color="BCE4CF"/>
            </w:tcBorders>
            <w:shd w:val="clear" w:color="auto" w:fill="F5FBF8"/>
          </w:tcPr>
          <w:p w14:paraId="5F914BFC"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312" w:type="dxa"/>
            <w:tcBorders>
              <w:top w:val="single" w:sz="4" w:space="0" w:color="BCE4CF"/>
              <w:bottom w:val="single" w:sz="4" w:space="0" w:color="BCE4CF"/>
            </w:tcBorders>
            <w:shd w:val="clear" w:color="auto" w:fill="F5FBF8"/>
          </w:tcPr>
          <w:p w14:paraId="641CF0EA"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097" w:type="dxa"/>
            <w:gridSpan w:val="2"/>
            <w:tcBorders>
              <w:top w:val="single" w:sz="4" w:space="0" w:color="BCE4CF"/>
              <w:bottom w:val="single" w:sz="4" w:space="0" w:color="BCE4CF"/>
            </w:tcBorders>
            <w:shd w:val="clear" w:color="auto" w:fill="F5FBF8"/>
          </w:tcPr>
          <w:p w14:paraId="45533034"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236D03A6"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5370F739"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169693A1" w14:textId="77777777" w:rsidR="00761977" w:rsidRPr="009E7CA0" w:rsidRDefault="00761977" w:rsidP="00DA0B22">
            <w:pPr>
              <w:pStyle w:val="TableLeadAgency"/>
              <w:rPr>
                <w:b/>
                <w:bCs/>
              </w:rPr>
            </w:pPr>
            <w:r w:rsidRPr="009E7CA0">
              <w:rPr>
                <w:b/>
                <w:bCs/>
              </w:rPr>
              <w:lastRenderedPageBreak/>
              <w:t>TSY</w:t>
            </w:r>
          </w:p>
          <w:p w14:paraId="29AA4D06" w14:textId="77777777" w:rsidR="00761977" w:rsidRPr="00566FD7" w:rsidRDefault="00761977" w:rsidP="00566FD7">
            <w:pPr>
              <w:pStyle w:val="TableSecondaryAgency"/>
              <w:rPr>
                <w:b w:val="0"/>
                <w:bCs/>
              </w:rPr>
            </w:pPr>
            <w:r w:rsidRPr="00566FD7">
              <w:rPr>
                <w:b w:val="0"/>
                <w:bCs/>
              </w:rPr>
              <w:t>ASIC</w:t>
            </w:r>
          </w:p>
          <w:p w14:paraId="0559A83D" w14:textId="77777777" w:rsidR="00761977" w:rsidRPr="009E7CA0" w:rsidRDefault="00761977" w:rsidP="00566FD7">
            <w:pPr>
              <w:pStyle w:val="TableSecondaryAgency"/>
              <w:rPr>
                <w:b w:val="0"/>
              </w:rPr>
            </w:pPr>
            <w:r w:rsidRPr="00566FD7">
              <w:rPr>
                <w:b w:val="0"/>
                <w:bCs/>
              </w:rPr>
              <w:t>APRA</w:t>
            </w:r>
          </w:p>
        </w:tc>
        <w:tc>
          <w:tcPr>
            <w:tcW w:w="1405" w:type="dxa"/>
            <w:tcBorders>
              <w:top w:val="single" w:sz="4" w:space="0" w:color="BCE4CF"/>
              <w:bottom w:val="single" w:sz="4" w:space="0" w:color="BCE4CF"/>
            </w:tcBorders>
          </w:tcPr>
          <w:p w14:paraId="5B97E375"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Superannuation and retirement income </w:t>
            </w:r>
          </w:p>
        </w:tc>
        <w:tc>
          <w:tcPr>
            <w:tcW w:w="2775" w:type="dxa"/>
            <w:gridSpan w:val="2"/>
            <w:tcBorders>
              <w:top w:val="single" w:sz="4" w:space="0" w:color="BCE4CF"/>
              <w:bottom w:val="single" w:sz="4" w:space="0" w:color="BCE4CF"/>
            </w:tcBorders>
          </w:tcPr>
          <w:p w14:paraId="6CFDDB4A" w14:textId="77777777" w:rsidR="00761977" w:rsidRPr="009E7CA0" w:rsidRDefault="00761977" w:rsidP="00095B0B">
            <w:pPr>
              <w:pStyle w:val="TableLink"/>
              <w:cnfStyle w:val="000000000000" w:firstRow="0" w:lastRow="0" w:firstColumn="0" w:lastColumn="0" w:oddVBand="0" w:evenVBand="0" w:oddHBand="0" w:evenHBand="0" w:firstRowFirstColumn="0" w:firstRowLastColumn="0" w:lastRowFirstColumn="0" w:lastRowLastColumn="0"/>
            </w:pPr>
            <w:hyperlink r:id="rId72" w:history="1">
              <w:r w:rsidRPr="009E7CA0">
                <w:t>Mandatory service standards</w:t>
              </w:r>
            </w:hyperlink>
            <w:r w:rsidRPr="009E7CA0">
              <w:t xml:space="preserve"> </w:t>
            </w:r>
          </w:p>
          <w:p w14:paraId="61D29347" w14:textId="77777777" w:rsidR="00761977" w:rsidRPr="009E7CA0" w:rsidRDefault="00761977" w:rsidP="00C76E5C">
            <w:pPr>
              <w:pStyle w:val="TableTextLeft"/>
              <w:cnfStyle w:val="000000000000" w:firstRow="0" w:lastRow="0" w:firstColumn="0" w:lastColumn="0" w:oddVBand="0" w:evenVBand="0" w:oddHBand="0" w:evenHBand="0" w:firstRowFirstColumn="0" w:firstRowLastColumn="0" w:lastRowFirstColumn="0" w:lastRowLastColumn="0"/>
            </w:pPr>
            <w:r w:rsidRPr="009E7CA0">
              <w:t>The government will introduce new mandatory and enforceable service standards for the superannuation industry. The standards will cover death benefits claims handling, insurance claims handling, and communication with members. Treasury will work closely with consumer advocates, regulators and industry to develop the standards. Draft standards will be released for public consultation in due course.</w:t>
            </w:r>
          </w:p>
        </w:tc>
        <w:tc>
          <w:tcPr>
            <w:tcW w:w="1458" w:type="dxa"/>
            <w:gridSpan w:val="2"/>
            <w:tcBorders>
              <w:top w:val="single" w:sz="4" w:space="0" w:color="BCE4CF"/>
              <w:bottom w:val="single" w:sz="4" w:space="0" w:color="BCE4CF"/>
            </w:tcBorders>
            <w:shd w:val="clear" w:color="auto" w:fill="ECF7F1"/>
          </w:tcPr>
          <w:p w14:paraId="6668EC1F"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46" w:type="dxa"/>
            <w:gridSpan w:val="2"/>
            <w:tcBorders>
              <w:top w:val="single" w:sz="4" w:space="0" w:color="BCE4CF"/>
              <w:bottom w:val="single" w:sz="4" w:space="0" w:color="BCE4CF"/>
            </w:tcBorders>
            <w:shd w:val="clear" w:color="auto" w:fill="ECF7F1"/>
          </w:tcPr>
          <w:p w14:paraId="62375F97"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09" w:type="dxa"/>
            <w:tcBorders>
              <w:top w:val="single" w:sz="4" w:space="0" w:color="BCE4CF"/>
              <w:bottom w:val="single" w:sz="4" w:space="0" w:color="BCE4CF"/>
            </w:tcBorders>
            <w:shd w:val="clear" w:color="auto" w:fill="ECF7F1"/>
          </w:tcPr>
          <w:p w14:paraId="015B0724"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276" w:type="dxa"/>
            <w:tcBorders>
              <w:top w:val="single" w:sz="4" w:space="0" w:color="BCE4CF"/>
              <w:bottom w:val="single" w:sz="4" w:space="0" w:color="BCE4CF"/>
            </w:tcBorders>
            <w:shd w:val="clear" w:color="auto" w:fill="F5FBF8"/>
          </w:tcPr>
          <w:p w14:paraId="1C2D970B"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312" w:type="dxa"/>
            <w:tcBorders>
              <w:top w:val="single" w:sz="4" w:space="0" w:color="BCE4CF"/>
              <w:bottom w:val="single" w:sz="4" w:space="0" w:color="BCE4CF"/>
            </w:tcBorders>
            <w:shd w:val="clear" w:color="auto" w:fill="F5FBF8"/>
          </w:tcPr>
          <w:p w14:paraId="1C0845DC"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097" w:type="dxa"/>
            <w:gridSpan w:val="2"/>
            <w:tcBorders>
              <w:top w:val="single" w:sz="4" w:space="0" w:color="BCE4CF"/>
              <w:bottom w:val="single" w:sz="4" w:space="0" w:color="BCE4CF"/>
            </w:tcBorders>
            <w:shd w:val="clear" w:color="auto" w:fill="F5FBF8"/>
          </w:tcPr>
          <w:p w14:paraId="046CC521"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5BD347A9"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6FC1739D"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2FC9192E" w14:textId="77777777" w:rsidR="00761977" w:rsidRPr="009E7CA0" w:rsidRDefault="00761977" w:rsidP="00DA0B22">
            <w:pPr>
              <w:pStyle w:val="TableLeadAgency"/>
              <w:rPr>
                <w:b/>
                <w:bCs/>
              </w:rPr>
            </w:pPr>
            <w:r w:rsidRPr="009E7CA0">
              <w:rPr>
                <w:b/>
                <w:bCs/>
              </w:rPr>
              <w:t xml:space="preserve">ASIC </w:t>
            </w:r>
          </w:p>
        </w:tc>
        <w:tc>
          <w:tcPr>
            <w:tcW w:w="1405" w:type="dxa"/>
            <w:tcBorders>
              <w:top w:val="single" w:sz="4" w:space="0" w:color="BCE4CF"/>
              <w:bottom w:val="single" w:sz="4" w:space="0" w:color="BCE4CF"/>
            </w:tcBorders>
          </w:tcPr>
          <w:p w14:paraId="50D7BA86" w14:textId="77777777" w:rsidR="00761977" w:rsidRPr="009E7CA0" w:rsidRDefault="00761977" w:rsidP="00C76E5C">
            <w:pPr>
              <w:pStyle w:val="TableTextLeft"/>
              <w:cnfStyle w:val="000000000000" w:firstRow="0" w:lastRow="0" w:firstColumn="0" w:lastColumn="0" w:oddVBand="0" w:evenVBand="0" w:oddHBand="0" w:evenHBand="0" w:firstRowFirstColumn="0" w:firstRowLastColumn="0" w:lastRowFirstColumn="0" w:lastRowLastColumn="0"/>
            </w:pPr>
            <w:r w:rsidRPr="009E7CA0">
              <w:t>Financial markets</w:t>
            </w:r>
          </w:p>
        </w:tc>
        <w:tc>
          <w:tcPr>
            <w:tcW w:w="2775" w:type="dxa"/>
            <w:gridSpan w:val="2"/>
            <w:tcBorders>
              <w:top w:val="single" w:sz="4" w:space="0" w:color="BCE4CF"/>
              <w:bottom w:val="single" w:sz="4" w:space="0" w:color="BCE4CF"/>
            </w:tcBorders>
          </w:tcPr>
          <w:p w14:paraId="7F1B8516" w14:textId="77777777" w:rsidR="00761977" w:rsidRPr="009E7CA0" w:rsidRDefault="00761977" w:rsidP="00C76E5C">
            <w:pPr>
              <w:pStyle w:val="TableLink"/>
              <w:cnfStyle w:val="000000000000" w:firstRow="0" w:lastRow="0" w:firstColumn="0" w:lastColumn="0" w:oddVBand="0" w:evenVBand="0" w:oddHBand="0" w:evenHBand="0" w:firstRowFirstColumn="0" w:firstRowLastColumn="0" w:lastRowFirstColumn="0" w:lastRowLastColumn="0"/>
            </w:pPr>
            <w:r w:rsidRPr="009E7CA0">
              <w:t>Market integrity rules – consultation and amendment</w:t>
            </w:r>
          </w:p>
          <w:p w14:paraId="5DCD9819" w14:textId="77777777" w:rsidR="00761977" w:rsidRPr="009E7CA0" w:rsidRDefault="00761977" w:rsidP="00C76E5C">
            <w:pPr>
              <w:pStyle w:val="TableTextLeft"/>
              <w:cnfStyle w:val="000000000000" w:firstRow="0" w:lastRow="0" w:firstColumn="0" w:lastColumn="0" w:oddVBand="0" w:evenVBand="0" w:oddHBand="0" w:evenHBand="0" w:firstRowFirstColumn="0" w:firstRowLastColumn="0" w:lastRowFirstColumn="0" w:lastRowLastColumn="0"/>
            </w:pPr>
            <w:r w:rsidRPr="009E7CA0">
              <w:t>Following consultation, amend provisions of the ASIC Market Integrity Rules (Securities Markets) 2017 and ASIC Market Integrity Rules (Futures Markets) 2017 relating to trading infrastructure, automated order processing and false or misleading appearances.</w:t>
            </w:r>
          </w:p>
        </w:tc>
        <w:tc>
          <w:tcPr>
            <w:tcW w:w="1458" w:type="dxa"/>
            <w:gridSpan w:val="2"/>
            <w:tcBorders>
              <w:top w:val="single" w:sz="4" w:space="0" w:color="BCE4CF"/>
              <w:bottom w:val="single" w:sz="4" w:space="0" w:color="BCE4CF"/>
            </w:tcBorders>
            <w:shd w:val="clear" w:color="auto" w:fill="ECF7F1"/>
          </w:tcPr>
          <w:p w14:paraId="3350E1B5"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46" w:type="dxa"/>
            <w:gridSpan w:val="2"/>
            <w:tcBorders>
              <w:top w:val="single" w:sz="4" w:space="0" w:color="BCE4CF"/>
              <w:bottom w:val="single" w:sz="4" w:space="0" w:color="BCE4CF"/>
            </w:tcBorders>
            <w:shd w:val="clear" w:color="auto" w:fill="ECF7F1"/>
          </w:tcPr>
          <w:p w14:paraId="40EFA270"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09" w:type="dxa"/>
            <w:tcBorders>
              <w:top w:val="single" w:sz="4" w:space="0" w:color="BCE4CF"/>
              <w:bottom w:val="single" w:sz="4" w:space="0" w:color="BCE4CF"/>
            </w:tcBorders>
            <w:shd w:val="clear" w:color="auto" w:fill="ECF7F1"/>
          </w:tcPr>
          <w:p w14:paraId="443779AE"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276" w:type="dxa"/>
            <w:tcBorders>
              <w:top w:val="single" w:sz="4" w:space="0" w:color="BCE4CF"/>
              <w:bottom w:val="single" w:sz="4" w:space="0" w:color="BCE4CF"/>
            </w:tcBorders>
            <w:shd w:val="clear" w:color="auto" w:fill="F5FBF8"/>
          </w:tcPr>
          <w:p w14:paraId="1F43DDA2"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312" w:type="dxa"/>
            <w:tcBorders>
              <w:top w:val="single" w:sz="4" w:space="0" w:color="BCE4CF"/>
              <w:bottom w:val="single" w:sz="4" w:space="0" w:color="BCE4CF"/>
            </w:tcBorders>
            <w:shd w:val="clear" w:color="auto" w:fill="F5FBF8"/>
          </w:tcPr>
          <w:p w14:paraId="099A4607"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097" w:type="dxa"/>
            <w:gridSpan w:val="2"/>
            <w:tcBorders>
              <w:top w:val="single" w:sz="4" w:space="0" w:color="BCE4CF"/>
              <w:bottom w:val="single" w:sz="4" w:space="0" w:color="BCE4CF"/>
            </w:tcBorders>
            <w:shd w:val="clear" w:color="auto" w:fill="F5FBF8"/>
          </w:tcPr>
          <w:p w14:paraId="7E7D3A87"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253B51E5"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5F9B5CBA"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6B7D3B6E" w14:textId="77777777" w:rsidR="00761977" w:rsidRPr="009E7CA0" w:rsidRDefault="00761977" w:rsidP="00DA0B22">
            <w:pPr>
              <w:pStyle w:val="TableLeadAgency"/>
              <w:rPr>
                <w:b/>
                <w:bCs/>
                <w:i/>
                <w:iCs/>
              </w:rPr>
            </w:pPr>
            <w:r w:rsidRPr="009E7CA0">
              <w:rPr>
                <w:b/>
                <w:bCs/>
              </w:rPr>
              <w:lastRenderedPageBreak/>
              <w:t>TSY</w:t>
            </w:r>
            <w:r w:rsidRPr="009E7CA0">
              <w:rPr>
                <w:b/>
                <w:bCs/>
                <w:i/>
                <w:iCs/>
              </w:rPr>
              <w:t xml:space="preserve"> </w:t>
            </w:r>
          </w:p>
          <w:p w14:paraId="3E5DCC4B" w14:textId="77777777" w:rsidR="00761977" w:rsidRPr="006C4D92" w:rsidRDefault="00761977" w:rsidP="006C4D92">
            <w:pPr>
              <w:pStyle w:val="TableSecondaryAgency"/>
              <w:rPr>
                <w:b w:val="0"/>
                <w:bCs/>
              </w:rPr>
            </w:pPr>
            <w:r w:rsidRPr="006C4D92">
              <w:rPr>
                <w:b w:val="0"/>
                <w:bCs/>
              </w:rPr>
              <w:t>ACCC</w:t>
            </w:r>
          </w:p>
        </w:tc>
        <w:tc>
          <w:tcPr>
            <w:tcW w:w="1405" w:type="dxa"/>
            <w:tcBorders>
              <w:top w:val="single" w:sz="4" w:space="0" w:color="BCE4CF"/>
              <w:bottom w:val="single" w:sz="4" w:space="0" w:color="BCE4CF"/>
            </w:tcBorders>
          </w:tcPr>
          <w:p w14:paraId="2F73314A"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All</w:t>
            </w:r>
          </w:p>
        </w:tc>
        <w:tc>
          <w:tcPr>
            <w:tcW w:w="2775" w:type="dxa"/>
            <w:gridSpan w:val="2"/>
            <w:tcBorders>
              <w:top w:val="single" w:sz="4" w:space="0" w:color="BCE4CF"/>
              <w:bottom w:val="single" w:sz="4" w:space="0" w:color="BCE4CF"/>
            </w:tcBorders>
          </w:tcPr>
          <w:p w14:paraId="7136A7C4" w14:textId="77777777" w:rsidR="00761977" w:rsidRPr="009E7CA0" w:rsidRDefault="00761977" w:rsidP="005E363B">
            <w:pPr>
              <w:pStyle w:val="TableLink"/>
              <w:cnfStyle w:val="000000000000" w:firstRow="0" w:lastRow="0" w:firstColumn="0" w:lastColumn="0" w:oddVBand="0" w:evenVBand="0" w:oddHBand="0" w:evenHBand="0" w:firstRowFirstColumn="0" w:firstRowLastColumn="0" w:lastRowFirstColumn="0" w:lastRowLastColumn="0"/>
            </w:pPr>
            <w:hyperlink r:id="rId73">
              <w:r w:rsidRPr="009E7CA0">
                <w:t>Merger reform</w:t>
              </w:r>
            </w:hyperlink>
          </w:p>
          <w:p w14:paraId="58CEF9C5" w14:textId="77777777" w:rsidR="00761977" w:rsidRPr="009E7CA0" w:rsidRDefault="00761977" w:rsidP="005E363B">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On 28 November 2024, the </w:t>
            </w:r>
            <w:r w:rsidRPr="009E7CA0">
              <w:rPr>
                <w:i/>
              </w:rPr>
              <w:t>Treasury Laws Amendment (Mergers and Acquisitions Reform) Act 2024</w:t>
            </w:r>
            <w:r w:rsidRPr="009E7CA0">
              <w:rPr>
                <w:iCs/>
              </w:rPr>
              <w:t xml:space="preserve"> passed Parliament. The Act </w:t>
            </w:r>
            <w:r w:rsidRPr="009E7CA0">
              <w:t>introduced</w:t>
            </w:r>
            <w:r w:rsidRPr="009E7CA0">
              <w:rPr>
                <w:iCs/>
              </w:rPr>
              <w:t xml:space="preserve"> a </w:t>
            </w:r>
            <w:r w:rsidRPr="009E7CA0">
              <w:t xml:space="preserve">mandatory and suspensory merger control regime. </w:t>
            </w:r>
          </w:p>
          <w:p w14:paraId="1750E63E" w14:textId="77777777" w:rsidR="00761977" w:rsidRPr="009E7CA0" w:rsidRDefault="00761977" w:rsidP="00E573EA">
            <w:pPr>
              <w:pStyle w:val="TableTextLeft"/>
              <w:cnfStyle w:val="000000000000" w:firstRow="0" w:lastRow="0" w:firstColumn="0" w:lastColumn="0" w:oddVBand="0" w:evenVBand="0" w:oddHBand="0" w:evenHBand="0" w:firstRowFirstColumn="0" w:firstRowLastColumn="0" w:lastRowFirstColumn="0" w:lastRowLastColumn="0"/>
              <w:rPr>
                <w:rFonts w:cs="Calibri Light"/>
                <w:sz w:val="16"/>
              </w:rPr>
            </w:pPr>
          </w:p>
          <w:p w14:paraId="159D8CAD" w14:textId="77777777" w:rsidR="00761977" w:rsidRPr="009E7CA0" w:rsidRDefault="00761977" w:rsidP="005E363B">
            <w:pPr>
              <w:pStyle w:val="TableTextLeft"/>
              <w:cnfStyle w:val="000000000000" w:firstRow="0" w:lastRow="0" w:firstColumn="0" w:lastColumn="0" w:oddVBand="0" w:evenVBand="0" w:oddHBand="0" w:evenHBand="0" w:firstRowFirstColumn="0" w:firstRowLastColumn="0" w:lastRowFirstColumn="0" w:lastRowLastColumn="0"/>
            </w:pPr>
            <w:r w:rsidRPr="009E7CA0">
              <w:t>Following a six-month voluntary transitional period, the new regime formally commenced on 1 January 2026. It requires businesses to notify the ACCC of acquisitions that meet specified thresholds</w:t>
            </w:r>
            <w:r w:rsidRPr="009E7CA0">
              <w:rPr>
                <w:iCs/>
              </w:rPr>
              <w:t xml:space="preserve"> set out in t</w:t>
            </w:r>
            <w:r w:rsidRPr="009E7CA0">
              <w:t>he Competition</w:t>
            </w:r>
            <w:r w:rsidRPr="009E7CA0">
              <w:rPr>
                <w:i/>
              </w:rPr>
              <w:t xml:space="preserve"> and Consumer (Notification of Acquisitions) Determination 2025</w:t>
            </w:r>
            <w:r w:rsidRPr="009E7CA0">
              <w:t>, which</w:t>
            </w:r>
            <w:r w:rsidRPr="009E7CA0">
              <w:rPr>
                <w:i/>
              </w:rPr>
              <w:t xml:space="preserve"> </w:t>
            </w:r>
            <w:r w:rsidRPr="009E7CA0">
              <w:t xml:space="preserve">was registered in June 2025 and updated in December 2025. </w:t>
            </w:r>
          </w:p>
          <w:p w14:paraId="582A8C82" w14:textId="77777777" w:rsidR="00761977" w:rsidRPr="009E7CA0" w:rsidRDefault="00761977" w:rsidP="00E573EA">
            <w:pPr>
              <w:pStyle w:val="TableTextLeft"/>
              <w:cnfStyle w:val="000000000000" w:firstRow="0" w:lastRow="0" w:firstColumn="0" w:lastColumn="0" w:oddVBand="0" w:evenVBand="0" w:oddHBand="0" w:evenHBand="0" w:firstRowFirstColumn="0" w:firstRowLastColumn="0" w:lastRowFirstColumn="0" w:lastRowLastColumn="0"/>
              <w:rPr>
                <w:rFonts w:cs="Calibri Light"/>
                <w:sz w:val="16"/>
              </w:rPr>
            </w:pPr>
          </w:p>
          <w:p w14:paraId="735D31E3" w14:textId="7A6D7695" w:rsidR="00761977" w:rsidRPr="009E7CA0" w:rsidRDefault="00761977" w:rsidP="005E363B">
            <w:pPr>
              <w:pStyle w:val="TableTextLeft"/>
              <w:cnfStyle w:val="000000000000" w:firstRow="0" w:lastRow="0" w:firstColumn="0" w:lastColumn="0" w:oddVBand="0" w:evenVBand="0" w:oddHBand="0" w:evenHBand="0" w:firstRowFirstColumn="0" w:firstRowLastColumn="0" w:lastRowFirstColumn="0" w:lastRowLastColumn="0"/>
            </w:pPr>
            <w:r w:rsidRPr="009E7CA0">
              <w:t>Technical amendments to the primary law are also being progressed, as announced by Assistant Minister Leigh in October</w:t>
            </w:r>
            <w:r w:rsidR="0070088C">
              <w:t> </w:t>
            </w:r>
            <w:r w:rsidRPr="009E7CA0">
              <w:t xml:space="preserve">2025. </w:t>
            </w:r>
          </w:p>
        </w:tc>
        <w:tc>
          <w:tcPr>
            <w:tcW w:w="1458" w:type="dxa"/>
            <w:gridSpan w:val="2"/>
            <w:tcBorders>
              <w:top w:val="single" w:sz="4" w:space="0" w:color="BCE4CF"/>
              <w:bottom w:val="single" w:sz="4" w:space="0" w:color="BCE4CF"/>
            </w:tcBorders>
            <w:shd w:val="clear" w:color="auto" w:fill="ECF7F1"/>
          </w:tcPr>
          <w:p w14:paraId="594FC96C" w14:textId="77504039" w:rsidR="00761977" w:rsidRPr="009E7CA0" w:rsidRDefault="00761977" w:rsidP="005E363B">
            <w:pPr>
              <w:pStyle w:val="TableTextLeft"/>
              <w:cnfStyle w:val="000000000000" w:firstRow="0" w:lastRow="0" w:firstColumn="0" w:lastColumn="0" w:oddVBand="0" w:evenVBand="0" w:oddHBand="0" w:evenHBand="0" w:firstRowFirstColumn="0" w:firstRowLastColumn="0" w:lastRowFirstColumn="0" w:lastRowLastColumn="0"/>
            </w:pPr>
            <w:r w:rsidRPr="009E7CA0">
              <w:t>Notification thresholds for the acquisition of assets and voting power thresholds to come into effect on 1</w:t>
            </w:r>
            <w:r w:rsidR="00484C76" w:rsidRPr="009E7CA0">
              <w:t> </w:t>
            </w:r>
            <w:r w:rsidRPr="009E7CA0">
              <w:t>April</w:t>
            </w:r>
            <w:r w:rsidR="00484C76" w:rsidRPr="009E7CA0">
              <w:t> </w:t>
            </w:r>
            <w:r w:rsidRPr="009E7CA0">
              <w:t>2026. *</w:t>
            </w:r>
          </w:p>
        </w:tc>
        <w:tc>
          <w:tcPr>
            <w:tcW w:w="1446" w:type="dxa"/>
            <w:gridSpan w:val="2"/>
            <w:tcBorders>
              <w:top w:val="single" w:sz="4" w:space="0" w:color="BCE4CF"/>
              <w:bottom w:val="single" w:sz="4" w:space="0" w:color="BCE4CF"/>
            </w:tcBorders>
            <w:shd w:val="clear" w:color="auto" w:fill="ECF7F1"/>
          </w:tcPr>
          <w:p w14:paraId="564C23DC" w14:textId="77777777" w:rsidR="00761977" w:rsidRPr="009E7CA0" w:rsidRDefault="00761977" w:rsidP="005E363B">
            <w:pPr>
              <w:pStyle w:val="TableTextLeft"/>
              <w:cnfStyle w:val="000000000000" w:firstRow="0" w:lastRow="0" w:firstColumn="0" w:lastColumn="0" w:oddVBand="0" w:evenVBand="0" w:oddHBand="0" w:evenHBand="0" w:firstRowFirstColumn="0" w:firstRowLastColumn="0" w:lastRowFirstColumn="0" w:lastRowLastColumn="0"/>
            </w:pPr>
          </w:p>
        </w:tc>
        <w:tc>
          <w:tcPr>
            <w:tcW w:w="1409" w:type="dxa"/>
            <w:tcBorders>
              <w:top w:val="single" w:sz="4" w:space="0" w:color="BCE4CF"/>
              <w:bottom w:val="single" w:sz="4" w:space="0" w:color="BCE4CF"/>
            </w:tcBorders>
            <w:shd w:val="clear" w:color="auto" w:fill="ECF7F1"/>
          </w:tcPr>
          <w:p w14:paraId="4208980C"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276" w:type="dxa"/>
            <w:tcBorders>
              <w:top w:val="single" w:sz="4" w:space="0" w:color="BCE4CF"/>
              <w:bottom w:val="single" w:sz="4" w:space="0" w:color="BCE4CF"/>
            </w:tcBorders>
            <w:shd w:val="clear" w:color="auto" w:fill="F5FBF8"/>
          </w:tcPr>
          <w:p w14:paraId="5EBDEF21" w14:textId="77777777" w:rsidR="00761977" w:rsidRPr="009E7CA0" w:rsidDel="00F45C7D"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312" w:type="dxa"/>
            <w:tcBorders>
              <w:top w:val="single" w:sz="4" w:space="0" w:color="BCE4CF"/>
              <w:bottom w:val="single" w:sz="4" w:space="0" w:color="BCE4CF"/>
            </w:tcBorders>
            <w:shd w:val="clear" w:color="auto" w:fill="F5FBF8"/>
          </w:tcPr>
          <w:p w14:paraId="378BBEF9"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097" w:type="dxa"/>
            <w:gridSpan w:val="2"/>
            <w:tcBorders>
              <w:top w:val="single" w:sz="4" w:space="0" w:color="BCE4CF"/>
              <w:bottom w:val="single" w:sz="4" w:space="0" w:color="BCE4CF"/>
            </w:tcBorders>
            <w:shd w:val="clear" w:color="auto" w:fill="F5FBF8"/>
          </w:tcPr>
          <w:p w14:paraId="072A2536"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76E2386B"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4CA40859"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66412F26" w14:textId="77777777" w:rsidR="00761977" w:rsidRPr="009E7CA0" w:rsidRDefault="00761977" w:rsidP="00DA0B22">
            <w:pPr>
              <w:pStyle w:val="TableLeadAgency"/>
              <w:rPr>
                <w:b/>
                <w:bCs/>
              </w:rPr>
            </w:pPr>
            <w:r w:rsidRPr="009E7CA0">
              <w:rPr>
                <w:b/>
                <w:bCs/>
              </w:rPr>
              <w:lastRenderedPageBreak/>
              <w:t xml:space="preserve"> TSY </w:t>
            </w:r>
          </w:p>
          <w:p w14:paraId="6DBAAE00" w14:textId="77777777" w:rsidR="00761977" w:rsidRPr="002B4455" w:rsidRDefault="00761977" w:rsidP="002B4455">
            <w:pPr>
              <w:pStyle w:val="TableSecondaryAgency"/>
              <w:rPr>
                <w:b w:val="0"/>
              </w:rPr>
            </w:pPr>
            <w:r w:rsidRPr="002B4455">
              <w:rPr>
                <w:b w:val="0"/>
              </w:rPr>
              <w:t>ATO</w:t>
            </w:r>
          </w:p>
        </w:tc>
        <w:tc>
          <w:tcPr>
            <w:tcW w:w="1405" w:type="dxa"/>
            <w:tcBorders>
              <w:top w:val="single" w:sz="4" w:space="0" w:color="BCE4CF"/>
              <w:bottom w:val="single" w:sz="4" w:space="0" w:color="BCE4CF"/>
            </w:tcBorders>
          </w:tcPr>
          <w:p w14:paraId="2DB2371A"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Superannuation and retirement income</w:t>
            </w:r>
          </w:p>
          <w:p w14:paraId="28F8B916"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Payment services and digital assets</w:t>
            </w:r>
          </w:p>
        </w:tc>
        <w:tc>
          <w:tcPr>
            <w:tcW w:w="2775" w:type="dxa"/>
            <w:gridSpan w:val="2"/>
            <w:tcBorders>
              <w:top w:val="single" w:sz="4" w:space="0" w:color="BCE4CF"/>
              <w:bottom w:val="single" w:sz="4" w:space="0" w:color="BCE4CF"/>
            </w:tcBorders>
          </w:tcPr>
          <w:p w14:paraId="68E15642" w14:textId="77777777" w:rsidR="00761977" w:rsidRPr="009E7CA0" w:rsidRDefault="00761977" w:rsidP="007B705A">
            <w:pPr>
              <w:pStyle w:val="TableLink"/>
              <w:cnfStyle w:val="000000000000" w:firstRow="0" w:lastRow="0" w:firstColumn="0" w:lastColumn="0" w:oddVBand="0" w:evenVBand="0" w:oddHBand="0" w:evenHBand="0" w:firstRowFirstColumn="0" w:firstRowLastColumn="0" w:lastRowFirstColumn="0" w:lastRowLastColumn="0"/>
            </w:pPr>
            <w:hyperlink r:id="rId74" w:history="1">
              <w:r w:rsidRPr="009E7CA0">
                <w:t>Payday superannuation</w:t>
              </w:r>
            </w:hyperlink>
            <w:r w:rsidRPr="009E7CA0">
              <w:t xml:space="preserve"> </w:t>
            </w:r>
            <w:hyperlink r:id="rId75" w:anchor="ato-4253PaydaySuperupdated" w:history="1">
              <w:r w:rsidRPr="009E7CA0">
                <w:t>(ATO guidance reference number 4253)</w:t>
              </w:r>
            </w:hyperlink>
          </w:p>
          <w:p w14:paraId="27B716F1" w14:textId="77777777" w:rsidR="00761977" w:rsidRPr="009E7CA0" w:rsidRDefault="00761977" w:rsidP="006D26F1">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The </w:t>
            </w:r>
            <w:r w:rsidRPr="009E7CA0">
              <w:rPr>
                <w:i/>
              </w:rPr>
              <w:t>Treasury Laws Amendment (Payday Superannuation) Act 2025</w:t>
            </w:r>
            <w:r w:rsidRPr="009E7CA0">
              <w:t xml:space="preserve"> was enacted on 6 November 2025. The Act requires employers to align the frequency of the payment of their employees’ superannuation with their salary and wages. Specifically, employers will become liable for the updated superannuation guarantee charge if superannuation contributions are not received by their employees’ superannuation fund within 7 days of ‘payday’. Employer obligations commence on 1 July 2026</w:t>
            </w:r>
            <w:r w:rsidRPr="009E7CA0" w:rsidDel="00791014">
              <w:t>.</w:t>
            </w:r>
            <w:r w:rsidRPr="009E7CA0">
              <w:t xml:space="preserve"> </w:t>
            </w:r>
          </w:p>
          <w:p w14:paraId="35F7E3C8" w14:textId="77777777" w:rsidR="00761977" w:rsidRPr="009E7CA0" w:rsidRDefault="00761977" w:rsidP="00E573EA">
            <w:pPr>
              <w:pStyle w:val="TableTextLeft"/>
              <w:cnfStyle w:val="000000000000" w:firstRow="0" w:lastRow="0" w:firstColumn="0" w:lastColumn="0" w:oddVBand="0" w:evenVBand="0" w:oddHBand="0" w:evenHBand="0" w:firstRowFirstColumn="0" w:firstRowLastColumn="0" w:lastRowFirstColumn="0" w:lastRowLastColumn="0"/>
              <w:rPr>
                <w:sz w:val="16"/>
              </w:rPr>
            </w:pPr>
          </w:p>
          <w:p w14:paraId="01EA4D65" w14:textId="77777777" w:rsidR="00761977" w:rsidRPr="009E7CA0" w:rsidRDefault="00761977" w:rsidP="006D26F1">
            <w:pPr>
              <w:pStyle w:val="TableTextLeft"/>
              <w:cnfStyle w:val="000000000000" w:firstRow="0" w:lastRow="0" w:firstColumn="0" w:lastColumn="0" w:oddVBand="0" w:evenVBand="0" w:oddHBand="0" w:evenHBand="0" w:firstRowFirstColumn="0" w:firstRowLastColumn="0" w:lastRowFirstColumn="0" w:lastRowLastColumn="0"/>
            </w:pPr>
            <w:r w:rsidRPr="009E7CA0">
              <w:t>On 18 March 2026, to assist the implementation of the legislation, the ATO issued the following Draft Law Companion Rulings:</w:t>
            </w:r>
          </w:p>
          <w:p w14:paraId="14A7D816" w14:textId="77777777" w:rsidR="00761977" w:rsidRPr="009E7CA0" w:rsidRDefault="00761977" w:rsidP="00141869">
            <w:pPr>
              <w:pStyle w:val="Bullet"/>
              <w:cnfStyle w:val="000000000000" w:firstRow="0" w:lastRow="0" w:firstColumn="0" w:lastColumn="0" w:oddVBand="0" w:evenVBand="0" w:oddHBand="0" w:evenHBand="0" w:firstRowFirstColumn="0" w:firstRowLastColumn="0" w:lastRowFirstColumn="0" w:lastRowLastColumn="0"/>
              <w:rPr>
                <w:rStyle w:val="Hyperlink"/>
                <w:bCs/>
                <w:i/>
                <w:iCs/>
                <w:color w:val="auto"/>
                <w:sz w:val="18"/>
                <w:szCs w:val="18"/>
              </w:rPr>
            </w:pPr>
            <w:hyperlink r:id="rId76" w:history="1">
              <w:r w:rsidRPr="009E7CA0">
                <w:rPr>
                  <w:rStyle w:val="Hyperlink"/>
                  <w:bCs/>
                  <w:color w:val="auto"/>
                  <w:sz w:val="18"/>
                  <w:szCs w:val="18"/>
                </w:rPr>
                <w:t>LCR 2026/D1</w:t>
              </w:r>
            </w:hyperlink>
            <w:r w:rsidRPr="009E7CA0">
              <w:rPr>
                <w:rStyle w:val="Hyperlink"/>
                <w:bCs/>
                <w:color w:val="auto"/>
                <w:sz w:val="18"/>
                <w:szCs w:val="18"/>
              </w:rPr>
              <w:t xml:space="preserve"> </w:t>
            </w:r>
            <w:r w:rsidRPr="009E7CA0">
              <w:rPr>
                <w:rStyle w:val="Hyperlink"/>
                <w:bCs/>
                <w:i/>
                <w:iCs/>
                <w:color w:val="auto"/>
                <w:sz w:val="18"/>
                <w:szCs w:val="18"/>
              </w:rPr>
              <w:t>Payday Super: qualifying earnings</w:t>
            </w:r>
          </w:p>
          <w:p w14:paraId="061986E9" w14:textId="77777777" w:rsidR="00761977" w:rsidRPr="009E7CA0" w:rsidRDefault="00761977" w:rsidP="00141869">
            <w:pPr>
              <w:pStyle w:val="Bullet"/>
              <w:cnfStyle w:val="000000000000" w:firstRow="0" w:lastRow="0" w:firstColumn="0" w:lastColumn="0" w:oddVBand="0" w:evenVBand="0" w:oddHBand="0" w:evenHBand="0" w:firstRowFirstColumn="0" w:firstRowLastColumn="0" w:lastRowFirstColumn="0" w:lastRowLastColumn="0"/>
              <w:rPr>
                <w:rStyle w:val="Hyperlink"/>
                <w:bCs/>
                <w:i/>
                <w:iCs/>
                <w:color w:val="auto"/>
                <w:sz w:val="18"/>
                <w:szCs w:val="18"/>
              </w:rPr>
            </w:pPr>
            <w:hyperlink r:id="rId77" w:history="1">
              <w:r w:rsidRPr="009E7CA0">
                <w:rPr>
                  <w:rStyle w:val="Hyperlink"/>
                  <w:bCs/>
                  <w:color w:val="auto"/>
                  <w:sz w:val="18"/>
                  <w:szCs w:val="18"/>
                </w:rPr>
                <w:t>LCR 2026/D2</w:t>
              </w:r>
            </w:hyperlink>
            <w:r w:rsidRPr="009E7CA0">
              <w:rPr>
                <w:rStyle w:val="Hyperlink"/>
                <w:bCs/>
                <w:color w:val="auto"/>
                <w:sz w:val="18"/>
                <w:szCs w:val="18"/>
              </w:rPr>
              <w:t xml:space="preserve"> </w:t>
            </w:r>
            <w:r w:rsidRPr="009E7CA0">
              <w:rPr>
                <w:rStyle w:val="Hyperlink"/>
                <w:bCs/>
                <w:i/>
                <w:iCs/>
                <w:color w:val="auto"/>
                <w:sz w:val="18"/>
                <w:szCs w:val="18"/>
              </w:rPr>
              <w:t>Payday Super: eligible contributions</w:t>
            </w:r>
          </w:p>
          <w:p w14:paraId="1C5944A1" w14:textId="77777777" w:rsidR="00761977" w:rsidRPr="009E7CA0" w:rsidRDefault="00761977" w:rsidP="00141869">
            <w:pPr>
              <w:pStyle w:val="Bullet"/>
              <w:cnfStyle w:val="000000000000" w:firstRow="0" w:lastRow="0" w:firstColumn="0" w:lastColumn="0" w:oddVBand="0" w:evenVBand="0" w:oddHBand="0" w:evenHBand="0" w:firstRowFirstColumn="0" w:firstRowLastColumn="0" w:lastRowFirstColumn="0" w:lastRowLastColumn="0"/>
              <w:rPr>
                <w:rStyle w:val="Hyperlink"/>
                <w:bCs/>
                <w:color w:val="auto"/>
                <w:sz w:val="18"/>
                <w:szCs w:val="18"/>
              </w:rPr>
            </w:pPr>
            <w:hyperlink r:id="rId78" w:history="1">
              <w:r w:rsidRPr="009E7CA0">
                <w:rPr>
                  <w:rStyle w:val="Hyperlink"/>
                  <w:bCs/>
                  <w:color w:val="auto"/>
                  <w:sz w:val="18"/>
                  <w:szCs w:val="18"/>
                </w:rPr>
                <w:t>LCR 2026/D3</w:t>
              </w:r>
            </w:hyperlink>
            <w:r w:rsidRPr="009E7CA0">
              <w:rPr>
                <w:rStyle w:val="Hyperlink"/>
                <w:bCs/>
                <w:color w:val="auto"/>
                <w:sz w:val="18"/>
                <w:szCs w:val="18"/>
              </w:rPr>
              <w:t xml:space="preserve"> </w:t>
            </w:r>
            <w:r w:rsidRPr="009E7CA0">
              <w:rPr>
                <w:rStyle w:val="Hyperlink"/>
                <w:bCs/>
                <w:i/>
                <w:iCs/>
                <w:color w:val="auto"/>
                <w:sz w:val="18"/>
                <w:szCs w:val="18"/>
              </w:rPr>
              <w:t>Payday Super: calculation and assessment of the superannuation guarantee charge</w:t>
            </w:r>
          </w:p>
          <w:p w14:paraId="27AA9FDE" w14:textId="77777777" w:rsidR="00761977" w:rsidRPr="009E7CA0" w:rsidRDefault="00761977" w:rsidP="00141869">
            <w:pPr>
              <w:pStyle w:val="Bullet"/>
              <w:cnfStyle w:val="000000000000" w:firstRow="0" w:lastRow="0" w:firstColumn="0" w:lastColumn="0" w:oddVBand="0" w:evenVBand="0" w:oddHBand="0" w:evenHBand="0" w:firstRowFirstColumn="0" w:firstRowLastColumn="0" w:lastRowFirstColumn="0" w:lastRowLastColumn="0"/>
              <w:rPr>
                <w:sz w:val="16"/>
              </w:rPr>
            </w:pPr>
            <w:hyperlink r:id="rId79" w:history="1">
              <w:r w:rsidRPr="009E7CA0">
                <w:rPr>
                  <w:rStyle w:val="Hyperlink"/>
                  <w:bCs/>
                  <w:color w:val="auto"/>
                  <w:sz w:val="18"/>
                  <w:szCs w:val="18"/>
                </w:rPr>
                <w:t>LCR 2026/D4</w:t>
              </w:r>
            </w:hyperlink>
            <w:r w:rsidRPr="009E7CA0">
              <w:rPr>
                <w:rStyle w:val="Hyperlink"/>
                <w:bCs/>
                <w:color w:val="auto"/>
                <w:sz w:val="18"/>
                <w:szCs w:val="18"/>
              </w:rPr>
              <w:t xml:space="preserve"> </w:t>
            </w:r>
            <w:r w:rsidRPr="009E7CA0">
              <w:rPr>
                <w:rStyle w:val="Hyperlink"/>
                <w:bCs/>
                <w:i/>
                <w:iCs/>
                <w:color w:val="auto"/>
                <w:sz w:val="18"/>
                <w:szCs w:val="18"/>
              </w:rPr>
              <w:t>Payday Super: application and transitional provisions.</w:t>
            </w:r>
          </w:p>
        </w:tc>
        <w:tc>
          <w:tcPr>
            <w:tcW w:w="1458" w:type="dxa"/>
            <w:gridSpan w:val="2"/>
            <w:tcBorders>
              <w:top w:val="single" w:sz="4" w:space="0" w:color="BCE4CF"/>
              <w:bottom w:val="single" w:sz="4" w:space="0" w:color="BCE4CF"/>
            </w:tcBorders>
            <w:shd w:val="clear" w:color="auto" w:fill="ECF7F1"/>
          </w:tcPr>
          <w:p w14:paraId="57C3D725" w14:textId="578929FA" w:rsidR="00761977" w:rsidRPr="009E7CA0" w:rsidRDefault="00761977" w:rsidP="004E6972">
            <w:pPr>
              <w:pStyle w:val="TableTextLeft"/>
              <w:cnfStyle w:val="000000000000" w:firstRow="0" w:lastRow="0" w:firstColumn="0" w:lastColumn="0" w:oddVBand="0" w:evenVBand="0" w:oddHBand="0" w:evenHBand="0" w:firstRowFirstColumn="0" w:firstRowLastColumn="0" w:lastRowFirstColumn="0" w:lastRowLastColumn="0"/>
            </w:pPr>
            <w:r w:rsidRPr="009E7CA0">
              <w:rPr>
                <w:lang w:eastAsia="ja-JP"/>
              </w:rPr>
              <w:t>Public consultation on draft ATO public advice and guidance</w:t>
            </w:r>
            <w:r w:rsidR="00337F57">
              <w:rPr>
                <w:lang w:eastAsia="ja-JP"/>
              </w:rPr>
              <w:t>.</w:t>
            </w:r>
            <w:r w:rsidRPr="009E7CA0">
              <w:rPr>
                <w:lang w:eastAsia="ja-JP"/>
              </w:rPr>
              <w:t>*</w:t>
            </w:r>
          </w:p>
        </w:tc>
        <w:tc>
          <w:tcPr>
            <w:tcW w:w="1446" w:type="dxa"/>
            <w:gridSpan w:val="2"/>
            <w:tcBorders>
              <w:top w:val="single" w:sz="4" w:space="0" w:color="BCE4CF"/>
              <w:bottom w:val="single" w:sz="4" w:space="0" w:color="BCE4CF"/>
            </w:tcBorders>
            <w:shd w:val="clear" w:color="auto" w:fill="ECF7F1"/>
          </w:tcPr>
          <w:p w14:paraId="0F219BEF" w14:textId="77777777" w:rsidR="00761977" w:rsidRPr="009E7CA0" w:rsidRDefault="00761977" w:rsidP="004E6972">
            <w:pPr>
              <w:pStyle w:val="TableTextLeft"/>
              <w:cnfStyle w:val="000000000000" w:firstRow="0" w:lastRow="0" w:firstColumn="0" w:lastColumn="0" w:oddVBand="0" w:evenVBand="0" w:oddHBand="0" w:evenHBand="0" w:firstRowFirstColumn="0" w:firstRowLastColumn="0" w:lastRowFirstColumn="0" w:lastRowLastColumn="0"/>
            </w:pPr>
            <w:r w:rsidRPr="009E7CA0">
              <w:t>1 July 2026 payday superannuation commences.</w:t>
            </w:r>
          </w:p>
        </w:tc>
        <w:tc>
          <w:tcPr>
            <w:tcW w:w="1409" w:type="dxa"/>
            <w:tcBorders>
              <w:top w:val="single" w:sz="4" w:space="0" w:color="BCE4CF"/>
              <w:bottom w:val="single" w:sz="4" w:space="0" w:color="BCE4CF"/>
            </w:tcBorders>
            <w:shd w:val="clear" w:color="auto" w:fill="ECF7F1"/>
          </w:tcPr>
          <w:p w14:paraId="1767CC1C"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276" w:type="dxa"/>
            <w:tcBorders>
              <w:top w:val="single" w:sz="4" w:space="0" w:color="BCE4CF"/>
              <w:bottom w:val="single" w:sz="4" w:space="0" w:color="BCE4CF"/>
            </w:tcBorders>
            <w:shd w:val="clear" w:color="auto" w:fill="F5FBF8"/>
          </w:tcPr>
          <w:p w14:paraId="040E0F10"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312" w:type="dxa"/>
            <w:tcBorders>
              <w:top w:val="single" w:sz="4" w:space="0" w:color="BCE4CF"/>
              <w:bottom w:val="single" w:sz="4" w:space="0" w:color="BCE4CF"/>
            </w:tcBorders>
            <w:shd w:val="clear" w:color="auto" w:fill="F5FBF8"/>
          </w:tcPr>
          <w:p w14:paraId="2A6497D4"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097" w:type="dxa"/>
            <w:gridSpan w:val="2"/>
            <w:tcBorders>
              <w:top w:val="single" w:sz="4" w:space="0" w:color="BCE4CF"/>
              <w:bottom w:val="single" w:sz="4" w:space="0" w:color="BCE4CF"/>
            </w:tcBorders>
            <w:shd w:val="clear" w:color="auto" w:fill="F5FBF8"/>
          </w:tcPr>
          <w:p w14:paraId="702170A3"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4DEB0823"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49020504"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4BE10BCF" w14:textId="77777777" w:rsidR="00761977" w:rsidRPr="009E7CA0" w:rsidRDefault="00761977" w:rsidP="00DA0B22">
            <w:pPr>
              <w:pStyle w:val="TableLeadAgency"/>
              <w:rPr>
                <w:b/>
                <w:bCs/>
              </w:rPr>
            </w:pPr>
            <w:r w:rsidRPr="009E7CA0">
              <w:rPr>
                <w:b/>
                <w:bCs/>
              </w:rPr>
              <w:lastRenderedPageBreak/>
              <w:t>TSY</w:t>
            </w:r>
          </w:p>
          <w:p w14:paraId="138ED6FF" w14:textId="77777777" w:rsidR="00761977" w:rsidRPr="00124D79" w:rsidRDefault="00761977" w:rsidP="00124D79">
            <w:pPr>
              <w:pStyle w:val="TableSecondaryAgency"/>
              <w:rPr>
                <w:b w:val="0"/>
              </w:rPr>
            </w:pPr>
            <w:r w:rsidRPr="00124D79">
              <w:rPr>
                <w:b w:val="0"/>
              </w:rPr>
              <w:t>ASIC</w:t>
            </w:r>
          </w:p>
          <w:p w14:paraId="69DAC376" w14:textId="77777777" w:rsidR="00761977" w:rsidRPr="009E7CA0" w:rsidRDefault="00761977" w:rsidP="00124D79">
            <w:pPr>
              <w:pStyle w:val="TableSecondaryAgency"/>
              <w:rPr>
                <w:b w:val="0"/>
                <w:bCs/>
              </w:rPr>
            </w:pPr>
            <w:r w:rsidRPr="00124D79">
              <w:rPr>
                <w:b w:val="0"/>
              </w:rPr>
              <w:t>ATO</w:t>
            </w:r>
          </w:p>
        </w:tc>
        <w:tc>
          <w:tcPr>
            <w:tcW w:w="1405" w:type="dxa"/>
            <w:tcBorders>
              <w:top w:val="single" w:sz="4" w:space="0" w:color="BCE4CF"/>
              <w:bottom w:val="single" w:sz="4" w:space="0" w:color="BCE4CF"/>
            </w:tcBorders>
          </w:tcPr>
          <w:p w14:paraId="08896302"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Superannuation and retirement income</w:t>
            </w:r>
          </w:p>
        </w:tc>
        <w:tc>
          <w:tcPr>
            <w:tcW w:w="2775" w:type="dxa"/>
            <w:gridSpan w:val="2"/>
            <w:tcBorders>
              <w:top w:val="single" w:sz="4" w:space="0" w:color="BCE4CF"/>
              <w:bottom w:val="single" w:sz="4" w:space="0" w:color="BCE4CF"/>
            </w:tcBorders>
          </w:tcPr>
          <w:p w14:paraId="19A7EEBD" w14:textId="77777777" w:rsidR="00761977" w:rsidRPr="009E7CA0" w:rsidRDefault="00761977" w:rsidP="007B705A">
            <w:pPr>
              <w:pStyle w:val="TableLink"/>
              <w:cnfStyle w:val="000000000000" w:firstRow="0" w:lastRow="0" w:firstColumn="0" w:lastColumn="0" w:oddVBand="0" w:evenVBand="0" w:oddHBand="0" w:evenHBand="0" w:firstRowFirstColumn="0" w:firstRowLastColumn="0" w:lastRowFirstColumn="0" w:lastRowLastColumn="0"/>
              <w:rPr>
                <w:sz w:val="16"/>
              </w:rPr>
            </w:pPr>
            <w:hyperlink r:id="rId80" w:history="1">
              <w:r w:rsidRPr="009E7CA0">
                <w:t>Superannuation stapling and advertising ban</w:t>
              </w:r>
            </w:hyperlink>
            <w:r w:rsidRPr="009E7CA0">
              <w:rPr>
                <w:sz w:val="16"/>
              </w:rPr>
              <w:t xml:space="preserve"> </w:t>
            </w:r>
            <w:r w:rsidRPr="009E7CA0">
              <w:rPr>
                <w:bCs/>
                <w:color w:val="4D7861" w:themeColor="accent2"/>
              </w:rPr>
              <w:t>(new)</w:t>
            </w:r>
          </w:p>
          <w:p w14:paraId="5A7E862D" w14:textId="77777777" w:rsidR="00761977" w:rsidRPr="009E7CA0" w:rsidRDefault="00761977" w:rsidP="00886833">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The Treasury Laws Amendment (Supporting Choice in Superannuation and Other Measures) </w:t>
            </w:r>
            <w:r w:rsidRPr="009E7CA0">
              <w:rPr>
                <w:iCs/>
              </w:rPr>
              <w:t xml:space="preserve">Act 2026 </w:t>
            </w:r>
            <w:r w:rsidRPr="009E7CA0">
              <w:t xml:space="preserve">passed Parliament and received Royal Assent on 26 March 2026. </w:t>
            </w:r>
          </w:p>
          <w:p w14:paraId="42EE4B0F" w14:textId="77777777" w:rsidR="00761977" w:rsidRPr="009E7CA0" w:rsidRDefault="00761977" w:rsidP="00E573EA">
            <w:pPr>
              <w:pStyle w:val="TableTextLeft"/>
              <w:cnfStyle w:val="000000000000" w:firstRow="0" w:lastRow="0" w:firstColumn="0" w:lastColumn="0" w:oddVBand="0" w:evenVBand="0" w:oddHBand="0" w:evenHBand="0" w:firstRowFirstColumn="0" w:firstRowLastColumn="0" w:lastRowFirstColumn="0" w:lastRowLastColumn="0"/>
              <w:rPr>
                <w:sz w:val="16"/>
              </w:rPr>
            </w:pPr>
          </w:p>
          <w:p w14:paraId="4AC248B4" w14:textId="77777777" w:rsidR="00761977" w:rsidRPr="009E7CA0" w:rsidRDefault="00761977" w:rsidP="00886833">
            <w:pPr>
              <w:pStyle w:val="TableTextLeft"/>
              <w:cnfStyle w:val="000000000000" w:firstRow="0" w:lastRow="0" w:firstColumn="0" w:lastColumn="0" w:oddVBand="0" w:evenVBand="0" w:oddHBand="0" w:evenHBand="0" w:firstRowFirstColumn="0" w:firstRowLastColumn="0" w:lastRowFirstColumn="0" w:lastRowLastColumn="0"/>
            </w:pPr>
            <w:r w:rsidRPr="009E7CA0">
              <w:t>The Act includes amendments to the choice of superannuation fund process and imposes a ban on advertising superannuation products (with certain exceptions) during employee onboarding.</w:t>
            </w:r>
          </w:p>
        </w:tc>
        <w:tc>
          <w:tcPr>
            <w:tcW w:w="1458" w:type="dxa"/>
            <w:gridSpan w:val="2"/>
            <w:tcBorders>
              <w:top w:val="single" w:sz="4" w:space="0" w:color="BCE4CF"/>
              <w:bottom w:val="single" w:sz="4" w:space="0" w:color="BCE4CF"/>
            </w:tcBorders>
            <w:shd w:val="clear" w:color="auto" w:fill="ECF7F1"/>
          </w:tcPr>
          <w:p w14:paraId="1A6BFB75" w14:textId="77777777" w:rsidR="00761977" w:rsidRPr="009E7CA0" w:rsidRDefault="00761977" w:rsidP="00886833">
            <w:pPr>
              <w:pStyle w:val="TableTextLeft"/>
              <w:cnfStyle w:val="000000000000" w:firstRow="0" w:lastRow="0" w:firstColumn="0" w:lastColumn="0" w:oddVBand="0" w:evenVBand="0" w:oddHBand="0" w:evenHBand="0" w:firstRowFirstColumn="0" w:firstRowLastColumn="0" w:lastRowFirstColumn="0" w:lastRowLastColumn="0"/>
            </w:pPr>
          </w:p>
        </w:tc>
        <w:tc>
          <w:tcPr>
            <w:tcW w:w="1446" w:type="dxa"/>
            <w:gridSpan w:val="2"/>
            <w:tcBorders>
              <w:top w:val="single" w:sz="4" w:space="0" w:color="BCE4CF"/>
              <w:bottom w:val="single" w:sz="4" w:space="0" w:color="BCE4CF"/>
            </w:tcBorders>
            <w:shd w:val="clear" w:color="auto" w:fill="ECF7F1"/>
          </w:tcPr>
          <w:p w14:paraId="3B9A77B8" w14:textId="5EF76013" w:rsidR="00761977" w:rsidRPr="009E7CA0" w:rsidRDefault="00761977" w:rsidP="00886833">
            <w:pPr>
              <w:pStyle w:val="TableTextLeft"/>
              <w:cnfStyle w:val="000000000000" w:firstRow="0" w:lastRow="0" w:firstColumn="0" w:lastColumn="0" w:oddVBand="0" w:evenVBand="0" w:oddHBand="0" w:evenHBand="0" w:firstRowFirstColumn="0" w:firstRowLastColumn="0" w:lastRowFirstColumn="0" w:lastRowLastColumn="0"/>
            </w:pPr>
            <w:r w:rsidRPr="009E7CA0">
              <w:t>1 July 2026 superannuation advertising ban</w:t>
            </w:r>
            <w:r w:rsidR="00D94BB8">
              <w:t xml:space="preserve"> </w:t>
            </w:r>
            <w:r w:rsidRPr="009E7CA0">
              <w:t>commences</w:t>
            </w:r>
            <w:r w:rsidR="00D94BB8">
              <w:t>.</w:t>
            </w:r>
            <w:r w:rsidRPr="009E7CA0">
              <w:t xml:space="preserve">  </w:t>
            </w:r>
          </w:p>
        </w:tc>
        <w:tc>
          <w:tcPr>
            <w:tcW w:w="1409" w:type="dxa"/>
            <w:tcBorders>
              <w:top w:val="single" w:sz="4" w:space="0" w:color="BCE4CF"/>
              <w:bottom w:val="single" w:sz="4" w:space="0" w:color="BCE4CF"/>
            </w:tcBorders>
            <w:shd w:val="clear" w:color="auto" w:fill="ECF7F1"/>
          </w:tcPr>
          <w:p w14:paraId="2FEF9ADF" w14:textId="77777777" w:rsidR="00761977" w:rsidRPr="009E7CA0" w:rsidRDefault="00761977" w:rsidP="00886833">
            <w:pPr>
              <w:pStyle w:val="TableTextLeft"/>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BCE4CF"/>
              <w:bottom w:val="single" w:sz="4" w:space="0" w:color="BCE4CF"/>
            </w:tcBorders>
            <w:shd w:val="clear" w:color="auto" w:fill="F5FBF8"/>
          </w:tcPr>
          <w:p w14:paraId="16152C5D" w14:textId="77777777" w:rsidR="00761977" w:rsidRPr="009E7CA0" w:rsidRDefault="00761977" w:rsidP="00886833">
            <w:pPr>
              <w:pStyle w:val="TableTextLeft"/>
              <w:cnfStyle w:val="000000000000" w:firstRow="0" w:lastRow="0" w:firstColumn="0" w:lastColumn="0" w:oddVBand="0" w:evenVBand="0" w:oddHBand="0" w:evenHBand="0" w:firstRowFirstColumn="0" w:firstRowLastColumn="0" w:lastRowFirstColumn="0" w:lastRowLastColumn="0"/>
            </w:pPr>
          </w:p>
        </w:tc>
        <w:tc>
          <w:tcPr>
            <w:tcW w:w="1312" w:type="dxa"/>
            <w:tcBorders>
              <w:top w:val="single" w:sz="4" w:space="0" w:color="BCE4CF"/>
              <w:bottom w:val="single" w:sz="4" w:space="0" w:color="BCE4CF"/>
            </w:tcBorders>
            <w:shd w:val="clear" w:color="auto" w:fill="F5FBF8"/>
          </w:tcPr>
          <w:p w14:paraId="4553ACF9" w14:textId="77777777" w:rsidR="00761977" w:rsidRPr="009E7CA0" w:rsidRDefault="00761977" w:rsidP="00886833">
            <w:pPr>
              <w:pStyle w:val="TableTextLeft"/>
              <w:cnfStyle w:val="000000000000" w:firstRow="0" w:lastRow="0" w:firstColumn="0" w:lastColumn="0" w:oddVBand="0" w:evenVBand="0" w:oddHBand="0" w:evenHBand="0" w:firstRowFirstColumn="0" w:firstRowLastColumn="0" w:lastRowFirstColumn="0" w:lastRowLastColumn="0"/>
            </w:pPr>
          </w:p>
        </w:tc>
        <w:tc>
          <w:tcPr>
            <w:tcW w:w="1097" w:type="dxa"/>
            <w:gridSpan w:val="2"/>
            <w:tcBorders>
              <w:top w:val="single" w:sz="4" w:space="0" w:color="BCE4CF"/>
              <w:bottom w:val="single" w:sz="4" w:space="0" w:color="BCE4CF"/>
            </w:tcBorders>
            <w:shd w:val="clear" w:color="auto" w:fill="F5FBF8"/>
          </w:tcPr>
          <w:p w14:paraId="361FA759" w14:textId="77777777" w:rsidR="00761977" w:rsidRPr="009E7CA0" w:rsidRDefault="00761977" w:rsidP="00886833">
            <w:pPr>
              <w:pStyle w:val="TableTextLeft"/>
              <w:cnfStyle w:val="000000000000" w:firstRow="0" w:lastRow="0" w:firstColumn="0" w:lastColumn="0" w:oddVBand="0" w:evenVBand="0" w:oddHBand="0" w:evenHBand="0" w:firstRowFirstColumn="0" w:firstRowLastColumn="0" w:lastRowFirstColumn="0" w:lastRowLastColumn="0"/>
            </w:pPr>
          </w:p>
        </w:tc>
        <w:tc>
          <w:tcPr>
            <w:tcW w:w="964" w:type="dxa"/>
            <w:gridSpan w:val="2"/>
            <w:tcBorders>
              <w:top w:val="single" w:sz="4" w:space="0" w:color="BCE4CF"/>
              <w:bottom w:val="single" w:sz="4" w:space="0" w:color="BCE4CF"/>
            </w:tcBorders>
            <w:shd w:val="clear" w:color="auto" w:fill="F5FBF8"/>
          </w:tcPr>
          <w:p w14:paraId="7763C178" w14:textId="77777777" w:rsidR="00761977" w:rsidRPr="009E7CA0" w:rsidRDefault="00761977" w:rsidP="00886833">
            <w:pPr>
              <w:pStyle w:val="TableTextLeft"/>
              <w:cnfStyle w:val="000000000000" w:firstRow="0" w:lastRow="0" w:firstColumn="0" w:lastColumn="0" w:oddVBand="0" w:evenVBand="0" w:oddHBand="0" w:evenHBand="0" w:firstRowFirstColumn="0" w:firstRowLastColumn="0" w:lastRowFirstColumn="0" w:lastRowLastColumn="0"/>
            </w:pPr>
          </w:p>
        </w:tc>
      </w:tr>
      <w:tr w:rsidR="00B67E23" w:rsidRPr="009E7CA0" w14:paraId="03CA49BD"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6D873DFF" w14:textId="77777777" w:rsidR="00761977" w:rsidRPr="009E7CA0" w:rsidRDefault="00761977" w:rsidP="00DA0B22">
            <w:pPr>
              <w:pStyle w:val="TableLeadAgency"/>
              <w:rPr>
                <w:b/>
                <w:bCs/>
              </w:rPr>
            </w:pPr>
            <w:r w:rsidRPr="009E7CA0">
              <w:rPr>
                <w:b/>
                <w:bCs/>
              </w:rPr>
              <w:t xml:space="preserve">TSY </w:t>
            </w:r>
          </w:p>
          <w:p w14:paraId="78624DC7" w14:textId="77777777" w:rsidR="00761977" w:rsidRPr="00124D79" w:rsidRDefault="00761977" w:rsidP="00124D79">
            <w:pPr>
              <w:pStyle w:val="TableSecondaryAgency"/>
              <w:rPr>
                <w:b w:val="0"/>
              </w:rPr>
            </w:pPr>
            <w:r w:rsidRPr="00124D79">
              <w:rPr>
                <w:b w:val="0"/>
              </w:rPr>
              <w:t>ASIC</w:t>
            </w:r>
          </w:p>
          <w:p w14:paraId="6E4ECC18" w14:textId="77777777" w:rsidR="00761977" w:rsidRPr="009E7CA0" w:rsidRDefault="00761977" w:rsidP="00124D79">
            <w:pPr>
              <w:pStyle w:val="TableSecondaryAgency"/>
              <w:rPr>
                <w:b w:val="0"/>
                <w:bCs/>
              </w:rPr>
            </w:pPr>
            <w:r w:rsidRPr="00124D79">
              <w:rPr>
                <w:b w:val="0"/>
              </w:rPr>
              <w:t>APRA</w:t>
            </w:r>
          </w:p>
        </w:tc>
        <w:tc>
          <w:tcPr>
            <w:tcW w:w="1405" w:type="dxa"/>
            <w:tcBorders>
              <w:top w:val="single" w:sz="4" w:space="0" w:color="BCE4CF"/>
              <w:bottom w:val="single" w:sz="4" w:space="0" w:color="BCE4CF"/>
            </w:tcBorders>
          </w:tcPr>
          <w:p w14:paraId="5FF897D9"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Payment services and digital assets</w:t>
            </w:r>
          </w:p>
        </w:tc>
        <w:tc>
          <w:tcPr>
            <w:tcW w:w="2775" w:type="dxa"/>
            <w:gridSpan w:val="2"/>
            <w:tcBorders>
              <w:top w:val="single" w:sz="4" w:space="0" w:color="BCE4CF"/>
              <w:bottom w:val="single" w:sz="4" w:space="0" w:color="BCE4CF"/>
            </w:tcBorders>
          </w:tcPr>
          <w:p w14:paraId="5EE645A8" w14:textId="77777777" w:rsidR="00761977" w:rsidRPr="009E7CA0" w:rsidRDefault="00761977" w:rsidP="007B705A">
            <w:pPr>
              <w:pStyle w:val="TableLink"/>
              <w:cnfStyle w:val="000000000000" w:firstRow="0" w:lastRow="0" w:firstColumn="0" w:lastColumn="0" w:oddVBand="0" w:evenVBand="0" w:oddHBand="0" w:evenHBand="0" w:firstRowFirstColumn="0" w:firstRowLastColumn="0" w:lastRowFirstColumn="0" w:lastRowLastColumn="0"/>
            </w:pPr>
            <w:hyperlink r:id="rId81" w:history="1">
              <w:r w:rsidRPr="009E7CA0">
                <w:t>Payments system modernisation (regulation of payment service providers)</w:t>
              </w:r>
            </w:hyperlink>
          </w:p>
          <w:p w14:paraId="430B3877" w14:textId="77777777" w:rsidR="00761977" w:rsidRPr="009E7CA0" w:rsidRDefault="00761977" w:rsidP="00886833">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The proposed reforms include a licensing framework for payment service providers (PSPs) and will ensure their regulation is fit for purpose and consistent. </w:t>
            </w:r>
          </w:p>
          <w:p w14:paraId="2081FF6E" w14:textId="77777777" w:rsidR="00761977" w:rsidRPr="009E7CA0" w:rsidRDefault="00761977" w:rsidP="00B64C94">
            <w:pPr>
              <w:pStyle w:val="TableTextLeft"/>
              <w:cnfStyle w:val="000000000000" w:firstRow="0" w:lastRow="0" w:firstColumn="0" w:lastColumn="0" w:oddVBand="0" w:evenVBand="0" w:oddHBand="0" w:evenHBand="0" w:firstRowFirstColumn="0" w:firstRowLastColumn="0" w:lastRowFirstColumn="0" w:lastRowLastColumn="0"/>
            </w:pPr>
            <w:r w:rsidRPr="009E7CA0">
              <w:t>The reforms will be implemented in 2 tranches with the core licensing framework in the first tranche.</w:t>
            </w:r>
          </w:p>
          <w:p w14:paraId="3630DC67" w14:textId="77777777" w:rsidR="00761977" w:rsidRPr="009E7CA0" w:rsidRDefault="00761977" w:rsidP="00886833">
            <w:pPr>
              <w:pStyle w:val="TableTextLeft"/>
              <w:cnfStyle w:val="000000000000" w:firstRow="0" w:lastRow="0" w:firstColumn="0" w:lastColumn="0" w:oddVBand="0" w:evenVBand="0" w:oddHBand="0" w:evenHBand="0" w:firstRowFirstColumn="0" w:firstRowLastColumn="0" w:lastRowFirstColumn="0" w:lastRowLastColumn="0"/>
            </w:pPr>
            <w:r w:rsidRPr="009E7CA0">
              <w:t>Exposure draft legislation for the first tranche was released in two sub-tranches. ASIC and APRA intend to issue joint regulatory guidance to assist implementation of the legislation.</w:t>
            </w:r>
          </w:p>
        </w:tc>
        <w:tc>
          <w:tcPr>
            <w:tcW w:w="1458" w:type="dxa"/>
            <w:gridSpan w:val="2"/>
            <w:tcBorders>
              <w:top w:val="single" w:sz="4" w:space="0" w:color="BCE4CF"/>
              <w:bottom w:val="single" w:sz="4" w:space="0" w:color="BCE4CF"/>
            </w:tcBorders>
            <w:shd w:val="clear" w:color="auto" w:fill="ECF7F1"/>
          </w:tcPr>
          <w:p w14:paraId="0B84332A" w14:textId="77777777" w:rsidR="00761977" w:rsidRPr="009E7CA0" w:rsidRDefault="00761977" w:rsidP="00886833">
            <w:pPr>
              <w:pStyle w:val="TableTextLeft"/>
              <w:cnfStyle w:val="000000000000" w:firstRow="0" w:lastRow="0" w:firstColumn="0" w:lastColumn="0" w:oddVBand="0" w:evenVBand="0" w:oddHBand="0" w:evenHBand="0" w:firstRowFirstColumn="0" w:firstRowLastColumn="0" w:lastRowFirstColumn="0" w:lastRowLastColumn="0"/>
            </w:pPr>
            <w:r w:rsidRPr="009E7CA0">
              <w:t>Tranche 1 exposure draft legislation consultation.</w:t>
            </w:r>
          </w:p>
        </w:tc>
        <w:tc>
          <w:tcPr>
            <w:tcW w:w="1446" w:type="dxa"/>
            <w:gridSpan w:val="2"/>
            <w:tcBorders>
              <w:top w:val="single" w:sz="4" w:space="0" w:color="BCE4CF"/>
              <w:bottom w:val="single" w:sz="4" w:space="0" w:color="BCE4CF"/>
            </w:tcBorders>
            <w:shd w:val="clear" w:color="auto" w:fill="ECF7F1"/>
          </w:tcPr>
          <w:p w14:paraId="69AB7A44" w14:textId="77777777" w:rsidR="00761977" w:rsidRPr="009E7CA0" w:rsidRDefault="00761977" w:rsidP="00886833">
            <w:pPr>
              <w:pStyle w:val="TableTextLeft"/>
              <w:cnfStyle w:val="000000000000" w:firstRow="0" w:lastRow="0" w:firstColumn="0" w:lastColumn="0" w:oddVBand="0" w:evenVBand="0" w:oddHBand="0" w:evenHBand="0" w:firstRowFirstColumn="0" w:firstRowLastColumn="0" w:lastRowFirstColumn="0" w:lastRowLastColumn="0"/>
            </w:pPr>
          </w:p>
        </w:tc>
        <w:tc>
          <w:tcPr>
            <w:tcW w:w="1409" w:type="dxa"/>
            <w:tcBorders>
              <w:top w:val="single" w:sz="4" w:space="0" w:color="BCE4CF"/>
              <w:bottom w:val="single" w:sz="4" w:space="0" w:color="BCE4CF"/>
            </w:tcBorders>
            <w:shd w:val="clear" w:color="auto" w:fill="ECF7F1"/>
          </w:tcPr>
          <w:p w14:paraId="727E82C1" w14:textId="77777777" w:rsidR="00761977" w:rsidRPr="009E7CA0" w:rsidRDefault="00761977" w:rsidP="00886833">
            <w:pPr>
              <w:pStyle w:val="TableTextLeft"/>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BCE4CF"/>
              <w:bottom w:val="single" w:sz="4" w:space="0" w:color="BCE4CF"/>
            </w:tcBorders>
            <w:shd w:val="clear" w:color="auto" w:fill="F5FBF8"/>
          </w:tcPr>
          <w:p w14:paraId="7A6B1035" w14:textId="77777777" w:rsidR="00761977" w:rsidRPr="009E7CA0" w:rsidRDefault="00761977" w:rsidP="00886833">
            <w:pPr>
              <w:pStyle w:val="TableTextLeft"/>
              <w:cnfStyle w:val="000000000000" w:firstRow="0" w:lastRow="0" w:firstColumn="0" w:lastColumn="0" w:oddVBand="0" w:evenVBand="0" w:oddHBand="0" w:evenHBand="0" w:firstRowFirstColumn="0" w:firstRowLastColumn="0" w:lastRowFirstColumn="0" w:lastRowLastColumn="0"/>
            </w:pPr>
          </w:p>
        </w:tc>
        <w:tc>
          <w:tcPr>
            <w:tcW w:w="1312" w:type="dxa"/>
            <w:tcBorders>
              <w:top w:val="single" w:sz="4" w:space="0" w:color="BCE4CF"/>
              <w:bottom w:val="single" w:sz="4" w:space="0" w:color="BCE4CF"/>
            </w:tcBorders>
            <w:shd w:val="clear" w:color="auto" w:fill="F5FBF8"/>
          </w:tcPr>
          <w:p w14:paraId="7859C93F" w14:textId="77777777" w:rsidR="00761977" w:rsidRPr="009E7CA0" w:rsidRDefault="00761977" w:rsidP="00886833">
            <w:pPr>
              <w:pStyle w:val="TableTextLeft"/>
              <w:cnfStyle w:val="000000000000" w:firstRow="0" w:lastRow="0" w:firstColumn="0" w:lastColumn="0" w:oddVBand="0" w:evenVBand="0" w:oddHBand="0" w:evenHBand="0" w:firstRowFirstColumn="0" w:firstRowLastColumn="0" w:lastRowFirstColumn="0" w:lastRowLastColumn="0"/>
            </w:pPr>
          </w:p>
        </w:tc>
        <w:tc>
          <w:tcPr>
            <w:tcW w:w="1097" w:type="dxa"/>
            <w:gridSpan w:val="2"/>
            <w:tcBorders>
              <w:top w:val="single" w:sz="4" w:space="0" w:color="BCE4CF"/>
              <w:bottom w:val="single" w:sz="4" w:space="0" w:color="BCE4CF"/>
            </w:tcBorders>
            <w:shd w:val="clear" w:color="auto" w:fill="F5FBF8"/>
          </w:tcPr>
          <w:p w14:paraId="278A69CD" w14:textId="77777777" w:rsidR="00761977" w:rsidRPr="009E7CA0" w:rsidRDefault="00761977" w:rsidP="00886833">
            <w:pPr>
              <w:pStyle w:val="TableTextLeft"/>
              <w:cnfStyle w:val="000000000000" w:firstRow="0" w:lastRow="0" w:firstColumn="0" w:lastColumn="0" w:oddVBand="0" w:evenVBand="0" w:oddHBand="0" w:evenHBand="0" w:firstRowFirstColumn="0" w:firstRowLastColumn="0" w:lastRowFirstColumn="0" w:lastRowLastColumn="0"/>
            </w:pPr>
          </w:p>
        </w:tc>
        <w:tc>
          <w:tcPr>
            <w:tcW w:w="964" w:type="dxa"/>
            <w:gridSpan w:val="2"/>
            <w:tcBorders>
              <w:top w:val="single" w:sz="4" w:space="0" w:color="BCE4CF"/>
              <w:bottom w:val="single" w:sz="4" w:space="0" w:color="BCE4CF"/>
            </w:tcBorders>
            <w:shd w:val="clear" w:color="auto" w:fill="F5FBF8"/>
          </w:tcPr>
          <w:p w14:paraId="0409B751" w14:textId="77777777" w:rsidR="00761977" w:rsidRPr="009E7CA0" w:rsidRDefault="00761977" w:rsidP="00886833">
            <w:pPr>
              <w:pStyle w:val="TableTextLeft"/>
              <w:cnfStyle w:val="000000000000" w:firstRow="0" w:lastRow="0" w:firstColumn="0" w:lastColumn="0" w:oddVBand="0" w:evenVBand="0" w:oddHBand="0" w:evenHBand="0" w:firstRowFirstColumn="0" w:firstRowLastColumn="0" w:lastRowFirstColumn="0" w:lastRowLastColumn="0"/>
            </w:pPr>
          </w:p>
        </w:tc>
      </w:tr>
      <w:tr w:rsidR="00B67E23" w:rsidRPr="009E7CA0" w14:paraId="03411942"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027B8AB1" w14:textId="77777777" w:rsidR="00761977" w:rsidRPr="009E7CA0" w:rsidRDefault="00761977" w:rsidP="00DA0B22">
            <w:pPr>
              <w:pStyle w:val="TableLeadAgency"/>
              <w:rPr>
                <w:b/>
                <w:bCs/>
              </w:rPr>
            </w:pPr>
            <w:r w:rsidRPr="009E7CA0">
              <w:rPr>
                <w:b/>
                <w:bCs/>
              </w:rPr>
              <w:lastRenderedPageBreak/>
              <w:t>TSY</w:t>
            </w:r>
          </w:p>
          <w:p w14:paraId="58845029" w14:textId="77777777" w:rsidR="00761977" w:rsidRPr="003724DD" w:rsidRDefault="00761977" w:rsidP="003724DD">
            <w:pPr>
              <w:pStyle w:val="TableSecondaryAgency"/>
              <w:rPr>
                <w:b w:val="0"/>
              </w:rPr>
            </w:pPr>
            <w:r w:rsidRPr="003724DD" w:rsidDel="00F56A72">
              <w:rPr>
                <w:b w:val="0"/>
              </w:rPr>
              <w:t>AFSA</w:t>
            </w:r>
          </w:p>
        </w:tc>
        <w:tc>
          <w:tcPr>
            <w:tcW w:w="1405" w:type="dxa"/>
            <w:tcBorders>
              <w:top w:val="single" w:sz="4" w:space="0" w:color="BCE4CF"/>
              <w:bottom w:val="single" w:sz="4" w:space="0" w:color="BCE4CF"/>
            </w:tcBorders>
          </w:tcPr>
          <w:p w14:paraId="67042703"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Banking, credit and lending</w:t>
            </w:r>
          </w:p>
        </w:tc>
        <w:tc>
          <w:tcPr>
            <w:tcW w:w="2775" w:type="dxa"/>
            <w:gridSpan w:val="2"/>
            <w:tcBorders>
              <w:top w:val="single" w:sz="4" w:space="0" w:color="BCE4CF"/>
              <w:bottom w:val="single" w:sz="4" w:space="0" w:color="BCE4CF"/>
            </w:tcBorders>
          </w:tcPr>
          <w:p w14:paraId="25598112" w14:textId="77777777" w:rsidR="00761977" w:rsidRPr="009E7CA0" w:rsidRDefault="00761977" w:rsidP="00E0533D">
            <w:pPr>
              <w:pStyle w:val="TableLink"/>
              <w:cnfStyle w:val="000000000000" w:firstRow="0" w:lastRow="0" w:firstColumn="0" w:lastColumn="0" w:oddVBand="0" w:evenVBand="0" w:oddHBand="0" w:evenHBand="0" w:firstRowFirstColumn="0" w:firstRowLastColumn="0" w:lastRowFirstColumn="0" w:lastRowLastColumn="0"/>
            </w:pPr>
            <w:hyperlink r:id="rId82">
              <w:r w:rsidRPr="009E7CA0">
                <w:t>Personal insolvency reforms</w:t>
              </w:r>
            </w:hyperlink>
          </w:p>
          <w:p w14:paraId="75B9675A" w14:textId="77777777" w:rsidR="00761977" w:rsidRPr="009E7CA0" w:rsidRDefault="00761977" w:rsidP="00886833">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Reforms to improve the personal insolvency system will ensure a fairer outcome for debtors in the personal insolvency system and reduce the stigma currently associated with entering into bankruptcy. </w:t>
            </w:r>
          </w:p>
          <w:p w14:paraId="64BEE366" w14:textId="2F7E4792" w:rsidR="00761977" w:rsidRPr="009E7CA0" w:rsidRDefault="00761977" w:rsidP="00886833">
            <w:pPr>
              <w:pStyle w:val="TableTextLeft"/>
              <w:cnfStyle w:val="000000000000" w:firstRow="0" w:lastRow="0" w:firstColumn="0" w:lastColumn="0" w:oddVBand="0" w:evenVBand="0" w:oddHBand="0" w:evenHBand="0" w:firstRowFirstColumn="0" w:firstRowLastColumn="0" w:lastRowFirstColumn="0" w:lastRowLastColumn="0"/>
            </w:pPr>
            <w:r w:rsidRPr="009E7CA0">
              <w:t>Portfolio responsibility for personal insolvency moved to Treasury in May</w:t>
            </w:r>
            <w:r w:rsidR="0005317B" w:rsidRPr="009E7CA0">
              <w:t> </w:t>
            </w:r>
            <w:r w:rsidRPr="009E7CA0">
              <w:t>2025.</w:t>
            </w:r>
          </w:p>
          <w:p w14:paraId="0A26BC11" w14:textId="77777777" w:rsidR="00761977" w:rsidRPr="009E7CA0" w:rsidRDefault="00761977" w:rsidP="00421692">
            <w:pPr>
              <w:pStyle w:val="TableTextLeft"/>
              <w:cnfStyle w:val="000000000000" w:firstRow="0" w:lastRow="0" w:firstColumn="0" w:lastColumn="0" w:oddVBand="0" w:evenVBand="0" w:oddHBand="0" w:evenHBand="0" w:firstRowFirstColumn="0" w:firstRowLastColumn="0" w:lastRowFirstColumn="0" w:lastRowLastColumn="0"/>
            </w:pPr>
            <w:r w:rsidRPr="009E7CA0">
              <w:t>Timing of any further work will be announced in due course.</w:t>
            </w:r>
          </w:p>
        </w:tc>
        <w:tc>
          <w:tcPr>
            <w:tcW w:w="1458" w:type="dxa"/>
            <w:gridSpan w:val="2"/>
            <w:tcBorders>
              <w:top w:val="single" w:sz="4" w:space="0" w:color="BCE4CF"/>
              <w:bottom w:val="single" w:sz="4" w:space="0" w:color="BCE4CF"/>
            </w:tcBorders>
            <w:shd w:val="clear" w:color="auto" w:fill="ECF7F1"/>
          </w:tcPr>
          <w:p w14:paraId="0B097CE5"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46" w:type="dxa"/>
            <w:gridSpan w:val="2"/>
            <w:tcBorders>
              <w:top w:val="single" w:sz="4" w:space="0" w:color="BCE4CF"/>
              <w:bottom w:val="single" w:sz="4" w:space="0" w:color="BCE4CF"/>
            </w:tcBorders>
            <w:shd w:val="clear" w:color="auto" w:fill="ECF7F1"/>
          </w:tcPr>
          <w:p w14:paraId="060910D2"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09" w:type="dxa"/>
            <w:tcBorders>
              <w:top w:val="single" w:sz="4" w:space="0" w:color="BCE4CF"/>
              <w:bottom w:val="single" w:sz="4" w:space="0" w:color="BCE4CF"/>
            </w:tcBorders>
            <w:shd w:val="clear" w:color="auto" w:fill="ECF7F1"/>
          </w:tcPr>
          <w:p w14:paraId="24D70189"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276" w:type="dxa"/>
            <w:tcBorders>
              <w:top w:val="single" w:sz="4" w:space="0" w:color="BCE4CF"/>
              <w:bottom w:val="single" w:sz="4" w:space="0" w:color="BCE4CF"/>
            </w:tcBorders>
            <w:shd w:val="clear" w:color="auto" w:fill="F5FBF8"/>
          </w:tcPr>
          <w:p w14:paraId="6762B5EA"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312" w:type="dxa"/>
            <w:tcBorders>
              <w:top w:val="single" w:sz="4" w:space="0" w:color="BCE4CF"/>
              <w:bottom w:val="single" w:sz="4" w:space="0" w:color="BCE4CF"/>
            </w:tcBorders>
            <w:shd w:val="clear" w:color="auto" w:fill="F5FBF8"/>
          </w:tcPr>
          <w:p w14:paraId="50E9C758"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097" w:type="dxa"/>
            <w:gridSpan w:val="2"/>
            <w:tcBorders>
              <w:top w:val="single" w:sz="4" w:space="0" w:color="BCE4CF"/>
              <w:bottom w:val="single" w:sz="4" w:space="0" w:color="BCE4CF"/>
            </w:tcBorders>
            <w:shd w:val="clear" w:color="auto" w:fill="F5FBF8"/>
          </w:tcPr>
          <w:p w14:paraId="3391660B"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6C047D20"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06577869"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7372AA5A" w14:textId="77777777" w:rsidR="00761977" w:rsidRPr="009E7CA0" w:rsidRDefault="00761977" w:rsidP="00DA0B22">
            <w:pPr>
              <w:pStyle w:val="TableLeadAgency"/>
              <w:rPr>
                <w:b/>
                <w:bCs/>
              </w:rPr>
            </w:pPr>
            <w:r w:rsidRPr="009E7CA0">
              <w:rPr>
                <w:b/>
                <w:bCs/>
              </w:rPr>
              <w:t xml:space="preserve"> TSY</w:t>
            </w:r>
          </w:p>
          <w:p w14:paraId="10FE3370" w14:textId="77777777" w:rsidR="00761977" w:rsidRPr="003724DD" w:rsidRDefault="00761977" w:rsidP="003724DD">
            <w:pPr>
              <w:pStyle w:val="TableSecondaryAgency"/>
              <w:rPr>
                <w:b w:val="0"/>
                <w:bCs/>
              </w:rPr>
            </w:pPr>
            <w:r w:rsidRPr="003724DD">
              <w:rPr>
                <w:b w:val="0"/>
                <w:bCs/>
              </w:rPr>
              <w:t>AFSA</w:t>
            </w:r>
          </w:p>
        </w:tc>
        <w:tc>
          <w:tcPr>
            <w:tcW w:w="1405" w:type="dxa"/>
            <w:tcBorders>
              <w:top w:val="single" w:sz="4" w:space="0" w:color="BCE4CF"/>
              <w:bottom w:val="single" w:sz="4" w:space="0" w:color="BCE4CF"/>
            </w:tcBorders>
          </w:tcPr>
          <w:p w14:paraId="03081A18"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Banking, credit and lending</w:t>
            </w:r>
          </w:p>
          <w:p w14:paraId="68DDCC5B"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Financial advice</w:t>
            </w:r>
          </w:p>
          <w:p w14:paraId="1FF59D66"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Financial markets</w:t>
            </w:r>
          </w:p>
          <w:p w14:paraId="2CA41079"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Insurance and reinsurance</w:t>
            </w:r>
          </w:p>
        </w:tc>
        <w:tc>
          <w:tcPr>
            <w:tcW w:w="2775" w:type="dxa"/>
            <w:gridSpan w:val="2"/>
            <w:tcBorders>
              <w:top w:val="single" w:sz="4" w:space="0" w:color="BCE4CF"/>
              <w:bottom w:val="single" w:sz="4" w:space="0" w:color="BCE4CF"/>
            </w:tcBorders>
          </w:tcPr>
          <w:p w14:paraId="2D18B133" w14:textId="77777777" w:rsidR="00761977" w:rsidRPr="009E7CA0" w:rsidRDefault="00761977" w:rsidP="00E0533D">
            <w:pPr>
              <w:pStyle w:val="TableLink"/>
              <w:cnfStyle w:val="000000000000" w:firstRow="0" w:lastRow="0" w:firstColumn="0" w:lastColumn="0" w:oddVBand="0" w:evenVBand="0" w:oddHBand="0" w:evenHBand="0" w:firstRowFirstColumn="0" w:firstRowLastColumn="0" w:lastRowFirstColumn="0" w:lastRowLastColumn="0"/>
            </w:pPr>
            <w:hyperlink r:id="rId83" w:history="1">
              <w:r w:rsidRPr="009E7CA0">
                <w:t>Personal Property Securities Amendment (Framework Reform) Bill</w:t>
              </w:r>
            </w:hyperlink>
          </w:p>
          <w:p w14:paraId="2752B0B2" w14:textId="51EC85BE" w:rsidR="00761977" w:rsidRPr="009E7CA0" w:rsidRDefault="00761977" w:rsidP="00886833">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Amendments to the </w:t>
            </w:r>
            <w:r w:rsidRPr="009E7CA0">
              <w:rPr>
                <w:i/>
                <w:iCs/>
              </w:rPr>
              <w:t>Personal Property Securities Act 2009</w:t>
            </w:r>
            <w:r w:rsidRPr="009E7CA0">
              <w:t xml:space="preserve"> in response to the 2015 Statutory Review of this Act (the</w:t>
            </w:r>
            <w:r w:rsidR="00B8719D" w:rsidRPr="009E7CA0">
              <w:t> </w:t>
            </w:r>
            <w:r w:rsidRPr="009E7CA0">
              <w:t xml:space="preserve">Whittaker Review) are designed to reduce complexity for users of the Personal Property Securities framework. </w:t>
            </w:r>
          </w:p>
          <w:p w14:paraId="2A5154DD" w14:textId="54427674" w:rsidR="00761977" w:rsidRPr="009E7CA0" w:rsidRDefault="00761977" w:rsidP="00BE2C56">
            <w:pPr>
              <w:pStyle w:val="TableTextLeft"/>
              <w:cnfStyle w:val="000000000000" w:firstRow="0" w:lastRow="0" w:firstColumn="0" w:lastColumn="0" w:oddVBand="0" w:evenVBand="0" w:oddHBand="0" w:evenHBand="0" w:firstRowFirstColumn="0" w:firstRowLastColumn="0" w:lastRowFirstColumn="0" w:lastRowLastColumn="0"/>
            </w:pPr>
            <w:r w:rsidRPr="009E7CA0">
              <w:t>Portfolio responsibility for personal insolvency moved to Treasury in May</w:t>
            </w:r>
            <w:r w:rsidR="00B8719D" w:rsidRPr="009E7CA0">
              <w:t> </w:t>
            </w:r>
            <w:r w:rsidRPr="009E7CA0">
              <w:t>2025.</w:t>
            </w:r>
          </w:p>
          <w:p w14:paraId="0D315E9B" w14:textId="77777777" w:rsidR="00761977" w:rsidRPr="009E7CA0" w:rsidRDefault="00761977" w:rsidP="00B8719D">
            <w:pPr>
              <w:pStyle w:val="TableTextLeft"/>
              <w:cnfStyle w:val="000000000000" w:firstRow="0" w:lastRow="0" w:firstColumn="0" w:lastColumn="0" w:oddVBand="0" w:evenVBand="0" w:oddHBand="0" w:evenHBand="0" w:firstRowFirstColumn="0" w:firstRowLastColumn="0" w:lastRowFirstColumn="0" w:lastRowLastColumn="0"/>
              <w:rPr>
                <w:rFonts w:cs="Calibri Light"/>
              </w:rPr>
            </w:pPr>
            <w:r w:rsidRPr="009E7CA0">
              <w:t>Timing of any further work will be announced in due course.</w:t>
            </w:r>
          </w:p>
        </w:tc>
        <w:tc>
          <w:tcPr>
            <w:tcW w:w="1458" w:type="dxa"/>
            <w:gridSpan w:val="2"/>
            <w:tcBorders>
              <w:top w:val="single" w:sz="4" w:space="0" w:color="BCE4CF"/>
              <w:bottom w:val="single" w:sz="4" w:space="0" w:color="BCE4CF"/>
            </w:tcBorders>
            <w:shd w:val="clear" w:color="auto" w:fill="ECF7F1"/>
          </w:tcPr>
          <w:p w14:paraId="3A071C40"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46" w:type="dxa"/>
            <w:gridSpan w:val="2"/>
            <w:tcBorders>
              <w:top w:val="single" w:sz="4" w:space="0" w:color="BCE4CF"/>
              <w:bottom w:val="single" w:sz="4" w:space="0" w:color="BCE4CF"/>
            </w:tcBorders>
            <w:shd w:val="clear" w:color="auto" w:fill="ECF7F1"/>
          </w:tcPr>
          <w:p w14:paraId="3DD3A914"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09" w:type="dxa"/>
            <w:tcBorders>
              <w:top w:val="single" w:sz="4" w:space="0" w:color="BCE4CF"/>
              <w:bottom w:val="single" w:sz="4" w:space="0" w:color="BCE4CF"/>
            </w:tcBorders>
            <w:shd w:val="clear" w:color="auto" w:fill="ECF7F1"/>
          </w:tcPr>
          <w:p w14:paraId="7C0A3855"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276" w:type="dxa"/>
            <w:tcBorders>
              <w:top w:val="single" w:sz="4" w:space="0" w:color="BCE4CF"/>
              <w:bottom w:val="single" w:sz="4" w:space="0" w:color="BCE4CF"/>
            </w:tcBorders>
            <w:shd w:val="clear" w:color="auto" w:fill="F5FBF8"/>
          </w:tcPr>
          <w:p w14:paraId="2F200D71"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312" w:type="dxa"/>
            <w:tcBorders>
              <w:top w:val="single" w:sz="4" w:space="0" w:color="BCE4CF"/>
              <w:bottom w:val="single" w:sz="4" w:space="0" w:color="BCE4CF"/>
            </w:tcBorders>
            <w:shd w:val="clear" w:color="auto" w:fill="F5FBF8"/>
          </w:tcPr>
          <w:p w14:paraId="7BB06590"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097" w:type="dxa"/>
            <w:gridSpan w:val="2"/>
            <w:tcBorders>
              <w:top w:val="single" w:sz="4" w:space="0" w:color="BCE4CF"/>
              <w:bottom w:val="single" w:sz="4" w:space="0" w:color="BCE4CF"/>
            </w:tcBorders>
            <w:shd w:val="clear" w:color="auto" w:fill="F5FBF8"/>
          </w:tcPr>
          <w:p w14:paraId="39354A63"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4C738238"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01A63774"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64B3145B" w14:textId="77777777" w:rsidR="00761977" w:rsidRPr="009E7CA0" w:rsidRDefault="00761977" w:rsidP="00DA0B22">
            <w:pPr>
              <w:pStyle w:val="TableLeadAgency"/>
              <w:rPr>
                <w:b/>
                <w:bCs/>
              </w:rPr>
            </w:pPr>
            <w:r w:rsidRPr="009E7CA0">
              <w:rPr>
                <w:b/>
                <w:bCs/>
              </w:rPr>
              <w:lastRenderedPageBreak/>
              <w:t>Home Affairs</w:t>
            </w:r>
          </w:p>
          <w:p w14:paraId="4520DA73" w14:textId="77777777" w:rsidR="00761977" w:rsidRPr="00034F24" w:rsidRDefault="00761977" w:rsidP="00034F24">
            <w:pPr>
              <w:pStyle w:val="TableSecondaryAgency"/>
              <w:rPr>
                <w:rFonts w:cs="Calibri Light"/>
                <w:b w:val="0"/>
              </w:rPr>
            </w:pPr>
            <w:r w:rsidRPr="00034F24">
              <w:rPr>
                <w:b w:val="0"/>
              </w:rPr>
              <w:t>AUSTRAC</w:t>
            </w:r>
            <w:r w:rsidRPr="00034F24" w:rsidDel="006A755A">
              <w:rPr>
                <w:b w:val="0"/>
              </w:rPr>
              <w:t xml:space="preserve"> </w:t>
            </w:r>
          </w:p>
        </w:tc>
        <w:tc>
          <w:tcPr>
            <w:tcW w:w="1405" w:type="dxa"/>
            <w:tcBorders>
              <w:top w:val="single" w:sz="4" w:space="0" w:color="BCE4CF"/>
              <w:bottom w:val="single" w:sz="4" w:space="0" w:color="BCE4CF"/>
            </w:tcBorders>
          </w:tcPr>
          <w:p w14:paraId="18693D21"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All</w:t>
            </w:r>
          </w:p>
        </w:tc>
        <w:tc>
          <w:tcPr>
            <w:tcW w:w="2775" w:type="dxa"/>
            <w:gridSpan w:val="2"/>
            <w:tcBorders>
              <w:top w:val="single" w:sz="4" w:space="0" w:color="BCE4CF"/>
              <w:bottom w:val="single" w:sz="4" w:space="0" w:color="BCE4CF"/>
            </w:tcBorders>
          </w:tcPr>
          <w:p w14:paraId="185ADC2E" w14:textId="77777777" w:rsidR="00761977" w:rsidRPr="009E7CA0" w:rsidRDefault="00761977" w:rsidP="00B64C94">
            <w:pPr>
              <w:pStyle w:val="TableTextLeft"/>
              <w:cnfStyle w:val="000000000000" w:firstRow="0" w:lastRow="0" w:firstColumn="0" w:lastColumn="0" w:oddVBand="0" w:evenVBand="0" w:oddHBand="0" w:evenHBand="0" w:firstRowFirstColumn="0" w:firstRowLastColumn="0" w:lastRowFirstColumn="0" w:lastRowLastColumn="0"/>
              <w:rPr>
                <w:rStyle w:val="Strong"/>
                <w:i/>
                <w:iCs/>
              </w:rPr>
            </w:pPr>
            <w:r w:rsidRPr="009E7CA0">
              <w:rPr>
                <w:rStyle w:val="Strong"/>
                <w:i/>
                <w:iCs/>
              </w:rPr>
              <w:t>T</w:t>
            </w:r>
            <w:r w:rsidRPr="009E7CA0" w:rsidDel="0009022F">
              <w:rPr>
                <w:rStyle w:val="Strong"/>
                <w:i/>
                <w:iCs/>
              </w:rPr>
              <w:t>he Anti</w:t>
            </w:r>
            <w:r w:rsidRPr="009E7CA0">
              <w:rPr>
                <w:rStyle w:val="Strong"/>
                <w:i/>
                <w:iCs/>
              </w:rPr>
              <w:t>-</w:t>
            </w:r>
            <w:r w:rsidRPr="009E7CA0" w:rsidDel="0009022F">
              <w:rPr>
                <w:rStyle w:val="Strong"/>
                <w:i/>
                <w:iCs/>
              </w:rPr>
              <w:t>Money Laundering and Counter</w:t>
            </w:r>
            <w:r w:rsidRPr="009E7CA0">
              <w:rPr>
                <w:rStyle w:val="Strong"/>
                <w:i/>
                <w:iCs/>
              </w:rPr>
              <w:t>-</w:t>
            </w:r>
            <w:r w:rsidRPr="009E7CA0" w:rsidDel="0009022F">
              <w:rPr>
                <w:rStyle w:val="Strong"/>
                <w:i/>
                <w:iCs/>
              </w:rPr>
              <w:t>Terrorism</w:t>
            </w:r>
            <w:r w:rsidRPr="009E7CA0">
              <w:rPr>
                <w:rStyle w:val="Strong"/>
                <w:i/>
                <w:iCs/>
              </w:rPr>
              <w:t xml:space="preserve"> Financing Amendment Act 2024</w:t>
            </w:r>
          </w:p>
          <w:p w14:paraId="70BD853C" w14:textId="6E575059" w:rsidR="00761977" w:rsidRPr="009E7CA0" w:rsidRDefault="00761977" w:rsidP="00B64C94">
            <w:pPr>
              <w:pStyle w:val="TableTextLeft"/>
              <w:cnfStyle w:val="000000000000" w:firstRow="0" w:lastRow="0" w:firstColumn="0" w:lastColumn="0" w:oddVBand="0" w:evenVBand="0" w:oddHBand="0" w:evenHBand="0" w:firstRowFirstColumn="0" w:firstRowLastColumn="0" w:lastRowFirstColumn="0" w:lastRowLastColumn="0"/>
              <w:rPr>
                <w:lang w:eastAsia="en-US"/>
              </w:rPr>
            </w:pPr>
            <w:r w:rsidRPr="009E7CA0">
              <w:rPr>
                <w:lang w:eastAsia="en-US"/>
              </w:rPr>
              <w:t>The changes to AUSTRAC powers and the new tipping off offence have commenced. New requirements for AML/CTF programs, customer due diligence, travel rule and value transfer provisions commence 31</w:t>
            </w:r>
            <w:r w:rsidR="00817B01" w:rsidRPr="009E7CA0">
              <w:rPr>
                <w:lang w:eastAsia="en-US"/>
              </w:rPr>
              <w:t> </w:t>
            </w:r>
            <w:r w:rsidRPr="009E7CA0">
              <w:rPr>
                <w:lang w:eastAsia="en-US"/>
              </w:rPr>
              <w:t>March</w:t>
            </w:r>
            <w:r w:rsidR="00817B01" w:rsidRPr="009E7CA0">
              <w:rPr>
                <w:lang w:eastAsia="en-US"/>
              </w:rPr>
              <w:t> </w:t>
            </w:r>
            <w:r w:rsidRPr="009E7CA0">
              <w:rPr>
                <w:lang w:eastAsia="en-US"/>
              </w:rPr>
              <w:t xml:space="preserve">2026. </w:t>
            </w:r>
          </w:p>
          <w:p w14:paraId="31AD354D" w14:textId="77777777" w:rsidR="00761977" w:rsidRPr="009E7CA0" w:rsidRDefault="00761977" w:rsidP="00E573EA">
            <w:pPr>
              <w:pStyle w:val="TableTextLeft"/>
              <w:cnfStyle w:val="000000000000" w:firstRow="0" w:lastRow="0" w:firstColumn="0" w:lastColumn="0" w:oddVBand="0" w:evenVBand="0" w:oddHBand="0" w:evenHBand="0" w:firstRowFirstColumn="0" w:firstRowLastColumn="0" w:lastRowFirstColumn="0" w:lastRowLastColumn="0"/>
              <w:rPr>
                <w:sz w:val="16"/>
              </w:rPr>
            </w:pPr>
          </w:p>
        </w:tc>
        <w:tc>
          <w:tcPr>
            <w:tcW w:w="1458" w:type="dxa"/>
            <w:gridSpan w:val="2"/>
            <w:tcBorders>
              <w:top w:val="single" w:sz="4" w:space="0" w:color="BCE4CF"/>
              <w:bottom w:val="single" w:sz="4" w:space="0" w:color="BCE4CF"/>
            </w:tcBorders>
            <w:shd w:val="clear" w:color="auto" w:fill="ECF7F1"/>
          </w:tcPr>
          <w:p w14:paraId="5CE29107"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46" w:type="dxa"/>
            <w:gridSpan w:val="2"/>
            <w:tcBorders>
              <w:top w:val="single" w:sz="4" w:space="0" w:color="BCE4CF"/>
              <w:bottom w:val="single" w:sz="4" w:space="0" w:color="BCE4CF"/>
            </w:tcBorders>
            <w:shd w:val="clear" w:color="auto" w:fill="ECF7F1"/>
          </w:tcPr>
          <w:p w14:paraId="7AE2B360" w14:textId="77777777" w:rsidR="00761977" w:rsidRPr="009E7CA0" w:rsidRDefault="00761977" w:rsidP="00B43053">
            <w:pPr>
              <w:pStyle w:val="TableTextLeft"/>
              <w:cnfStyle w:val="000000000000" w:firstRow="0" w:lastRow="0" w:firstColumn="0" w:lastColumn="0" w:oddVBand="0" w:evenVBand="0" w:oddHBand="0" w:evenHBand="0" w:firstRowFirstColumn="0" w:firstRowLastColumn="0" w:lastRowFirstColumn="0" w:lastRowLastColumn="0"/>
            </w:pPr>
            <w:r w:rsidRPr="009E7CA0">
              <w:t>New obligations for tranche two entities commence 1 July 2026.</w:t>
            </w:r>
          </w:p>
          <w:p w14:paraId="6608510D" w14:textId="59E30854" w:rsidR="00761977" w:rsidRPr="009E7CA0" w:rsidRDefault="00761977" w:rsidP="00886833">
            <w:pPr>
              <w:pStyle w:val="TableTextLeft"/>
              <w:cnfStyle w:val="000000000000" w:firstRow="0" w:lastRow="0" w:firstColumn="0" w:lastColumn="0" w:oddVBand="0" w:evenVBand="0" w:oddHBand="0" w:evenHBand="0" w:firstRowFirstColumn="0" w:firstRowLastColumn="0" w:lastRowFirstColumn="0" w:lastRowLastColumn="0"/>
            </w:pPr>
            <w:r w:rsidRPr="009E7CA0">
              <w:t>Changes to bearer negotiable instruments commence 1 July 2026</w:t>
            </w:r>
            <w:r w:rsidR="001E00D3">
              <w:t>.</w:t>
            </w:r>
          </w:p>
          <w:p w14:paraId="681A3E35"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p w14:paraId="51D152F7" w14:textId="77777777" w:rsidR="00761977" w:rsidRPr="009E7CA0" w:rsidRDefault="00761977" w:rsidP="00B43053">
            <w:pPr>
              <w:pStyle w:val="TableTextLeft"/>
              <w:cnfStyle w:val="000000000000" w:firstRow="0" w:lastRow="0" w:firstColumn="0" w:lastColumn="0" w:oddVBand="0" w:evenVBand="0" w:oddHBand="0" w:evenHBand="0" w:firstRowFirstColumn="0" w:firstRowLastColumn="0" w:lastRowFirstColumn="0" w:lastRowLastColumn="0"/>
            </w:pPr>
            <w:r w:rsidRPr="009E7CA0">
              <w:t>Responses to information gathering notices must be accompanied by a legal professional privilege form if privileged information is withheld.</w:t>
            </w:r>
          </w:p>
        </w:tc>
        <w:tc>
          <w:tcPr>
            <w:tcW w:w="1409" w:type="dxa"/>
            <w:tcBorders>
              <w:top w:val="single" w:sz="4" w:space="0" w:color="BCE4CF"/>
              <w:bottom w:val="single" w:sz="4" w:space="0" w:color="BCE4CF"/>
            </w:tcBorders>
            <w:shd w:val="clear" w:color="auto" w:fill="ECF7F1"/>
          </w:tcPr>
          <w:p w14:paraId="6668B428"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276" w:type="dxa"/>
            <w:tcBorders>
              <w:top w:val="single" w:sz="4" w:space="0" w:color="BCE4CF"/>
              <w:bottom w:val="single" w:sz="4" w:space="0" w:color="BCE4CF"/>
            </w:tcBorders>
            <w:shd w:val="clear" w:color="auto" w:fill="F5FBF8"/>
          </w:tcPr>
          <w:p w14:paraId="59D447FC"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312" w:type="dxa"/>
            <w:tcBorders>
              <w:top w:val="single" w:sz="4" w:space="0" w:color="BCE4CF"/>
              <w:bottom w:val="single" w:sz="4" w:space="0" w:color="BCE4CF"/>
            </w:tcBorders>
            <w:shd w:val="clear" w:color="auto" w:fill="F5FBF8"/>
          </w:tcPr>
          <w:p w14:paraId="3FDA6623"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097" w:type="dxa"/>
            <w:gridSpan w:val="2"/>
            <w:tcBorders>
              <w:top w:val="single" w:sz="4" w:space="0" w:color="BCE4CF"/>
              <w:bottom w:val="single" w:sz="4" w:space="0" w:color="BCE4CF"/>
            </w:tcBorders>
            <w:shd w:val="clear" w:color="auto" w:fill="F5FBF8"/>
          </w:tcPr>
          <w:p w14:paraId="388D3384"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1BFE30E3"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5B9E5AB6" w14:textId="77777777" w:rsidTr="001E416A">
        <w:trPr>
          <w:gridAfter w:val="1"/>
          <w:wAfter w:w="13" w:type="dxa"/>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60AA1F73" w14:textId="77777777" w:rsidR="00761977" w:rsidRPr="009E7CA0" w:rsidRDefault="00761977" w:rsidP="00DA0B22">
            <w:pPr>
              <w:pStyle w:val="TableLeadAgency"/>
              <w:rPr>
                <w:b/>
                <w:bCs/>
                <w:lang w:eastAsia="en-US"/>
              </w:rPr>
            </w:pPr>
            <w:r w:rsidRPr="009E7CA0">
              <w:rPr>
                <w:b/>
                <w:bCs/>
                <w:lang w:eastAsia="en-US"/>
              </w:rPr>
              <w:lastRenderedPageBreak/>
              <w:t>Home Affairs</w:t>
            </w:r>
          </w:p>
          <w:p w14:paraId="79857576" w14:textId="77777777" w:rsidR="00761977" w:rsidRPr="00034F24" w:rsidRDefault="00761977" w:rsidP="00034F24">
            <w:pPr>
              <w:pStyle w:val="TableSecondaryAgency"/>
              <w:rPr>
                <w:b w:val="0"/>
              </w:rPr>
            </w:pPr>
            <w:r w:rsidRPr="00034F24">
              <w:rPr>
                <w:b w:val="0"/>
                <w:lang w:eastAsia="en-US"/>
              </w:rPr>
              <w:t>AUSTRAC</w:t>
            </w:r>
            <w:r w:rsidRPr="00034F24" w:rsidDel="006A755A">
              <w:rPr>
                <w:b w:val="0"/>
                <w:lang w:eastAsia="en-US"/>
              </w:rPr>
              <w:t xml:space="preserve"> </w:t>
            </w:r>
          </w:p>
        </w:tc>
        <w:tc>
          <w:tcPr>
            <w:tcW w:w="1405" w:type="dxa"/>
            <w:tcBorders>
              <w:top w:val="single" w:sz="4" w:space="0" w:color="BCE4CF"/>
              <w:bottom w:val="single" w:sz="4" w:space="0" w:color="BCE4CF"/>
            </w:tcBorders>
          </w:tcPr>
          <w:p w14:paraId="0FF830BF"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All</w:t>
            </w:r>
          </w:p>
        </w:tc>
        <w:tc>
          <w:tcPr>
            <w:tcW w:w="2763" w:type="dxa"/>
            <w:tcBorders>
              <w:top w:val="single" w:sz="4" w:space="0" w:color="BCE4CF"/>
              <w:bottom w:val="single" w:sz="4" w:space="0" w:color="BCE4CF"/>
            </w:tcBorders>
          </w:tcPr>
          <w:p w14:paraId="3F72D30C" w14:textId="77777777" w:rsidR="00761977" w:rsidRPr="009E7CA0" w:rsidRDefault="00761977" w:rsidP="00E0533D">
            <w:pPr>
              <w:pStyle w:val="TableLink"/>
              <w:cnfStyle w:val="000000000000" w:firstRow="0" w:lastRow="0" w:firstColumn="0" w:lastColumn="0" w:oddVBand="0" w:evenVBand="0" w:oddHBand="0" w:evenHBand="0" w:firstRowFirstColumn="0" w:firstRowLastColumn="0" w:lastRowFirstColumn="0" w:lastRowLastColumn="0"/>
            </w:pPr>
            <w:hyperlink r:id="rId84" w:history="1">
              <w:r w:rsidRPr="009E7CA0">
                <w:t>The Transitional Rules under the Anti</w:t>
              </w:r>
              <w:r w:rsidRPr="009E7CA0">
                <w:noBreakHyphen/>
                <w:t>Money Laundering and Counter</w:t>
              </w:r>
              <w:r w:rsidRPr="009E7CA0">
                <w:noBreakHyphen/>
                <w:t>Terrorism Financing Amendment Act 2024</w:t>
              </w:r>
            </w:hyperlink>
            <w:r w:rsidRPr="009E7CA0">
              <w:t xml:space="preserve"> </w:t>
            </w:r>
          </w:p>
          <w:p w14:paraId="33174E06" w14:textId="1B711565" w:rsidR="00761977" w:rsidRPr="009E7CA0" w:rsidRDefault="00761977" w:rsidP="00C2054F">
            <w:pPr>
              <w:pStyle w:val="TableTextLeft"/>
              <w:cnfStyle w:val="000000000000" w:firstRow="0" w:lastRow="0" w:firstColumn="0" w:lastColumn="0" w:oddVBand="0" w:evenVBand="0" w:oddHBand="0" w:evenHBand="0" w:firstRowFirstColumn="0" w:firstRowLastColumn="0" w:lastRowFirstColumn="0" w:lastRowLastColumn="0"/>
              <w:rPr>
                <w:lang w:eastAsia="en-US"/>
              </w:rPr>
            </w:pPr>
            <w:r w:rsidRPr="009E7CA0">
              <w:rPr>
                <w:lang w:eastAsia="en-US"/>
              </w:rPr>
              <w:t>Transitional rules were made on 31</w:t>
            </w:r>
            <w:r w:rsidR="002773EC">
              <w:rPr>
                <w:lang w:eastAsia="en-US"/>
              </w:rPr>
              <w:t> </w:t>
            </w:r>
            <w:r w:rsidRPr="009E7CA0">
              <w:rPr>
                <w:lang w:eastAsia="en-US"/>
              </w:rPr>
              <w:t>March 2026, to modify or extend the timeframe for the application of parts of the AML/CTF Amendment Act, to allow entities additional time to comply with their obligations. Two of the transitional rules, the extension of the timeframe for international value transfer service (IVTS) reporting and postponement of the requirement to notify AUSTRAC of a compliance officer, will impact the financial sector.</w:t>
            </w:r>
          </w:p>
          <w:p w14:paraId="20190DC7" w14:textId="5D3BB01E" w:rsidR="00761977" w:rsidRPr="009E7CA0" w:rsidRDefault="00761977" w:rsidP="00C2054F">
            <w:pPr>
              <w:pStyle w:val="TableTextLeft"/>
              <w:cnfStyle w:val="000000000000" w:firstRow="0" w:lastRow="0" w:firstColumn="0" w:lastColumn="0" w:oddVBand="0" w:evenVBand="0" w:oddHBand="0" w:evenHBand="0" w:firstRowFirstColumn="0" w:firstRowLastColumn="0" w:lastRowFirstColumn="0" w:lastRowLastColumn="0"/>
            </w:pPr>
            <w:r w:rsidRPr="009E7CA0">
              <w:rPr>
                <w:lang w:eastAsia="en-US"/>
              </w:rPr>
              <w:t xml:space="preserve">Initial targeted consultation with peak bodies occurred in July </w:t>
            </w:r>
            <w:r w:rsidRPr="009E7CA0">
              <w:t>2025</w:t>
            </w:r>
            <w:r w:rsidRPr="009E7CA0">
              <w:rPr>
                <w:lang w:eastAsia="en-US"/>
              </w:rPr>
              <w:t>, with ongoing sector specific engagement taking place throughout 2025 and Q1</w:t>
            </w:r>
            <w:r w:rsidR="006365B1" w:rsidRPr="009E7CA0">
              <w:rPr>
                <w:lang w:eastAsia="en-US"/>
              </w:rPr>
              <w:t> </w:t>
            </w:r>
            <w:r w:rsidRPr="009E7CA0">
              <w:rPr>
                <w:lang w:eastAsia="en-US"/>
              </w:rPr>
              <w:t>202</w:t>
            </w:r>
            <w:r w:rsidR="008440F0">
              <w:rPr>
                <w:lang w:eastAsia="en-US"/>
              </w:rPr>
              <w:t>6</w:t>
            </w:r>
            <w:r w:rsidRPr="009E7CA0">
              <w:rPr>
                <w:lang w:eastAsia="en-US"/>
              </w:rPr>
              <w:t>.</w:t>
            </w:r>
          </w:p>
        </w:tc>
        <w:tc>
          <w:tcPr>
            <w:tcW w:w="1458" w:type="dxa"/>
            <w:gridSpan w:val="2"/>
            <w:tcBorders>
              <w:top w:val="single" w:sz="4" w:space="0" w:color="BCE4CF"/>
              <w:bottom w:val="single" w:sz="4" w:space="0" w:color="BCE4CF"/>
            </w:tcBorders>
            <w:shd w:val="clear" w:color="auto" w:fill="ECF7F1"/>
          </w:tcPr>
          <w:p w14:paraId="7C325DB6"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46" w:type="dxa"/>
            <w:gridSpan w:val="2"/>
            <w:tcBorders>
              <w:top w:val="single" w:sz="4" w:space="0" w:color="BCE4CF"/>
              <w:bottom w:val="single" w:sz="4" w:space="0" w:color="BCE4CF"/>
            </w:tcBorders>
            <w:shd w:val="clear" w:color="auto" w:fill="ECF7F1"/>
          </w:tcPr>
          <w:p w14:paraId="334207D4"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21" w:type="dxa"/>
            <w:gridSpan w:val="2"/>
            <w:tcBorders>
              <w:top w:val="single" w:sz="4" w:space="0" w:color="BCE4CF"/>
              <w:bottom w:val="single" w:sz="4" w:space="0" w:color="BCE4CF"/>
            </w:tcBorders>
            <w:shd w:val="clear" w:color="auto" w:fill="ECF7F1"/>
          </w:tcPr>
          <w:p w14:paraId="07331B79"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276" w:type="dxa"/>
            <w:tcBorders>
              <w:top w:val="single" w:sz="4" w:space="0" w:color="BCE4CF"/>
              <w:bottom w:val="single" w:sz="4" w:space="0" w:color="BCE4CF"/>
            </w:tcBorders>
            <w:shd w:val="clear" w:color="auto" w:fill="F5FBF8"/>
          </w:tcPr>
          <w:p w14:paraId="4EB1A10F"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312" w:type="dxa"/>
            <w:tcBorders>
              <w:top w:val="single" w:sz="4" w:space="0" w:color="BCE4CF"/>
              <w:bottom w:val="single" w:sz="4" w:space="0" w:color="BCE4CF"/>
            </w:tcBorders>
            <w:shd w:val="clear" w:color="auto" w:fill="F5FBF8"/>
          </w:tcPr>
          <w:p w14:paraId="0F7CADD2"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084" w:type="dxa"/>
            <w:tcBorders>
              <w:top w:val="single" w:sz="4" w:space="0" w:color="BCE4CF"/>
              <w:bottom w:val="single" w:sz="4" w:space="0" w:color="BCE4CF"/>
            </w:tcBorders>
            <w:shd w:val="clear" w:color="auto" w:fill="F5FBF8"/>
          </w:tcPr>
          <w:p w14:paraId="3D24FDF2"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4F2F10A5"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003BA334"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650AF0F9" w14:textId="77777777" w:rsidR="00761977" w:rsidRPr="009E7CA0" w:rsidRDefault="00761977" w:rsidP="00DA0B22">
            <w:pPr>
              <w:pStyle w:val="TableLeadAgency"/>
              <w:rPr>
                <w:b/>
                <w:bCs/>
                <w:lang w:eastAsia="ja-JP"/>
              </w:rPr>
            </w:pPr>
            <w:r w:rsidRPr="009E7CA0">
              <w:rPr>
                <w:b/>
                <w:bCs/>
                <w:lang w:eastAsia="ja-JP"/>
              </w:rPr>
              <w:lastRenderedPageBreak/>
              <w:t>Home Affairs</w:t>
            </w:r>
          </w:p>
          <w:p w14:paraId="6FCB8022" w14:textId="77777777" w:rsidR="00761977" w:rsidRPr="00905C56" w:rsidRDefault="00761977" w:rsidP="00905C56">
            <w:pPr>
              <w:pStyle w:val="TableSecondaryAgency"/>
              <w:rPr>
                <w:b w:val="0"/>
                <w:lang w:eastAsia="en-US"/>
              </w:rPr>
            </w:pPr>
            <w:r w:rsidRPr="00905C56">
              <w:rPr>
                <w:b w:val="0"/>
                <w:lang w:eastAsia="ja-JP"/>
              </w:rPr>
              <w:t xml:space="preserve">AUSTRAC </w:t>
            </w:r>
          </w:p>
        </w:tc>
        <w:tc>
          <w:tcPr>
            <w:tcW w:w="1405" w:type="dxa"/>
            <w:tcBorders>
              <w:top w:val="single" w:sz="4" w:space="0" w:color="BCE4CF"/>
              <w:bottom w:val="single" w:sz="4" w:space="0" w:color="BCE4CF"/>
            </w:tcBorders>
          </w:tcPr>
          <w:p w14:paraId="6CFF85F8"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All </w:t>
            </w:r>
          </w:p>
        </w:tc>
        <w:tc>
          <w:tcPr>
            <w:tcW w:w="2775" w:type="dxa"/>
            <w:gridSpan w:val="2"/>
            <w:tcBorders>
              <w:top w:val="single" w:sz="4" w:space="0" w:color="BCE4CF"/>
              <w:bottom w:val="single" w:sz="4" w:space="0" w:color="BCE4CF"/>
            </w:tcBorders>
          </w:tcPr>
          <w:p w14:paraId="21C37168" w14:textId="77777777" w:rsidR="00761977" w:rsidRPr="009E7CA0" w:rsidRDefault="00761977" w:rsidP="00E0533D">
            <w:pPr>
              <w:pStyle w:val="TableLink"/>
              <w:cnfStyle w:val="000000000000" w:firstRow="0" w:lastRow="0" w:firstColumn="0" w:lastColumn="0" w:oddVBand="0" w:evenVBand="0" w:oddHBand="0" w:evenHBand="0" w:firstRowFirstColumn="0" w:firstRowLastColumn="0" w:lastRowFirstColumn="0" w:lastRowLastColumn="0"/>
              <w:rPr>
                <w:sz w:val="16"/>
                <w:lang w:eastAsia="ja-JP"/>
              </w:rPr>
            </w:pPr>
            <w:r w:rsidRPr="009E7CA0">
              <w:t>The Anti-Money Laundering and Counter-Terrorism Financing Amendment Bill 2026</w:t>
            </w:r>
            <w:r w:rsidRPr="009E7CA0">
              <w:rPr>
                <w:sz w:val="16"/>
                <w:lang w:eastAsia="ja-JP"/>
              </w:rPr>
              <w:t xml:space="preserve"> </w:t>
            </w:r>
            <w:r w:rsidRPr="009E7CA0">
              <w:rPr>
                <w:bCs/>
                <w:color w:val="4D7861" w:themeColor="accent2"/>
              </w:rPr>
              <w:t>(new)</w:t>
            </w:r>
          </w:p>
          <w:p w14:paraId="61E2756D" w14:textId="4A7AD885" w:rsidR="00761977" w:rsidRPr="009E7CA0" w:rsidRDefault="00761977" w:rsidP="00C2054F">
            <w:pPr>
              <w:pStyle w:val="TableTextLeft"/>
              <w:cnfStyle w:val="000000000000" w:firstRow="0" w:lastRow="0" w:firstColumn="0" w:lastColumn="0" w:oddVBand="0" w:evenVBand="0" w:oddHBand="0" w:evenHBand="0" w:firstRowFirstColumn="0" w:firstRowLastColumn="0" w:lastRowFirstColumn="0" w:lastRowLastColumn="0"/>
            </w:pPr>
            <w:r w:rsidRPr="009E7CA0">
              <w:t>Proposed reforms to the AML/CTF</w:t>
            </w:r>
            <w:r w:rsidR="002773EC">
              <w:t> </w:t>
            </w:r>
            <w:r w:rsidRPr="009E7CA0">
              <w:t xml:space="preserve">Act will give the AUSTRAC CEO powers to restrict or prohibit </w:t>
            </w:r>
            <w:r w:rsidR="002773EC">
              <w:br/>
            </w:r>
            <w:r w:rsidRPr="009E7CA0">
              <w:t xml:space="preserve">high-risk products, services or delivery channels, and amend the definition of ‘financing of terrorism’. </w:t>
            </w:r>
          </w:p>
          <w:p w14:paraId="47BFBDD9" w14:textId="4ADAF80A" w:rsidR="00761977" w:rsidRPr="009E7CA0" w:rsidRDefault="00761977" w:rsidP="00C2054F">
            <w:pPr>
              <w:pStyle w:val="TableTextLeft"/>
              <w:cnfStyle w:val="000000000000" w:firstRow="0" w:lastRow="0" w:firstColumn="0" w:lastColumn="0" w:oddVBand="0" w:evenVBand="0" w:oddHBand="0" w:evenHBand="0" w:firstRowFirstColumn="0" w:firstRowLastColumn="0" w:lastRowFirstColumn="0" w:lastRowLastColumn="0"/>
            </w:pPr>
            <w:r w:rsidRPr="009E7CA0">
              <w:t>Home Affairs consulted on the proposed reforms in December</w:t>
            </w:r>
            <w:r w:rsidR="00D17BEC" w:rsidRPr="009E7CA0">
              <w:t> </w:t>
            </w:r>
            <w:r w:rsidRPr="009E7CA0">
              <w:t xml:space="preserve">2025/January 2026. </w:t>
            </w:r>
          </w:p>
          <w:p w14:paraId="21E31336" w14:textId="77777777" w:rsidR="00761977" w:rsidRPr="009E7CA0" w:rsidRDefault="00761977" w:rsidP="00C2054F">
            <w:pPr>
              <w:pStyle w:val="TableTextLeft"/>
              <w:cnfStyle w:val="000000000000" w:firstRow="0" w:lastRow="0" w:firstColumn="0" w:lastColumn="0" w:oddVBand="0" w:evenVBand="0" w:oddHBand="0" w:evenHBand="0" w:firstRowFirstColumn="0" w:firstRowLastColumn="0" w:lastRowFirstColumn="0" w:lastRowLastColumn="0"/>
              <w:rPr>
                <w:lang w:eastAsia="en-US"/>
              </w:rPr>
            </w:pPr>
            <w:r w:rsidRPr="009E7CA0">
              <w:t>The reforms were</w:t>
            </w:r>
            <w:r w:rsidRPr="009E7CA0">
              <w:rPr>
                <w:lang w:eastAsia="ja-JP"/>
              </w:rPr>
              <w:t xml:space="preserve"> introduced in Parliament on 12 March 2026.</w:t>
            </w:r>
          </w:p>
        </w:tc>
        <w:tc>
          <w:tcPr>
            <w:tcW w:w="1458" w:type="dxa"/>
            <w:gridSpan w:val="2"/>
            <w:tcBorders>
              <w:top w:val="single" w:sz="4" w:space="0" w:color="BCE4CF"/>
              <w:bottom w:val="single" w:sz="4" w:space="0" w:color="BCE4CF"/>
            </w:tcBorders>
            <w:shd w:val="clear" w:color="auto" w:fill="ECF7F1"/>
          </w:tcPr>
          <w:p w14:paraId="1F64CF3E" w14:textId="2C93CBAD" w:rsidR="00761977" w:rsidRPr="009E7CA0" w:rsidRDefault="00761977" w:rsidP="00FC2144">
            <w:pPr>
              <w:pStyle w:val="TableTextLeft"/>
              <w:cnfStyle w:val="000000000000" w:firstRow="0" w:lastRow="0" w:firstColumn="0" w:lastColumn="0" w:oddVBand="0" w:evenVBand="0" w:oddHBand="0" w:evenHBand="0" w:firstRowFirstColumn="0" w:firstRowLastColumn="0" w:lastRowFirstColumn="0" w:lastRowLastColumn="0"/>
            </w:pPr>
          </w:p>
        </w:tc>
        <w:tc>
          <w:tcPr>
            <w:tcW w:w="1446" w:type="dxa"/>
            <w:gridSpan w:val="2"/>
            <w:tcBorders>
              <w:top w:val="single" w:sz="4" w:space="0" w:color="BCE4CF"/>
              <w:bottom w:val="single" w:sz="4" w:space="0" w:color="BCE4CF"/>
            </w:tcBorders>
            <w:shd w:val="clear" w:color="auto" w:fill="ECF7F1"/>
          </w:tcPr>
          <w:p w14:paraId="796F4214" w14:textId="77777777" w:rsidR="00761977" w:rsidRPr="009E7CA0" w:rsidRDefault="00761977" w:rsidP="00FC2144">
            <w:pPr>
              <w:pStyle w:val="TableTextLeft"/>
              <w:cnfStyle w:val="000000000000" w:firstRow="0" w:lastRow="0" w:firstColumn="0" w:lastColumn="0" w:oddVBand="0" w:evenVBand="0" w:oddHBand="0" w:evenHBand="0" w:firstRowFirstColumn="0" w:firstRowLastColumn="0" w:lastRowFirstColumn="0" w:lastRowLastColumn="0"/>
            </w:pPr>
          </w:p>
        </w:tc>
        <w:tc>
          <w:tcPr>
            <w:tcW w:w="1409" w:type="dxa"/>
            <w:tcBorders>
              <w:top w:val="single" w:sz="4" w:space="0" w:color="BCE4CF"/>
              <w:bottom w:val="single" w:sz="4" w:space="0" w:color="BCE4CF"/>
            </w:tcBorders>
            <w:shd w:val="clear" w:color="auto" w:fill="ECF7F1"/>
          </w:tcPr>
          <w:p w14:paraId="3C470130" w14:textId="77777777" w:rsidR="00761977" w:rsidRPr="009E7CA0" w:rsidRDefault="00761977" w:rsidP="00FC2144">
            <w:pPr>
              <w:pStyle w:val="TableTextLeft"/>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BCE4CF"/>
              <w:bottom w:val="single" w:sz="4" w:space="0" w:color="BCE4CF"/>
            </w:tcBorders>
            <w:shd w:val="clear" w:color="auto" w:fill="F5FBF8"/>
          </w:tcPr>
          <w:p w14:paraId="0B055519" w14:textId="5E64B877" w:rsidR="00761977" w:rsidRPr="002773EC" w:rsidRDefault="00761977" w:rsidP="00FC2144">
            <w:pPr>
              <w:pStyle w:val="TableTextLeft"/>
              <w:cnfStyle w:val="000000000000" w:firstRow="0" w:lastRow="0" w:firstColumn="0" w:lastColumn="0" w:oddVBand="0" w:evenVBand="0" w:oddHBand="0" w:evenHBand="0" w:firstRowFirstColumn="0" w:firstRowLastColumn="0" w:lastRowFirstColumn="0" w:lastRowLastColumn="0"/>
              <w:rPr>
                <w:sz w:val="17"/>
                <w:szCs w:val="17"/>
              </w:rPr>
            </w:pPr>
            <w:r w:rsidRPr="002773EC">
              <w:rPr>
                <w:sz w:val="17"/>
                <w:szCs w:val="17"/>
                <w:lang w:eastAsia="ja-JP"/>
              </w:rPr>
              <w:t>All obligations under the AML/CTF Amendment Bill 2026 will commence by 1</w:t>
            </w:r>
            <w:r w:rsidR="00C90429" w:rsidRPr="002773EC">
              <w:rPr>
                <w:sz w:val="17"/>
                <w:szCs w:val="17"/>
                <w:lang w:eastAsia="ja-JP"/>
              </w:rPr>
              <w:t> </w:t>
            </w:r>
            <w:r w:rsidRPr="002773EC">
              <w:rPr>
                <w:sz w:val="17"/>
                <w:szCs w:val="17"/>
                <w:lang w:eastAsia="ja-JP"/>
              </w:rPr>
              <w:t>January</w:t>
            </w:r>
            <w:r w:rsidR="00C90429" w:rsidRPr="002773EC">
              <w:rPr>
                <w:sz w:val="17"/>
                <w:szCs w:val="17"/>
                <w:lang w:eastAsia="ja-JP"/>
              </w:rPr>
              <w:t> </w:t>
            </w:r>
            <w:r w:rsidRPr="002773EC">
              <w:rPr>
                <w:sz w:val="17"/>
                <w:szCs w:val="17"/>
                <w:lang w:eastAsia="ja-JP"/>
              </w:rPr>
              <w:t>2027</w:t>
            </w:r>
            <w:r w:rsidR="002773EC" w:rsidRPr="002773EC">
              <w:rPr>
                <w:sz w:val="17"/>
                <w:szCs w:val="17"/>
                <w:lang w:eastAsia="ja-JP"/>
              </w:rPr>
              <w:t>.</w:t>
            </w:r>
          </w:p>
        </w:tc>
        <w:tc>
          <w:tcPr>
            <w:tcW w:w="1312" w:type="dxa"/>
            <w:tcBorders>
              <w:top w:val="single" w:sz="4" w:space="0" w:color="BCE4CF"/>
              <w:bottom w:val="single" w:sz="4" w:space="0" w:color="BCE4CF"/>
            </w:tcBorders>
            <w:shd w:val="clear" w:color="auto" w:fill="F5FBF8"/>
          </w:tcPr>
          <w:p w14:paraId="669E5E92"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097" w:type="dxa"/>
            <w:gridSpan w:val="2"/>
            <w:tcBorders>
              <w:top w:val="single" w:sz="4" w:space="0" w:color="BCE4CF"/>
              <w:bottom w:val="single" w:sz="4" w:space="0" w:color="BCE4CF"/>
            </w:tcBorders>
            <w:shd w:val="clear" w:color="auto" w:fill="F5FBF8"/>
          </w:tcPr>
          <w:p w14:paraId="649EF39C"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40F48914"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1E416A" w:rsidRPr="009E7CA0" w14:paraId="47052F82"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0AF0BAB1" w14:textId="77777777" w:rsidR="00761977" w:rsidRPr="009E7CA0" w:rsidRDefault="00761977" w:rsidP="00DA0B22">
            <w:pPr>
              <w:pStyle w:val="TableLeadAgency"/>
              <w:rPr>
                <w:b/>
                <w:bCs/>
                <w:lang w:eastAsia="en-US"/>
              </w:rPr>
            </w:pPr>
            <w:r w:rsidRPr="009E7CA0">
              <w:rPr>
                <w:b/>
                <w:bCs/>
                <w:lang w:eastAsia="en-US"/>
              </w:rPr>
              <w:lastRenderedPageBreak/>
              <w:t>Home Affairs</w:t>
            </w:r>
          </w:p>
          <w:p w14:paraId="5036BFA4" w14:textId="77777777" w:rsidR="00761977" w:rsidRPr="006B2B3F" w:rsidRDefault="00761977" w:rsidP="006B2B3F">
            <w:pPr>
              <w:pStyle w:val="TableSecondaryAgency"/>
              <w:rPr>
                <w:b w:val="0"/>
              </w:rPr>
            </w:pPr>
            <w:r w:rsidRPr="006B2B3F">
              <w:rPr>
                <w:b w:val="0"/>
                <w:lang w:eastAsia="en-US"/>
              </w:rPr>
              <w:t>AUSTRAC</w:t>
            </w:r>
          </w:p>
        </w:tc>
        <w:tc>
          <w:tcPr>
            <w:tcW w:w="1405" w:type="dxa"/>
            <w:tcBorders>
              <w:top w:val="single" w:sz="4" w:space="0" w:color="BCE4CF"/>
              <w:bottom w:val="single" w:sz="4" w:space="0" w:color="BCE4CF"/>
            </w:tcBorders>
          </w:tcPr>
          <w:p w14:paraId="5F62C64A"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All</w:t>
            </w:r>
          </w:p>
        </w:tc>
        <w:tc>
          <w:tcPr>
            <w:tcW w:w="2775" w:type="dxa"/>
            <w:gridSpan w:val="2"/>
            <w:tcBorders>
              <w:top w:val="single" w:sz="4" w:space="0" w:color="BCE4CF"/>
              <w:bottom w:val="single" w:sz="4" w:space="0" w:color="BCE4CF"/>
            </w:tcBorders>
          </w:tcPr>
          <w:p w14:paraId="6B5DFFFD" w14:textId="77777777" w:rsidR="00761977" w:rsidRPr="009E7CA0" w:rsidRDefault="00761977" w:rsidP="00B202DD">
            <w:pPr>
              <w:pStyle w:val="TableTextLeft"/>
              <w:cnfStyle w:val="000000000000" w:firstRow="0" w:lastRow="0" w:firstColumn="0" w:lastColumn="0" w:oddVBand="0" w:evenVBand="0" w:oddHBand="0" w:evenHBand="0" w:firstRowFirstColumn="0" w:firstRowLastColumn="0" w:lastRowFirstColumn="0" w:lastRowLastColumn="0"/>
              <w:rPr>
                <w:rStyle w:val="Strong"/>
              </w:rPr>
            </w:pPr>
            <w:r w:rsidRPr="009E7CA0">
              <w:rPr>
                <w:rStyle w:val="Strong"/>
              </w:rPr>
              <w:t xml:space="preserve">The Anti-Money Laundering and Counter-Terrorism Financing Regulations </w:t>
            </w:r>
          </w:p>
          <w:p w14:paraId="10327776" w14:textId="77777777" w:rsidR="00761977" w:rsidRPr="009E7CA0" w:rsidRDefault="00761977" w:rsidP="00B7017A">
            <w:pPr>
              <w:pStyle w:val="TableTextLeft"/>
              <w:cnfStyle w:val="000000000000" w:firstRow="0" w:lastRow="0" w:firstColumn="0" w:lastColumn="0" w:oddVBand="0" w:evenVBand="0" w:oddHBand="0" w:evenHBand="0" w:firstRowFirstColumn="0" w:firstRowLastColumn="0" w:lastRowFirstColumn="0" w:lastRowLastColumn="0"/>
              <w:rPr>
                <w:lang w:eastAsia="en-US"/>
              </w:rPr>
            </w:pPr>
            <w:r w:rsidRPr="009E7CA0">
              <w:rPr>
                <w:lang w:eastAsia="en-US"/>
              </w:rPr>
              <w:t xml:space="preserve">Amendments to the </w:t>
            </w:r>
            <w:r w:rsidRPr="009E7CA0">
              <w:rPr>
                <w:i/>
                <w:lang w:eastAsia="en-US"/>
              </w:rPr>
              <w:t>Anti</w:t>
            </w:r>
            <w:r w:rsidRPr="009E7CA0">
              <w:rPr>
                <w:i/>
                <w:iCs/>
                <w:lang w:eastAsia="en-US"/>
              </w:rPr>
              <w:noBreakHyphen/>
            </w:r>
            <w:r w:rsidRPr="009E7CA0">
              <w:rPr>
                <w:i/>
                <w:lang w:eastAsia="en-US"/>
              </w:rPr>
              <w:t xml:space="preserve">Money Laundering and </w:t>
            </w:r>
            <w:r w:rsidRPr="009E7CA0">
              <w:rPr>
                <w:i/>
                <w:iCs/>
                <w:lang w:eastAsia="en-US"/>
              </w:rPr>
              <w:t>Counter-Terrorism</w:t>
            </w:r>
            <w:r w:rsidRPr="009E7CA0">
              <w:rPr>
                <w:i/>
                <w:lang w:eastAsia="en-US"/>
              </w:rPr>
              <w:t xml:space="preserve"> Financing Act 2006</w:t>
            </w:r>
            <w:r w:rsidRPr="009E7CA0">
              <w:rPr>
                <w:lang w:eastAsia="en-US"/>
              </w:rPr>
              <w:t xml:space="preserve"> create a new exception to the tipping</w:t>
            </w:r>
            <w:r w:rsidRPr="009E7CA0">
              <w:rPr>
                <w:lang w:eastAsia="en-US"/>
              </w:rPr>
              <w:noBreakHyphen/>
              <w:t>off offence that allows for private</w:t>
            </w:r>
            <w:r w:rsidRPr="009E7CA0">
              <w:rPr>
                <w:lang w:eastAsia="en-US"/>
              </w:rPr>
              <w:noBreakHyphen/>
              <w:t>to</w:t>
            </w:r>
            <w:r w:rsidRPr="009E7CA0">
              <w:rPr>
                <w:lang w:eastAsia="en-US"/>
              </w:rPr>
              <w:noBreakHyphen/>
              <w:t xml:space="preserve">private information sharing. </w:t>
            </w:r>
            <w:r w:rsidRPr="009E7CA0">
              <w:t>Home</w:t>
            </w:r>
            <w:r w:rsidRPr="009E7CA0">
              <w:rPr>
                <w:lang w:eastAsia="en-US"/>
              </w:rPr>
              <w:t xml:space="preserve"> Affairs is currently developing regulations to operationalise this exception. </w:t>
            </w:r>
          </w:p>
          <w:p w14:paraId="73F79C8C" w14:textId="77777777" w:rsidR="00761977" w:rsidRDefault="00761977" w:rsidP="00B7017A">
            <w:pPr>
              <w:pStyle w:val="TableTextLeft"/>
              <w:cnfStyle w:val="000000000000" w:firstRow="0" w:lastRow="0" w:firstColumn="0" w:lastColumn="0" w:oddVBand="0" w:evenVBand="0" w:oddHBand="0" w:evenHBand="0" w:firstRowFirstColumn="0" w:firstRowLastColumn="0" w:lastRowFirstColumn="0" w:lastRowLastColumn="0"/>
              <w:rPr>
                <w:lang w:eastAsia="en-US"/>
              </w:rPr>
            </w:pPr>
            <w:r w:rsidRPr="009E7CA0">
              <w:rPr>
                <w:lang w:eastAsia="en-US"/>
              </w:rPr>
              <w:t xml:space="preserve">Home Affairs is also developing regulations associated with the definition of proliferation financing. The AML/CTF </w:t>
            </w:r>
            <w:r w:rsidRPr="009E7CA0">
              <w:t>regime</w:t>
            </w:r>
            <w:r w:rsidRPr="009E7CA0">
              <w:rPr>
                <w:lang w:eastAsia="en-US"/>
              </w:rPr>
              <w:t xml:space="preserve"> now permits relevant laws of Commonwealth, state and territories to be prescribed in regulations to assist reporting entities in complying with their obligations under the regime. Home Affairs is currently working through which laws could be appropriately listed. </w:t>
            </w:r>
          </w:p>
          <w:p w14:paraId="7B1DA8BB" w14:textId="221D3D56" w:rsidR="00872B16" w:rsidRPr="008011E3" w:rsidRDefault="00872B16" w:rsidP="00B7017A">
            <w:pPr>
              <w:pStyle w:val="TableTextLeft"/>
              <w:cnfStyle w:val="000000000000" w:firstRow="0" w:lastRow="0" w:firstColumn="0" w:lastColumn="0" w:oddVBand="0" w:evenVBand="0" w:oddHBand="0" w:evenHBand="0" w:firstRowFirstColumn="0" w:firstRowLastColumn="0" w:lastRowFirstColumn="0" w:lastRowLastColumn="0"/>
            </w:pPr>
            <w:r w:rsidRPr="009E7CA0">
              <w:t>AML/CTF proliferation financing regulations came into effect on 31 March 2026.</w:t>
            </w:r>
          </w:p>
        </w:tc>
        <w:tc>
          <w:tcPr>
            <w:tcW w:w="1458" w:type="dxa"/>
            <w:gridSpan w:val="2"/>
            <w:tcBorders>
              <w:top w:val="single" w:sz="4" w:space="0" w:color="BCE4CF"/>
              <w:bottom w:val="single" w:sz="4" w:space="0" w:color="BCE4CF"/>
            </w:tcBorders>
            <w:shd w:val="clear" w:color="auto" w:fill="ECF7F1"/>
          </w:tcPr>
          <w:p w14:paraId="258B6CE2" w14:textId="10859461" w:rsidR="00761977" w:rsidRPr="009E7CA0" w:rsidRDefault="00761977" w:rsidP="0024079E">
            <w:pPr>
              <w:pStyle w:val="TableTextLeft"/>
              <w:cnfStyle w:val="000000000000" w:firstRow="0" w:lastRow="0" w:firstColumn="0" w:lastColumn="0" w:oddVBand="0" w:evenVBand="0" w:oddHBand="0" w:evenHBand="0" w:firstRowFirstColumn="0" w:firstRowLastColumn="0" w:lastRowFirstColumn="0" w:lastRowLastColumn="0"/>
            </w:pPr>
            <w:r w:rsidRPr="009E7CA0">
              <w:t>The Department of Home Affairs to</w:t>
            </w:r>
            <w:r w:rsidR="007625D5">
              <w:t xml:space="preserve"> </w:t>
            </w:r>
            <w:r w:rsidRPr="009E7CA0">
              <w:t>consult publicly on private-to-private information sharing regulations.*</w:t>
            </w:r>
          </w:p>
        </w:tc>
        <w:tc>
          <w:tcPr>
            <w:tcW w:w="1446" w:type="dxa"/>
            <w:gridSpan w:val="2"/>
            <w:tcBorders>
              <w:top w:val="single" w:sz="4" w:space="0" w:color="BCE4CF"/>
              <w:bottom w:val="single" w:sz="4" w:space="0" w:color="BCE4CF"/>
            </w:tcBorders>
            <w:shd w:val="clear" w:color="auto" w:fill="ECF7F1"/>
          </w:tcPr>
          <w:p w14:paraId="70DCDF8F" w14:textId="5181DEDF" w:rsidR="00761977" w:rsidRPr="009E7CA0" w:rsidRDefault="00761977" w:rsidP="0024079E">
            <w:pPr>
              <w:pStyle w:val="TableTextLeft"/>
              <w:cnfStyle w:val="000000000000" w:firstRow="0" w:lastRow="0" w:firstColumn="0" w:lastColumn="0" w:oddVBand="0" w:evenVBand="0" w:oddHBand="0" w:evenHBand="0" w:firstRowFirstColumn="0" w:firstRowLastColumn="0" w:lastRowFirstColumn="0" w:lastRowLastColumn="0"/>
            </w:pPr>
            <w:r w:rsidRPr="009E7CA0">
              <w:t>Private</w:t>
            </w:r>
            <w:r w:rsidR="00B91F50" w:rsidRPr="009E7CA0">
              <w:noBreakHyphen/>
            </w:r>
            <w:r w:rsidRPr="009E7CA0">
              <w:t>to</w:t>
            </w:r>
            <w:r w:rsidR="00B91F50" w:rsidRPr="009E7CA0">
              <w:noBreakHyphen/>
            </w:r>
            <w:r w:rsidRPr="009E7CA0">
              <w:t>private information sharing regulations to</w:t>
            </w:r>
            <w:r w:rsidR="0024079E" w:rsidRPr="009E7CA0">
              <w:t> </w:t>
            </w:r>
            <w:r w:rsidRPr="009E7CA0">
              <w:t>be made.*</w:t>
            </w:r>
          </w:p>
        </w:tc>
        <w:tc>
          <w:tcPr>
            <w:tcW w:w="1409" w:type="dxa"/>
            <w:tcBorders>
              <w:top w:val="single" w:sz="4" w:space="0" w:color="BCE4CF"/>
              <w:bottom w:val="single" w:sz="4" w:space="0" w:color="BCE4CF"/>
            </w:tcBorders>
            <w:shd w:val="clear" w:color="auto" w:fill="ECF7F1"/>
          </w:tcPr>
          <w:p w14:paraId="64795966"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276" w:type="dxa"/>
            <w:tcBorders>
              <w:top w:val="single" w:sz="4" w:space="0" w:color="BCE4CF"/>
              <w:bottom w:val="single" w:sz="4" w:space="0" w:color="BCE4CF"/>
            </w:tcBorders>
            <w:shd w:val="clear" w:color="auto" w:fill="F5FBF8"/>
          </w:tcPr>
          <w:p w14:paraId="1E677FFD"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312" w:type="dxa"/>
            <w:tcBorders>
              <w:top w:val="single" w:sz="4" w:space="0" w:color="BCE4CF"/>
              <w:bottom w:val="single" w:sz="4" w:space="0" w:color="BCE4CF"/>
            </w:tcBorders>
            <w:shd w:val="clear" w:color="auto" w:fill="F5FBF8"/>
          </w:tcPr>
          <w:p w14:paraId="03A5CFE6"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097" w:type="dxa"/>
            <w:gridSpan w:val="2"/>
            <w:tcBorders>
              <w:top w:val="single" w:sz="4" w:space="0" w:color="BCE4CF"/>
              <w:bottom w:val="single" w:sz="4" w:space="0" w:color="BCE4CF"/>
            </w:tcBorders>
            <w:shd w:val="clear" w:color="auto" w:fill="F5FBF8"/>
          </w:tcPr>
          <w:p w14:paraId="0B256CDF"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35CE50F9"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3B24EF86"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2CFC59E8" w14:textId="77777777" w:rsidR="00761977" w:rsidRPr="009E7CA0" w:rsidRDefault="00761977" w:rsidP="00DA0B22">
            <w:pPr>
              <w:pStyle w:val="TableLeadAgency"/>
              <w:rPr>
                <w:b/>
                <w:bCs/>
              </w:rPr>
            </w:pPr>
            <w:r w:rsidRPr="009E7CA0">
              <w:rPr>
                <w:b/>
                <w:bCs/>
              </w:rPr>
              <w:lastRenderedPageBreak/>
              <w:t>AUSTRAC</w:t>
            </w:r>
          </w:p>
          <w:p w14:paraId="6811DE4A" w14:textId="77777777" w:rsidR="00761977" w:rsidRPr="008F63C6" w:rsidRDefault="00761977" w:rsidP="008F63C6">
            <w:pPr>
              <w:pStyle w:val="TableSecondaryAgency"/>
              <w:rPr>
                <w:b w:val="0"/>
              </w:rPr>
            </w:pPr>
            <w:r w:rsidRPr="008F63C6">
              <w:rPr>
                <w:b w:val="0"/>
              </w:rPr>
              <w:t>Home Affairs</w:t>
            </w:r>
          </w:p>
        </w:tc>
        <w:tc>
          <w:tcPr>
            <w:tcW w:w="1405" w:type="dxa"/>
            <w:tcBorders>
              <w:top w:val="single" w:sz="4" w:space="0" w:color="BCE4CF"/>
              <w:bottom w:val="single" w:sz="4" w:space="0" w:color="BCE4CF"/>
            </w:tcBorders>
          </w:tcPr>
          <w:p w14:paraId="1089A1E4"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All</w:t>
            </w:r>
          </w:p>
        </w:tc>
        <w:tc>
          <w:tcPr>
            <w:tcW w:w="2775" w:type="dxa"/>
            <w:gridSpan w:val="2"/>
            <w:tcBorders>
              <w:top w:val="single" w:sz="4" w:space="0" w:color="BCE4CF"/>
              <w:bottom w:val="single" w:sz="4" w:space="0" w:color="BCE4CF"/>
            </w:tcBorders>
          </w:tcPr>
          <w:p w14:paraId="0B14559D" w14:textId="77777777" w:rsidR="00761977" w:rsidRPr="009E7CA0" w:rsidRDefault="00761977" w:rsidP="00806D37">
            <w:pPr>
              <w:pStyle w:val="TableLink"/>
              <w:cnfStyle w:val="000000000000" w:firstRow="0" w:lastRow="0" w:firstColumn="0" w:lastColumn="0" w:oddVBand="0" w:evenVBand="0" w:oddHBand="0" w:evenHBand="0" w:firstRowFirstColumn="0" w:firstRowLastColumn="0" w:lastRowFirstColumn="0" w:lastRowLastColumn="0"/>
            </w:pPr>
            <w:r w:rsidRPr="009E7CA0">
              <w:t xml:space="preserve">The </w:t>
            </w:r>
            <w:hyperlink r:id="rId85" w:history="1">
              <w:r w:rsidRPr="009E7CA0">
                <w:t>Anti</w:t>
              </w:r>
              <w:r w:rsidRPr="009E7CA0">
                <w:noBreakHyphen/>
                <w:t>Money Laundering and Counter</w:t>
              </w:r>
              <w:r w:rsidRPr="009E7CA0">
                <w:noBreakHyphen/>
                <w:t>Terrorism Financing Rules</w:t>
              </w:r>
            </w:hyperlink>
          </w:p>
          <w:p w14:paraId="16DCDD90" w14:textId="77777777" w:rsidR="00761977" w:rsidRDefault="00761977" w:rsidP="0092141B">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As part of the reforms to the </w:t>
            </w:r>
            <w:r w:rsidRPr="009E7CA0">
              <w:rPr>
                <w:i/>
                <w:iCs/>
              </w:rPr>
              <w:t>Anti</w:t>
            </w:r>
            <w:r w:rsidRPr="009E7CA0">
              <w:rPr>
                <w:i/>
                <w:iCs/>
              </w:rPr>
              <w:noBreakHyphen/>
              <w:t>Money Laundering and Counter Terrorism Financing Act 2006</w:t>
            </w:r>
            <w:r w:rsidRPr="009E7CA0">
              <w:t xml:space="preserve">, development of Anti-Money Laundering and Counter-Terrorism Financing (AML/CTF) Rules will improve the effectiveness of the AML/CTF regime by simplifying and clarifying the existing regime to make it easier for businesses to meet their obligations, and will modernise the regime to reflect changing business structures and technologies across the economy. </w:t>
            </w:r>
          </w:p>
          <w:p w14:paraId="26251AD7" w14:textId="57228BC1" w:rsidR="00716570" w:rsidRPr="009E7CA0" w:rsidRDefault="00716570" w:rsidP="0092141B">
            <w:pPr>
              <w:pStyle w:val="TableTextLeft"/>
              <w:cnfStyle w:val="000000000000" w:firstRow="0" w:lastRow="0" w:firstColumn="0" w:lastColumn="0" w:oddVBand="0" w:evenVBand="0" w:oddHBand="0" w:evenHBand="0" w:firstRowFirstColumn="0" w:firstRowLastColumn="0" w:lastRowFirstColumn="0" w:lastRowLastColumn="0"/>
              <w:rPr>
                <w:color w:val="5D779D" w:themeColor="accent3"/>
                <w:u w:val="single"/>
              </w:rPr>
            </w:pPr>
            <w:r w:rsidRPr="009E7CA0">
              <w:t>New AML/CTF Rules came into effect on 31 March 2026.</w:t>
            </w:r>
          </w:p>
        </w:tc>
        <w:tc>
          <w:tcPr>
            <w:tcW w:w="1458" w:type="dxa"/>
            <w:gridSpan w:val="2"/>
            <w:tcBorders>
              <w:top w:val="single" w:sz="4" w:space="0" w:color="BCE4CF"/>
              <w:bottom w:val="single" w:sz="4" w:space="0" w:color="BCE4CF"/>
            </w:tcBorders>
            <w:shd w:val="clear" w:color="auto" w:fill="ECF7F1"/>
          </w:tcPr>
          <w:p w14:paraId="7883636C" w14:textId="09AA253D" w:rsidR="00761977" w:rsidRPr="009E7CA0" w:rsidRDefault="00761977" w:rsidP="0092141B">
            <w:pPr>
              <w:pStyle w:val="TableTextLeft"/>
              <w:cnfStyle w:val="000000000000" w:firstRow="0" w:lastRow="0" w:firstColumn="0" w:lastColumn="0" w:oddVBand="0" w:evenVBand="0" w:oddHBand="0" w:evenHBand="0" w:firstRowFirstColumn="0" w:firstRowLastColumn="0" w:lastRowFirstColumn="0" w:lastRowLastColumn="0"/>
            </w:pPr>
          </w:p>
        </w:tc>
        <w:tc>
          <w:tcPr>
            <w:tcW w:w="1446" w:type="dxa"/>
            <w:gridSpan w:val="2"/>
            <w:tcBorders>
              <w:top w:val="single" w:sz="4" w:space="0" w:color="BCE4CF"/>
              <w:bottom w:val="single" w:sz="4" w:space="0" w:color="BCE4CF"/>
            </w:tcBorders>
            <w:shd w:val="clear" w:color="auto" w:fill="ECF7F1"/>
          </w:tcPr>
          <w:p w14:paraId="638A24B6" w14:textId="09EB4D04" w:rsidR="00761977" w:rsidRPr="009E7CA0" w:rsidRDefault="00761977" w:rsidP="0092141B">
            <w:pPr>
              <w:pStyle w:val="TableTextLeft"/>
              <w:cnfStyle w:val="000000000000" w:firstRow="0" w:lastRow="0" w:firstColumn="0" w:lastColumn="0" w:oddVBand="0" w:evenVBand="0" w:oddHBand="0" w:evenHBand="0" w:firstRowFirstColumn="0" w:firstRowLastColumn="0" w:lastRowFirstColumn="0" w:lastRowLastColumn="0"/>
            </w:pPr>
            <w:r w:rsidRPr="009E7CA0">
              <w:t>AML/CTF obligations commence for Tranche 2 entities on 1</w:t>
            </w:r>
            <w:r w:rsidR="007A451B" w:rsidRPr="009E7CA0">
              <w:t> </w:t>
            </w:r>
            <w:r w:rsidRPr="009E7CA0">
              <w:t>July</w:t>
            </w:r>
            <w:r w:rsidR="007A451B" w:rsidRPr="009E7CA0">
              <w:t> </w:t>
            </w:r>
            <w:r w:rsidRPr="009E7CA0">
              <w:t>2026.</w:t>
            </w:r>
          </w:p>
        </w:tc>
        <w:tc>
          <w:tcPr>
            <w:tcW w:w="1409" w:type="dxa"/>
            <w:tcBorders>
              <w:top w:val="single" w:sz="4" w:space="0" w:color="BCE4CF"/>
              <w:bottom w:val="single" w:sz="4" w:space="0" w:color="BCE4CF"/>
            </w:tcBorders>
            <w:shd w:val="clear" w:color="auto" w:fill="ECF7F1"/>
          </w:tcPr>
          <w:p w14:paraId="45AF4B55"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276" w:type="dxa"/>
            <w:tcBorders>
              <w:top w:val="single" w:sz="4" w:space="0" w:color="BCE4CF"/>
              <w:bottom w:val="single" w:sz="4" w:space="0" w:color="BCE4CF"/>
            </w:tcBorders>
            <w:shd w:val="clear" w:color="auto" w:fill="F5FBF8"/>
          </w:tcPr>
          <w:p w14:paraId="70E9E753"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312" w:type="dxa"/>
            <w:tcBorders>
              <w:top w:val="single" w:sz="4" w:space="0" w:color="BCE4CF"/>
              <w:bottom w:val="single" w:sz="4" w:space="0" w:color="BCE4CF"/>
            </w:tcBorders>
            <w:shd w:val="clear" w:color="auto" w:fill="F5FBF8"/>
          </w:tcPr>
          <w:p w14:paraId="585C471F"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097" w:type="dxa"/>
            <w:gridSpan w:val="2"/>
            <w:tcBorders>
              <w:top w:val="single" w:sz="4" w:space="0" w:color="BCE4CF"/>
              <w:bottom w:val="single" w:sz="4" w:space="0" w:color="BCE4CF"/>
            </w:tcBorders>
            <w:shd w:val="clear" w:color="auto" w:fill="F5FBF8"/>
          </w:tcPr>
          <w:p w14:paraId="672166B9"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076EA7B8"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58924CFE"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1305AB91" w14:textId="77777777" w:rsidR="00761977" w:rsidRPr="009E7CA0" w:rsidRDefault="00761977" w:rsidP="00DA0B22">
            <w:pPr>
              <w:pStyle w:val="TableLeadAgency"/>
              <w:rPr>
                <w:b/>
                <w:bCs/>
              </w:rPr>
            </w:pPr>
            <w:r w:rsidRPr="009E7CA0">
              <w:rPr>
                <w:b/>
                <w:bCs/>
              </w:rPr>
              <w:t>AUSTRAC</w:t>
            </w:r>
          </w:p>
          <w:p w14:paraId="5B93A2E1" w14:textId="77777777" w:rsidR="00761977" w:rsidRPr="008F63C6" w:rsidRDefault="00761977" w:rsidP="008F63C6">
            <w:pPr>
              <w:pStyle w:val="TableSecondaryAgency"/>
              <w:rPr>
                <w:b w:val="0"/>
              </w:rPr>
            </w:pPr>
            <w:r w:rsidRPr="008F63C6">
              <w:rPr>
                <w:b w:val="0"/>
              </w:rPr>
              <w:t>Home Affairs</w:t>
            </w:r>
          </w:p>
        </w:tc>
        <w:tc>
          <w:tcPr>
            <w:tcW w:w="1405" w:type="dxa"/>
            <w:tcBorders>
              <w:top w:val="single" w:sz="4" w:space="0" w:color="BCE4CF"/>
              <w:bottom w:val="single" w:sz="4" w:space="0" w:color="BCE4CF"/>
            </w:tcBorders>
          </w:tcPr>
          <w:p w14:paraId="49DC7D56"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All</w:t>
            </w:r>
          </w:p>
        </w:tc>
        <w:tc>
          <w:tcPr>
            <w:tcW w:w="2775" w:type="dxa"/>
            <w:gridSpan w:val="2"/>
            <w:tcBorders>
              <w:top w:val="single" w:sz="4" w:space="0" w:color="BCE4CF"/>
              <w:bottom w:val="single" w:sz="4" w:space="0" w:color="BCE4CF"/>
            </w:tcBorders>
          </w:tcPr>
          <w:p w14:paraId="2AC11FCA" w14:textId="77777777" w:rsidR="00761977" w:rsidRPr="009E7CA0" w:rsidRDefault="00761977" w:rsidP="00806D37">
            <w:pPr>
              <w:pStyle w:val="TableLink"/>
              <w:cnfStyle w:val="000000000000" w:firstRow="0" w:lastRow="0" w:firstColumn="0" w:lastColumn="0" w:oddVBand="0" w:evenVBand="0" w:oddHBand="0" w:evenHBand="0" w:firstRowFirstColumn="0" w:firstRowLastColumn="0" w:lastRowFirstColumn="0" w:lastRowLastColumn="0"/>
              <w:rPr>
                <w:sz w:val="16"/>
              </w:rPr>
            </w:pPr>
            <w:hyperlink r:id="rId86" w:history="1">
              <w:r w:rsidRPr="009E7CA0">
                <w:t>The Anti-Money Laundering and Counter-Terrorism Financing (AML/CTF) Rules 2025</w:t>
              </w:r>
            </w:hyperlink>
            <w:r w:rsidRPr="009E7CA0">
              <w:rPr>
                <w:sz w:val="16"/>
              </w:rPr>
              <w:t xml:space="preserve"> </w:t>
            </w:r>
            <w:r w:rsidRPr="009E7CA0">
              <w:rPr>
                <w:bCs/>
                <w:color w:val="4D7861" w:themeColor="accent2"/>
              </w:rPr>
              <w:t>(new)</w:t>
            </w:r>
          </w:p>
          <w:p w14:paraId="2F248822" w14:textId="50DD47B9" w:rsidR="00761977" w:rsidRDefault="00761977" w:rsidP="0092141B">
            <w:pPr>
              <w:pStyle w:val="TableTextLeft"/>
              <w:cnfStyle w:val="000000000000" w:firstRow="0" w:lastRow="0" w:firstColumn="0" w:lastColumn="0" w:oddVBand="0" w:evenVBand="0" w:oddHBand="0" w:evenHBand="0" w:firstRowFirstColumn="0" w:firstRowLastColumn="0" w:lastRowFirstColumn="0" w:lastRowLastColumn="0"/>
            </w:pPr>
            <w:r w:rsidRPr="009E7CA0">
              <w:t>AUSTRAC</w:t>
            </w:r>
            <w:r w:rsidR="002558AE">
              <w:t xml:space="preserve"> </w:t>
            </w:r>
            <w:r w:rsidR="00077C17">
              <w:t xml:space="preserve">has amended </w:t>
            </w:r>
            <w:r w:rsidRPr="009E7CA0">
              <w:t xml:space="preserve">the </w:t>
            </w:r>
            <w:r w:rsidRPr="009E7CA0">
              <w:rPr>
                <w:i/>
                <w:iCs/>
              </w:rPr>
              <w:t>Anti-Money Laundering and Counter</w:t>
            </w:r>
            <w:r w:rsidR="0092141B" w:rsidRPr="009E7CA0">
              <w:rPr>
                <w:i/>
                <w:iCs/>
              </w:rPr>
              <w:noBreakHyphen/>
            </w:r>
            <w:r w:rsidRPr="009E7CA0">
              <w:rPr>
                <w:i/>
                <w:iCs/>
              </w:rPr>
              <w:t>Terrorism Financing (AML/CTF) Rules 2025</w:t>
            </w:r>
            <w:r w:rsidRPr="009E7CA0">
              <w:t xml:space="preserve"> that were published in August</w:t>
            </w:r>
            <w:r w:rsidR="0092141B" w:rsidRPr="009E7CA0">
              <w:t> </w:t>
            </w:r>
            <w:r w:rsidRPr="009E7CA0">
              <w:t>2025. The amendments to the AML/CTF Rules</w:t>
            </w:r>
            <w:r w:rsidR="006B2BCE" w:rsidRPr="009E7CA0">
              <w:t> </w:t>
            </w:r>
            <w:r w:rsidRPr="009E7CA0">
              <w:t xml:space="preserve">2025 are targeted and are required to improve the effectiveness of the Rules as well as correct minor errors that were identified. </w:t>
            </w:r>
          </w:p>
          <w:p w14:paraId="4DED502A" w14:textId="70486726" w:rsidR="00471FD9" w:rsidRPr="009E7CA0" w:rsidRDefault="00471FD9" w:rsidP="0092141B">
            <w:pPr>
              <w:pStyle w:val="TableTextLeft"/>
              <w:cnfStyle w:val="000000000000" w:firstRow="0" w:lastRow="0" w:firstColumn="0" w:lastColumn="0" w:oddVBand="0" w:evenVBand="0" w:oddHBand="0" w:evenHBand="0" w:firstRowFirstColumn="0" w:firstRowLastColumn="0" w:lastRowFirstColumn="0" w:lastRowLastColumn="0"/>
              <w:rPr>
                <w:color w:val="5D779D" w:themeColor="accent3"/>
                <w:u w:val="single"/>
              </w:rPr>
            </w:pPr>
            <w:r w:rsidRPr="009E7CA0">
              <w:t>On 31 March 2026 amendments to the AML/CTF Rules came into force.</w:t>
            </w:r>
          </w:p>
        </w:tc>
        <w:tc>
          <w:tcPr>
            <w:tcW w:w="1458" w:type="dxa"/>
            <w:gridSpan w:val="2"/>
            <w:tcBorders>
              <w:top w:val="single" w:sz="4" w:space="0" w:color="BCE4CF"/>
              <w:bottom w:val="single" w:sz="4" w:space="0" w:color="BCE4CF"/>
            </w:tcBorders>
            <w:shd w:val="clear" w:color="auto" w:fill="ECF7F1"/>
          </w:tcPr>
          <w:p w14:paraId="2429358C" w14:textId="67717A5D" w:rsidR="00761977" w:rsidRPr="009E7CA0" w:rsidRDefault="00761977" w:rsidP="0092141B">
            <w:pPr>
              <w:pStyle w:val="TableTextLeft"/>
              <w:cnfStyle w:val="000000000000" w:firstRow="0" w:lastRow="0" w:firstColumn="0" w:lastColumn="0" w:oddVBand="0" w:evenVBand="0" w:oddHBand="0" w:evenHBand="0" w:firstRowFirstColumn="0" w:firstRowLastColumn="0" w:lastRowFirstColumn="0" w:lastRowLastColumn="0"/>
            </w:pPr>
          </w:p>
        </w:tc>
        <w:tc>
          <w:tcPr>
            <w:tcW w:w="1446" w:type="dxa"/>
            <w:gridSpan w:val="2"/>
            <w:tcBorders>
              <w:top w:val="single" w:sz="4" w:space="0" w:color="BCE4CF"/>
              <w:bottom w:val="single" w:sz="4" w:space="0" w:color="BCE4CF"/>
            </w:tcBorders>
            <w:shd w:val="clear" w:color="auto" w:fill="ECF7F1"/>
          </w:tcPr>
          <w:p w14:paraId="5BF810FA" w14:textId="4FB918B3" w:rsidR="00761977" w:rsidRPr="009E7CA0" w:rsidRDefault="00761977" w:rsidP="0092141B">
            <w:pPr>
              <w:pStyle w:val="TableTextLeft"/>
              <w:cnfStyle w:val="000000000000" w:firstRow="0" w:lastRow="0" w:firstColumn="0" w:lastColumn="0" w:oddVBand="0" w:evenVBand="0" w:oddHBand="0" w:evenHBand="0" w:firstRowFirstColumn="0" w:firstRowLastColumn="0" w:lastRowFirstColumn="0" w:lastRowLastColumn="0"/>
            </w:pPr>
            <w:r w:rsidRPr="009E7CA0">
              <w:t>AML/CTF obligations commence for Tranche 2 entities on 1</w:t>
            </w:r>
            <w:r w:rsidR="006B2BCE" w:rsidRPr="009E7CA0">
              <w:t> </w:t>
            </w:r>
            <w:r w:rsidRPr="009E7CA0">
              <w:t>July</w:t>
            </w:r>
            <w:r w:rsidR="006B2BCE" w:rsidRPr="009E7CA0">
              <w:t> </w:t>
            </w:r>
            <w:r w:rsidRPr="009E7CA0">
              <w:t>2026.</w:t>
            </w:r>
          </w:p>
        </w:tc>
        <w:tc>
          <w:tcPr>
            <w:tcW w:w="1409" w:type="dxa"/>
            <w:tcBorders>
              <w:top w:val="single" w:sz="4" w:space="0" w:color="BCE4CF"/>
              <w:bottom w:val="single" w:sz="4" w:space="0" w:color="BCE4CF"/>
            </w:tcBorders>
            <w:shd w:val="clear" w:color="auto" w:fill="ECF7F1"/>
          </w:tcPr>
          <w:p w14:paraId="56B02DD8" w14:textId="77777777" w:rsidR="00761977" w:rsidRPr="009E7CA0" w:rsidRDefault="00761977" w:rsidP="005028B2">
            <w:pPr>
              <w:pStyle w:val="TableTextLeft"/>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BCE4CF"/>
              <w:bottom w:val="single" w:sz="4" w:space="0" w:color="BCE4CF"/>
            </w:tcBorders>
            <w:shd w:val="clear" w:color="auto" w:fill="F5FBF8"/>
          </w:tcPr>
          <w:p w14:paraId="3FDBAE4E" w14:textId="77777777" w:rsidR="00761977" w:rsidRPr="009E7CA0" w:rsidRDefault="00761977" w:rsidP="005028B2">
            <w:pPr>
              <w:pStyle w:val="TableTextLeft"/>
              <w:cnfStyle w:val="000000000000" w:firstRow="0" w:lastRow="0" w:firstColumn="0" w:lastColumn="0" w:oddVBand="0" w:evenVBand="0" w:oddHBand="0" w:evenHBand="0" w:firstRowFirstColumn="0" w:firstRowLastColumn="0" w:lastRowFirstColumn="0" w:lastRowLastColumn="0"/>
            </w:pPr>
          </w:p>
        </w:tc>
        <w:tc>
          <w:tcPr>
            <w:tcW w:w="1312" w:type="dxa"/>
            <w:tcBorders>
              <w:top w:val="single" w:sz="4" w:space="0" w:color="BCE4CF"/>
              <w:bottom w:val="single" w:sz="4" w:space="0" w:color="BCE4CF"/>
            </w:tcBorders>
            <w:shd w:val="clear" w:color="auto" w:fill="F5FBF8"/>
          </w:tcPr>
          <w:p w14:paraId="69BAC352" w14:textId="77777777" w:rsidR="00761977" w:rsidRPr="009E7CA0" w:rsidRDefault="00761977" w:rsidP="005028B2">
            <w:pPr>
              <w:pStyle w:val="TableTextLeft"/>
              <w:cnfStyle w:val="000000000000" w:firstRow="0" w:lastRow="0" w:firstColumn="0" w:lastColumn="0" w:oddVBand="0" w:evenVBand="0" w:oddHBand="0" w:evenHBand="0" w:firstRowFirstColumn="0" w:firstRowLastColumn="0" w:lastRowFirstColumn="0" w:lastRowLastColumn="0"/>
            </w:pPr>
          </w:p>
        </w:tc>
        <w:tc>
          <w:tcPr>
            <w:tcW w:w="1097" w:type="dxa"/>
            <w:gridSpan w:val="2"/>
            <w:tcBorders>
              <w:top w:val="single" w:sz="4" w:space="0" w:color="BCE4CF"/>
              <w:bottom w:val="single" w:sz="4" w:space="0" w:color="BCE4CF"/>
            </w:tcBorders>
            <w:shd w:val="clear" w:color="auto" w:fill="F5FBF8"/>
          </w:tcPr>
          <w:p w14:paraId="3CE40A97" w14:textId="77777777" w:rsidR="00761977" w:rsidRPr="009E7CA0" w:rsidRDefault="00761977" w:rsidP="005028B2">
            <w:pPr>
              <w:pStyle w:val="TableTextLeft"/>
              <w:cnfStyle w:val="000000000000" w:firstRow="0" w:lastRow="0" w:firstColumn="0" w:lastColumn="0" w:oddVBand="0" w:evenVBand="0" w:oddHBand="0" w:evenHBand="0" w:firstRowFirstColumn="0" w:firstRowLastColumn="0" w:lastRowFirstColumn="0" w:lastRowLastColumn="0"/>
            </w:pPr>
          </w:p>
        </w:tc>
        <w:tc>
          <w:tcPr>
            <w:tcW w:w="964" w:type="dxa"/>
            <w:gridSpan w:val="2"/>
            <w:tcBorders>
              <w:top w:val="single" w:sz="4" w:space="0" w:color="BCE4CF"/>
              <w:bottom w:val="single" w:sz="4" w:space="0" w:color="BCE4CF"/>
            </w:tcBorders>
            <w:shd w:val="clear" w:color="auto" w:fill="F5FBF8"/>
          </w:tcPr>
          <w:p w14:paraId="1377089E"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2955BAFE"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7FA0A3EE" w14:textId="77777777" w:rsidR="00761977" w:rsidRPr="009E7CA0" w:rsidRDefault="00761977" w:rsidP="00DA0B22">
            <w:pPr>
              <w:pStyle w:val="TableLeadAgency"/>
              <w:rPr>
                <w:b/>
                <w:bCs/>
              </w:rPr>
            </w:pPr>
            <w:r w:rsidRPr="009E7CA0">
              <w:rPr>
                <w:b/>
                <w:bCs/>
              </w:rPr>
              <w:lastRenderedPageBreak/>
              <w:t>TSY</w:t>
            </w:r>
          </w:p>
          <w:p w14:paraId="50BDE4BC" w14:textId="77777777" w:rsidR="00761977" w:rsidRPr="008F63C6" w:rsidRDefault="00761977" w:rsidP="008F63C6">
            <w:pPr>
              <w:pStyle w:val="TableSecondaryAgency"/>
              <w:rPr>
                <w:b w:val="0"/>
              </w:rPr>
            </w:pPr>
            <w:r w:rsidRPr="008F63C6" w:rsidDel="00F56A72">
              <w:rPr>
                <w:b w:val="0"/>
              </w:rPr>
              <w:t>APRA</w:t>
            </w:r>
          </w:p>
        </w:tc>
        <w:tc>
          <w:tcPr>
            <w:tcW w:w="1405" w:type="dxa"/>
            <w:tcBorders>
              <w:top w:val="single" w:sz="4" w:space="0" w:color="BCE4CF"/>
              <w:bottom w:val="single" w:sz="4" w:space="0" w:color="BCE4CF"/>
            </w:tcBorders>
          </w:tcPr>
          <w:p w14:paraId="1FFCE321"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Superannuation and retirement income</w:t>
            </w:r>
          </w:p>
        </w:tc>
        <w:tc>
          <w:tcPr>
            <w:tcW w:w="2775" w:type="dxa"/>
            <w:gridSpan w:val="2"/>
            <w:tcBorders>
              <w:top w:val="single" w:sz="4" w:space="0" w:color="BCE4CF"/>
              <w:bottom w:val="single" w:sz="4" w:space="0" w:color="BCE4CF"/>
            </w:tcBorders>
          </w:tcPr>
          <w:p w14:paraId="43A232DE" w14:textId="77777777" w:rsidR="00761977" w:rsidRPr="009E7CA0" w:rsidRDefault="00761977" w:rsidP="007A186C">
            <w:pPr>
              <w:pStyle w:val="TableLink"/>
              <w:cnfStyle w:val="000000000000" w:firstRow="0" w:lastRow="0" w:firstColumn="0" w:lastColumn="0" w:oddVBand="0" w:evenVBand="0" w:oddHBand="0" w:evenHBand="0" w:firstRowFirstColumn="0" w:firstRowLastColumn="0" w:lastRowFirstColumn="0" w:lastRowLastColumn="0"/>
            </w:pPr>
            <w:hyperlink r:id="rId87" w:history="1">
              <w:r w:rsidRPr="009E7CA0">
                <w:t>Retirement Reporting Framework</w:t>
              </w:r>
            </w:hyperlink>
            <w:r w:rsidRPr="009E7CA0">
              <w:t xml:space="preserve"> </w:t>
            </w:r>
          </w:p>
          <w:p w14:paraId="40864C3C" w14:textId="77777777" w:rsidR="00761977" w:rsidRPr="009E7CA0" w:rsidRDefault="00761977" w:rsidP="005028B2">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The government is developing a new reporting framework on retirement outcomes. The framework will measure industry progress in the retirement phase of superannuation and drive uplift in members’ outcomes by creating greater transparency across industry. </w:t>
            </w:r>
          </w:p>
          <w:p w14:paraId="7B276E9D" w14:textId="77777777" w:rsidR="00761977" w:rsidRPr="009E7CA0" w:rsidRDefault="00761977" w:rsidP="005028B2">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The government published the design of the framework in February 2026. </w:t>
            </w:r>
          </w:p>
          <w:p w14:paraId="32CB6E8D" w14:textId="33765D9F" w:rsidR="000F702E" w:rsidRPr="009E7CA0" w:rsidRDefault="00761977" w:rsidP="004A16BD">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APRA will collect and publish the data required to give effect to the framework. Consultation on the associated reporting standards will be conducted by APRA in 2026, with data collection to commence in 2027. </w:t>
            </w:r>
          </w:p>
        </w:tc>
        <w:tc>
          <w:tcPr>
            <w:tcW w:w="1458" w:type="dxa"/>
            <w:gridSpan w:val="2"/>
            <w:tcBorders>
              <w:top w:val="single" w:sz="4" w:space="0" w:color="BCE4CF"/>
              <w:bottom w:val="single" w:sz="4" w:space="0" w:color="BCE4CF"/>
            </w:tcBorders>
            <w:shd w:val="clear" w:color="auto" w:fill="ECF7F1"/>
          </w:tcPr>
          <w:p w14:paraId="4B1E57F1" w14:textId="6C9AE077" w:rsidR="00761977" w:rsidRPr="009E7CA0" w:rsidRDefault="00761977" w:rsidP="005028B2">
            <w:pPr>
              <w:pStyle w:val="TableTextLeft"/>
              <w:cnfStyle w:val="000000000000" w:firstRow="0" w:lastRow="0" w:firstColumn="0" w:lastColumn="0" w:oddVBand="0" w:evenVBand="0" w:oddHBand="0" w:evenHBand="0" w:firstRowFirstColumn="0" w:firstRowLastColumn="0" w:lastRowFirstColumn="0" w:lastRowLastColumn="0"/>
            </w:pPr>
            <w:r w:rsidRPr="009E7CA0">
              <w:t>APRA commenced consultation on proposed implementation of the framework</w:t>
            </w:r>
            <w:r w:rsidR="002773EC">
              <w:t xml:space="preserve"> o</w:t>
            </w:r>
            <w:r w:rsidRPr="009E7CA0">
              <w:t>n</w:t>
            </w:r>
            <w:r w:rsidR="00C01DE0" w:rsidRPr="009E7CA0">
              <w:t> </w:t>
            </w:r>
            <w:r w:rsidRPr="009E7CA0">
              <w:t>23</w:t>
            </w:r>
            <w:r w:rsidR="001318BD" w:rsidRPr="009E7CA0">
              <w:t> </w:t>
            </w:r>
            <w:r w:rsidRPr="009E7CA0">
              <w:t>March</w:t>
            </w:r>
            <w:r w:rsidR="002773EC">
              <w:t>.</w:t>
            </w:r>
            <w:r w:rsidRPr="009E7CA0">
              <w:t>^</w:t>
            </w:r>
          </w:p>
        </w:tc>
        <w:tc>
          <w:tcPr>
            <w:tcW w:w="1446" w:type="dxa"/>
            <w:gridSpan w:val="2"/>
            <w:tcBorders>
              <w:top w:val="single" w:sz="4" w:space="0" w:color="BCE4CF"/>
              <w:bottom w:val="single" w:sz="4" w:space="0" w:color="BCE4CF"/>
            </w:tcBorders>
            <w:shd w:val="clear" w:color="auto" w:fill="ECF7F1"/>
          </w:tcPr>
          <w:p w14:paraId="66208460" w14:textId="77777777" w:rsidR="00761977" w:rsidRPr="009E7CA0" w:rsidRDefault="00761977" w:rsidP="005028B2">
            <w:pPr>
              <w:pStyle w:val="TableTextLeft"/>
              <w:cnfStyle w:val="000000000000" w:firstRow="0" w:lastRow="0" w:firstColumn="0" w:lastColumn="0" w:oddVBand="0" w:evenVBand="0" w:oddHBand="0" w:evenHBand="0" w:firstRowFirstColumn="0" w:firstRowLastColumn="0" w:lastRowFirstColumn="0" w:lastRowLastColumn="0"/>
            </w:pPr>
          </w:p>
        </w:tc>
        <w:tc>
          <w:tcPr>
            <w:tcW w:w="1409" w:type="dxa"/>
            <w:tcBorders>
              <w:top w:val="single" w:sz="4" w:space="0" w:color="BCE4CF"/>
              <w:bottom w:val="single" w:sz="4" w:space="0" w:color="BCE4CF"/>
            </w:tcBorders>
            <w:shd w:val="clear" w:color="auto" w:fill="ECF7F1"/>
          </w:tcPr>
          <w:p w14:paraId="08835030" w14:textId="77777777" w:rsidR="00761977" w:rsidRPr="009E7CA0" w:rsidRDefault="00761977" w:rsidP="005028B2">
            <w:pPr>
              <w:pStyle w:val="TableTextLeft"/>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BCE4CF"/>
              <w:bottom w:val="single" w:sz="4" w:space="0" w:color="BCE4CF"/>
            </w:tcBorders>
            <w:shd w:val="clear" w:color="auto" w:fill="F5FBF8"/>
          </w:tcPr>
          <w:p w14:paraId="39E942D3" w14:textId="77777777" w:rsidR="00761977" w:rsidRDefault="00761977" w:rsidP="005028B2">
            <w:pPr>
              <w:pStyle w:val="TableTextLeft"/>
              <w:cnfStyle w:val="000000000000" w:firstRow="0" w:lastRow="0" w:firstColumn="0" w:lastColumn="0" w:oddVBand="0" w:evenVBand="0" w:oddHBand="0" w:evenHBand="0" w:firstRowFirstColumn="0" w:firstRowLastColumn="0" w:lastRowFirstColumn="0" w:lastRowLastColumn="0"/>
            </w:pPr>
          </w:p>
          <w:p w14:paraId="30A7F7D6" w14:textId="77777777" w:rsidR="006450A4" w:rsidRPr="009E7CA0" w:rsidRDefault="006450A4" w:rsidP="005028B2">
            <w:pPr>
              <w:pStyle w:val="TableTextLeft"/>
              <w:cnfStyle w:val="000000000000" w:firstRow="0" w:lastRow="0" w:firstColumn="0" w:lastColumn="0" w:oddVBand="0" w:evenVBand="0" w:oddHBand="0" w:evenHBand="0" w:firstRowFirstColumn="0" w:firstRowLastColumn="0" w:lastRowFirstColumn="0" w:lastRowLastColumn="0"/>
            </w:pPr>
          </w:p>
        </w:tc>
        <w:tc>
          <w:tcPr>
            <w:tcW w:w="1312" w:type="dxa"/>
            <w:tcBorders>
              <w:top w:val="single" w:sz="4" w:space="0" w:color="BCE4CF"/>
              <w:bottom w:val="single" w:sz="4" w:space="0" w:color="BCE4CF"/>
            </w:tcBorders>
            <w:shd w:val="clear" w:color="auto" w:fill="F5FBF8"/>
          </w:tcPr>
          <w:p w14:paraId="36DBA1A3" w14:textId="77777777" w:rsidR="00761977" w:rsidRPr="009E7CA0" w:rsidRDefault="00761977" w:rsidP="005028B2">
            <w:pPr>
              <w:pStyle w:val="TableTextLeft"/>
              <w:cnfStyle w:val="000000000000" w:firstRow="0" w:lastRow="0" w:firstColumn="0" w:lastColumn="0" w:oddVBand="0" w:evenVBand="0" w:oddHBand="0" w:evenHBand="0" w:firstRowFirstColumn="0" w:firstRowLastColumn="0" w:lastRowFirstColumn="0" w:lastRowLastColumn="0"/>
            </w:pPr>
          </w:p>
        </w:tc>
        <w:tc>
          <w:tcPr>
            <w:tcW w:w="1097" w:type="dxa"/>
            <w:gridSpan w:val="2"/>
            <w:tcBorders>
              <w:top w:val="single" w:sz="4" w:space="0" w:color="BCE4CF"/>
              <w:bottom w:val="single" w:sz="4" w:space="0" w:color="BCE4CF"/>
            </w:tcBorders>
            <w:shd w:val="clear" w:color="auto" w:fill="F5FBF8"/>
          </w:tcPr>
          <w:p w14:paraId="22D4BC57" w14:textId="77777777" w:rsidR="00761977" w:rsidRPr="009E7CA0" w:rsidRDefault="00761977" w:rsidP="005028B2">
            <w:pPr>
              <w:pStyle w:val="TableTextLeft"/>
              <w:cnfStyle w:val="000000000000" w:firstRow="0" w:lastRow="0" w:firstColumn="0" w:lastColumn="0" w:oddVBand="0" w:evenVBand="0" w:oddHBand="0" w:evenHBand="0" w:firstRowFirstColumn="0" w:firstRowLastColumn="0" w:lastRowFirstColumn="0" w:lastRowLastColumn="0"/>
              <w:rPr>
                <w:lang w:eastAsia="ja-JP"/>
              </w:rPr>
            </w:pPr>
            <w:r w:rsidRPr="009E7CA0">
              <w:rPr>
                <w:lang w:eastAsia="ja-JP"/>
              </w:rPr>
              <w:t xml:space="preserve">First data collection </w:t>
            </w:r>
          </w:p>
          <w:p w14:paraId="564A0C14" w14:textId="77777777" w:rsidR="00761977" w:rsidRPr="009E7CA0" w:rsidRDefault="00761977" w:rsidP="005028B2">
            <w:pPr>
              <w:pStyle w:val="TableTextLeft"/>
              <w:cnfStyle w:val="000000000000" w:firstRow="0" w:lastRow="0" w:firstColumn="0" w:lastColumn="0" w:oddVBand="0" w:evenVBand="0" w:oddHBand="0" w:evenHBand="0" w:firstRowFirstColumn="0" w:firstRowLastColumn="0" w:lastRowFirstColumn="0" w:lastRowLastColumn="0"/>
            </w:pPr>
          </w:p>
        </w:tc>
        <w:tc>
          <w:tcPr>
            <w:tcW w:w="964" w:type="dxa"/>
            <w:gridSpan w:val="2"/>
            <w:tcBorders>
              <w:top w:val="single" w:sz="4" w:space="0" w:color="BCE4CF"/>
              <w:bottom w:val="single" w:sz="4" w:space="0" w:color="BCE4CF"/>
            </w:tcBorders>
            <w:shd w:val="clear" w:color="auto" w:fill="F5FBF8"/>
          </w:tcPr>
          <w:p w14:paraId="71BE3720"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671E9BB1"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58F35932" w14:textId="77777777" w:rsidR="00761977" w:rsidRPr="009E7CA0" w:rsidRDefault="00761977" w:rsidP="00DA0B22">
            <w:pPr>
              <w:pStyle w:val="TableLeadAgency"/>
              <w:rPr>
                <w:b/>
                <w:bCs/>
              </w:rPr>
            </w:pPr>
            <w:r w:rsidRPr="009E7CA0">
              <w:rPr>
                <w:b/>
                <w:bCs/>
              </w:rPr>
              <w:lastRenderedPageBreak/>
              <w:t xml:space="preserve">TSY </w:t>
            </w:r>
          </w:p>
          <w:p w14:paraId="0AB1B27A" w14:textId="77777777" w:rsidR="00761977" w:rsidRPr="008F63C6" w:rsidRDefault="00761977" w:rsidP="008F63C6">
            <w:pPr>
              <w:pStyle w:val="TableSecondaryAgency"/>
              <w:rPr>
                <w:b w:val="0"/>
                <w:bCs/>
              </w:rPr>
            </w:pPr>
            <w:r w:rsidRPr="008F63C6">
              <w:rPr>
                <w:b w:val="0"/>
                <w:bCs/>
              </w:rPr>
              <w:t xml:space="preserve">ACCC </w:t>
            </w:r>
          </w:p>
          <w:p w14:paraId="5E18A798" w14:textId="77777777" w:rsidR="00761977" w:rsidRPr="009E7CA0" w:rsidRDefault="00761977" w:rsidP="008F63C6">
            <w:pPr>
              <w:pStyle w:val="TableSecondaryAgency"/>
              <w:rPr>
                <w:b w:val="0"/>
              </w:rPr>
            </w:pPr>
            <w:r w:rsidRPr="008F63C6">
              <w:rPr>
                <w:b w:val="0"/>
                <w:bCs/>
              </w:rPr>
              <w:t>ASIC</w:t>
            </w:r>
            <w:r w:rsidRPr="009E7CA0" w:rsidDel="006A755A">
              <w:t xml:space="preserve"> </w:t>
            </w:r>
          </w:p>
        </w:tc>
        <w:tc>
          <w:tcPr>
            <w:tcW w:w="1405" w:type="dxa"/>
            <w:tcBorders>
              <w:top w:val="single" w:sz="4" w:space="0" w:color="BCE4CF"/>
              <w:bottom w:val="single" w:sz="4" w:space="0" w:color="BCE4CF"/>
            </w:tcBorders>
          </w:tcPr>
          <w:p w14:paraId="72E251AD"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Banking, credit and lending</w:t>
            </w:r>
          </w:p>
          <w:p w14:paraId="6F64436B"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p>
        </w:tc>
        <w:tc>
          <w:tcPr>
            <w:tcW w:w="2775" w:type="dxa"/>
            <w:gridSpan w:val="2"/>
            <w:tcBorders>
              <w:top w:val="single" w:sz="4" w:space="0" w:color="BCE4CF"/>
              <w:bottom w:val="single" w:sz="4" w:space="0" w:color="BCE4CF"/>
            </w:tcBorders>
          </w:tcPr>
          <w:p w14:paraId="747B5D86" w14:textId="77777777" w:rsidR="00761977" w:rsidRPr="009E7CA0" w:rsidRDefault="00761977" w:rsidP="00975629">
            <w:pPr>
              <w:pStyle w:val="TableLink"/>
              <w:cnfStyle w:val="000000000000" w:firstRow="0" w:lastRow="0" w:firstColumn="0" w:lastColumn="0" w:oddVBand="0" w:evenVBand="0" w:oddHBand="0" w:evenHBand="0" w:firstRowFirstColumn="0" w:firstRowLastColumn="0" w:lastRowFirstColumn="0" w:lastRowLastColumn="0"/>
            </w:pPr>
            <w:hyperlink r:id="rId88" w:history="1">
              <w:r w:rsidRPr="009E7CA0">
                <w:t>Scams Prevention Framework (SPF) – including SPF rules, and sector</w:t>
              </w:r>
              <w:r w:rsidRPr="009E7CA0">
                <w:noBreakHyphen/>
                <w:t>specific designation and code for bank</w:t>
              </w:r>
            </w:hyperlink>
            <w:r w:rsidRPr="009E7CA0">
              <w:t>s</w:t>
            </w:r>
          </w:p>
          <w:p w14:paraId="3BBFCF0C" w14:textId="77777777" w:rsidR="00761977" w:rsidRPr="009E7CA0" w:rsidRDefault="00761977" w:rsidP="005028B2">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On 21 February 2025, the </w:t>
            </w:r>
            <w:r w:rsidRPr="009E7CA0">
              <w:rPr>
                <w:i/>
                <w:iCs/>
              </w:rPr>
              <w:t>Scams Prevention Framework Act 2025</w:t>
            </w:r>
            <w:r w:rsidRPr="009E7CA0">
              <w:t xml:space="preserve"> was enacted. The banking sector is intended to be a designated sector under the SPF, along with the telecommunication and digital platform sectors. SPF rules and mandatory </w:t>
            </w:r>
            <w:r w:rsidRPr="009E7CA0">
              <w:rPr>
                <w:color w:val="000000" w:themeColor="text1"/>
              </w:rPr>
              <w:t xml:space="preserve">codes will be developed for designated sectors to prevent, detect, report, disrupt and respond to scams as well as specific governance obligations. ASIC will be the responsible regulator for enforcing the banking code, working with the ACCC as the general regulator for the SPF. </w:t>
            </w:r>
          </w:p>
        </w:tc>
        <w:tc>
          <w:tcPr>
            <w:tcW w:w="1458" w:type="dxa"/>
            <w:gridSpan w:val="2"/>
            <w:tcBorders>
              <w:top w:val="single" w:sz="4" w:space="0" w:color="BCE4CF"/>
              <w:bottom w:val="single" w:sz="4" w:space="0" w:color="BCE4CF"/>
            </w:tcBorders>
            <w:shd w:val="clear" w:color="auto" w:fill="ECF7F1"/>
          </w:tcPr>
          <w:p w14:paraId="4876D274" w14:textId="6D9E7B99" w:rsidR="00761977" w:rsidRPr="009E7CA0" w:rsidRDefault="00761977" w:rsidP="005028B2">
            <w:pPr>
              <w:pStyle w:val="TableTextLeft"/>
              <w:cnfStyle w:val="000000000000" w:firstRow="0" w:lastRow="0" w:firstColumn="0" w:lastColumn="0" w:oddVBand="0" w:evenVBand="0" w:oddHBand="0" w:evenHBand="0" w:firstRowFirstColumn="0" w:firstRowLastColumn="0" w:lastRowFirstColumn="0" w:lastRowLastColumn="0"/>
              <w:rPr>
                <w:highlight w:val="yellow"/>
              </w:rPr>
            </w:pPr>
            <w:r w:rsidRPr="009E7CA0">
              <w:t>Public consultation on SPF Rules and Codes exposure draft</w:t>
            </w:r>
            <w:r w:rsidR="002773EC">
              <w:t>.</w:t>
            </w:r>
            <w:r w:rsidRPr="009E7CA0">
              <w:t>*</w:t>
            </w:r>
          </w:p>
        </w:tc>
        <w:tc>
          <w:tcPr>
            <w:tcW w:w="1446" w:type="dxa"/>
            <w:gridSpan w:val="2"/>
            <w:tcBorders>
              <w:top w:val="single" w:sz="4" w:space="0" w:color="BCE4CF"/>
              <w:bottom w:val="single" w:sz="4" w:space="0" w:color="BCE4CF"/>
            </w:tcBorders>
            <w:shd w:val="clear" w:color="auto" w:fill="ECF7F1"/>
          </w:tcPr>
          <w:p w14:paraId="117496D7" w14:textId="77777777" w:rsidR="00761977" w:rsidRPr="009E7CA0" w:rsidRDefault="00761977" w:rsidP="005028B2">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SPF obligations to apply. </w:t>
            </w:r>
          </w:p>
          <w:p w14:paraId="40CB82C2" w14:textId="77777777" w:rsidR="00761977" w:rsidRPr="009E7CA0" w:rsidRDefault="00761977" w:rsidP="005028B2">
            <w:pPr>
              <w:pStyle w:val="TableTextLeft"/>
              <w:cnfStyle w:val="000000000000" w:firstRow="0" w:lastRow="0" w:firstColumn="0" w:lastColumn="0" w:oddVBand="0" w:evenVBand="0" w:oddHBand="0" w:evenHBand="0" w:firstRowFirstColumn="0" w:firstRowLastColumn="0" w:lastRowFirstColumn="0" w:lastRowLastColumn="0"/>
              <w:rPr>
                <w:highlight w:val="yellow"/>
              </w:rPr>
            </w:pPr>
          </w:p>
        </w:tc>
        <w:tc>
          <w:tcPr>
            <w:tcW w:w="1409" w:type="dxa"/>
            <w:tcBorders>
              <w:top w:val="single" w:sz="4" w:space="0" w:color="BCE4CF"/>
              <w:bottom w:val="single" w:sz="4" w:space="0" w:color="BCE4CF"/>
            </w:tcBorders>
            <w:shd w:val="clear" w:color="auto" w:fill="ECF7F1"/>
          </w:tcPr>
          <w:p w14:paraId="5A641F59" w14:textId="77777777" w:rsidR="00761977" w:rsidRPr="009E7CA0" w:rsidRDefault="00761977" w:rsidP="005028B2">
            <w:pPr>
              <w:pStyle w:val="TableTextLeft"/>
              <w:cnfStyle w:val="000000000000" w:firstRow="0" w:lastRow="0" w:firstColumn="0" w:lastColumn="0" w:oddVBand="0" w:evenVBand="0" w:oddHBand="0" w:evenHBand="0" w:firstRowFirstColumn="0" w:firstRowLastColumn="0" w:lastRowFirstColumn="0" w:lastRowLastColumn="0"/>
              <w:rPr>
                <w:highlight w:val="yellow"/>
              </w:rPr>
            </w:pPr>
          </w:p>
        </w:tc>
        <w:tc>
          <w:tcPr>
            <w:tcW w:w="1276" w:type="dxa"/>
            <w:tcBorders>
              <w:top w:val="single" w:sz="4" w:space="0" w:color="BCE4CF"/>
              <w:bottom w:val="single" w:sz="4" w:space="0" w:color="BCE4CF"/>
            </w:tcBorders>
            <w:shd w:val="clear" w:color="auto" w:fill="F5FBF8"/>
          </w:tcPr>
          <w:p w14:paraId="4E136F20" w14:textId="38B0CA0E" w:rsidR="00761977" w:rsidRPr="009E7CA0" w:rsidRDefault="00761977" w:rsidP="005028B2">
            <w:pPr>
              <w:pStyle w:val="TableTextLeft"/>
              <w:cnfStyle w:val="000000000000" w:firstRow="0" w:lastRow="0" w:firstColumn="0" w:lastColumn="0" w:oddVBand="0" w:evenVBand="0" w:oddHBand="0" w:evenHBand="0" w:firstRowFirstColumn="0" w:firstRowLastColumn="0" w:lastRowFirstColumn="0" w:lastRowLastColumn="0"/>
              <w:rPr>
                <w:highlight w:val="yellow"/>
              </w:rPr>
            </w:pPr>
            <w:r w:rsidRPr="009E7CA0">
              <w:t>AFCA to commence accepting SPF</w:t>
            </w:r>
            <w:r w:rsidR="002773EC">
              <w:t> </w:t>
            </w:r>
            <w:r w:rsidRPr="009E7CA0">
              <w:t>EDR complaints</w:t>
            </w:r>
            <w:r w:rsidR="002773EC">
              <w:t>.</w:t>
            </w:r>
            <w:r w:rsidRPr="009E7CA0">
              <w:t>*</w:t>
            </w:r>
          </w:p>
        </w:tc>
        <w:tc>
          <w:tcPr>
            <w:tcW w:w="1312" w:type="dxa"/>
            <w:tcBorders>
              <w:top w:val="single" w:sz="4" w:space="0" w:color="BCE4CF"/>
              <w:bottom w:val="single" w:sz="4" w:space="0" w:color="BCE4CF"/>
            </w:tcBorders>
            <w:shd w:val="clear" w:color="auto" w:fill="F5FBF8"/>
          </w:tcPr>
          <w:p w14:paraId="5A9AF7A3" w14:textId="77777777" w:rsidR="00761977" w:rsidRPr="009E7CA0" w:rsidRDefault="00761977" w:rsidP="005028B2">
            <w:pPr>
              <w:pStyle w:val="TableTextLeft"/>
              <w:cnfStyle w:val="000000000000" w:firstRow="0" w:lastRow="0" w:firstColumn="0" w:lastColumn="0" w:oddVBand="0" w:evenVBand="0" w:oddHBand="0" w:evenHBand="0" w:firstRowFirstColumn="0" w:firstRowLastColumn="0" w:lastRowFirstColumn="0" w:lastRowLastColumn="0"/>
            </w:pPr>
          </w:p>
        </w:tc>
        <w:tc>
          <w:tcPr>
            <w:tcW w:w="1097" w:type="dxa"/>
            <w:gridSpan w:val="2"/>
            <w:tcBorders>
              <w:top w:val="single" w:sz="4" w:space="0" w:color="BCE4CF"/>
              <w:bottom w:val="single" w:sz="4" w:space="0" w:color="BCE4CF"/>
            </w:tcBorders>
            <w:shd w:val="clear" w:color="auto" w:fill="F5FBF8"/>
          </w:tcPr>
          <w:p w14:paraId="061B2054" w14:textId="26FF741D" w:rsidR="00761977" w:rsidRPr="009E7CA0" w:rsidRDefault="00761977" w:rsidP="00992038">
            <w:pPr>
              <w:pStyle w:val="TableTextLeft"/>
              <w:cnfStyle w:val="000000000000" w:firstRow="0" w:lastRow="0" w:firstColumn="0" w:lastColumn="0" w:oddVBand="0" w:evenVBand="0" w:oddHBand="0" w:evenHBand="0" w:firstRowFirstColumn="0" w:firstRowLastColumn="0" w:lastRowFirstColumn="0" w:lastRowLastColumn="0"/>
              <w:rPr>
                <w:highlight w:val="yellow"/>
              </w:rPr>
            </w:pPr>
            <w:r w:rsidRPr="009E7CA0">
              <w:t>Intelligence sharing applies</w:t>
            </w:r>
            <w:r w:rsidR="002773EC">
              <w:t>.</w:t>
            </w:r>
            <w:r w:rsidRPr="009E7CA0">
              <w:t>*</w:t>
            </w:r>
          </w:p>
        </w:tc>
        <w:tc>
          <w:tcPr>
            <w:tcW w:w="964" w:type="dxa"/>
            <w:gridSpan w:val="2"/>
            <w:tcBorders>
              <w:top w:val="single" w:sz="4" w:space="0" w:color="BCE4CF"/>
              <w:bottom w:val="single" w:sz="4" w:space="0" w:color="BCE4CF"/>
            </w:tcBorders>
            <w:shd w:val="clear" w:color="auto" w:fill="F5FBF8"/>
          </w:tcPr>
          <w:p w14:paraId="59B3F082"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highlight w:val="yellow"/>
              </w:rPr>
            </w:pPr>
          </w:p>
        </w:tc>
      </w:tr>
      <w:tr w:rsidR="009E7CA0" w:rsidRPr="009E7CA0" w14:paraId="29A123F4" w14:textId="77777777" w:rsidTr="00207AC2">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1F0CF" w:themeColor="accent4"/>
            </w:tcBorders>
          </w:tcPr>
          <w:p w14:paraId="1C47C7CB" w14:textId="77777777" w:rsidR="00761977" w:rsidRPr="009E7CA0" w:rsidRDefault="00761977" w:rsidP="00DA0B22">
            <w:pPr>
              <w:pStyle w:val="TableLeadAgency"/>
              <w:rPr>
                <w:b/>
                <w:bCs/>
              </w:rPr>
            </w:pPr>
            <w:r w:rsidRPr="009E7CA0">
              <w:rPr>
                <w:b/>
                <w:bCs/>
              </w:rPr>
              <w:t>TSY</w:t>
            </w:r>
          </w:p>
          <w:p w14:paraId="08C87F35" w14:textId="77777777" w:rsidR="00761977" w:rsidRPr="008F63C6" w:rsidRDefault="00761977" w:rsidP="008F63C6">
            <w:pPr>
              <w:pStyle w:val="TableSecondaryAgency"/>
              <w:rPr>
                <w:b w:val="0"/>
              </w:rPr>
            </w:pPr>
            <w:r w:rsidRPr="008F63C6">
              <w:rPr>
                <w:b w:val="0"/>
              </w:rPr>
              <w:t>APRA</w:t>
            </w:r>
          </w:p>
        </w:tc>
        <w:tc>
          <w:tcPr>
            <w:tcW w:w="1405" w:type="dxa"/>
            <w:tcBorders>
              <w:top w:val="single" w:sz="4" w:space="0" w:color="BCE4CF"/>
              <w:bottom w:val="single" w:sz="4" w:space="0" w:color="B1F0CF" w:themeColor="accent4"/>
            </w:tcBorders>
          </w:tcPr>
          <w:p w14:paraId="0EC4BA2C"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Superannuation and retirement income</w:t>
            </w:r>
          </w:p>
        </w:tc>
        <w:tc>
          <w:tcPr>
            <w:tcW w:w="2775" w:type="dxa"/>
            <w:gridSpan w:val="2"/>
            <w:tcBorders>
              <w:top w:val="single" w:sz="4" w:space="0" w:color="BCE4CF"/>
              <w:bottom w:val="single" w:sz="4" w:space="0" w:color="B1F0CF" w:themeColor="accent4"/>
            </w:tcBorders>
          </w:tcPr>
          <w:p w14:paraId="2C26DA04" w14:textId="77777777" w:rsidR="00761977" w:rsidRPr="009E7CA0" w:rsidRDefault="00761977" w:rsidP="00975629">
            <w:pPr>
              <w:pStyle w:val="TableLink"/>
              <w:cnfStyle w:val="000000000000" w:firstRow="0" w:lastRow="0" w:firstColumn="0" w:lastColumn="0" w:oddVBand="0" w:evenVBand="0" w:oddHBand="0" w:evenHBand="0" w:firstRowFirstColumn="0" w:firstRowLastColumn="0" w:lastRowFirstColumn="0" w:lastRowLastColumn="0"/>
            </w:pPr>
            <w:hyperlink r:id="rId89" w:history="1">
              <w:r w:rsidRPr="009E7CA0">
                <w:t>Superannuation Performance Test</w:t>
              </w:r>
            </w:hyperlink>
            <w:r w:rsidRPr="009E7CA0">
              <w:t xml:space="preserve"> </w:t>
            </w:r>
          </w:p>
          <w:p w14:paraId="69868F7C" w14:textId="77777777" w:rsidR="00761977" w:rsidRPr="009E7CA0" w:rsidRDefault="00761977" w:rsidP="005028B2">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The government is consulting on reforms to the performance test to ensure it remains fit for purpose for the long term, while ensuring consumers remain protected from underperformance. </w:t>
            </w:r>
          </w:p>
          <w:p w14:paraId="6A3B858D" w14:textId="77777777" w:rsidR="00761977" w:rsidRPr="009E7CA0" w:rsidRDefault="00761977" w:rsidP="00CE23EE">
            <w:pPr>
              <w:pStyle w:val="TableTextLeft"/>
              <w:cnfStyle w:val="000000000000" w:firstRow="0" w:lastRow="0" w:firstColumn="0" w:lastColumn="0" w:oddVBand="0" w:evenVBand="0" w:oddHBand="0" w:evenHBand="0" w:firstRowFirstColumn="0" w:firstRowLastColumn="0" w:lastRowFirstColumn="0" w:lastRowLastColumn="0"/>
              <w:rPr>
                <w:u w:val="single"/>
              </w:rPr>
            </w:pPr>
            <w:r w:rsidRPr="009E7CA0">
              <w:t>The timing of next steps will be announced in due course.</w:t>
            </w:r>
          </w:p>
        </w:tc>
        <w:tc>
          <w:tcPr>
            <w:tcW w:w="1458" w:type="dxa"/>
            <w:gridSpan w:val="2"/>
            <w:tcBorders>
              <w:top w:val="single" w:sz="4" w:space="0" w:color="BCE4CF"/>
              <w:bottom w:val="single" w:sz="4" w:space="0" w:color="B1F0CF" w:themeColor="accent4"/>
            </w:tcBorders>
            <w:shd w:val="clear" w:color="auto" w:fill="ECF7F1"/>
          </w:tcPr>
          <w:p w14:paraId="087F5595"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46" w:type="dxa"/>
            <w:gridSpan w:val="2"/>
            <w:tcBorders>
              <w:top w:val="single" w:sz="4" w:space="0" w:color="BCE4CF"/>
              <w:bottom w:val="single" w:sz="4" w:space="0" w:color="B1F0CF" w:themeColor="accent4"/>
            </w:tcBorders>
            <w:shd w:val="clear" w:color="auto" w:fill="ECF7F1"/>
          </w:tcPr>
          <w:p w14:paraId="1802E310"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09" w:type="dxa"/>
            <w:tcBorders>
              <w:top w:val="single" w:sz="4" w:space="0" w:color="BCE4CF"/>
              <w:bottom w:val="single" w:sz="4" w:space="0" w:color="B1F0CF" w:themeColor="accent4"/>
            </w:tcBorders>
            <w:shd w:val="clear" w:color="auto" w:fill="ECF7F1"/>
          </w:tcPr>
          <w:p w14:paraId="41CD9D8D"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276" w:type="dxa"/>
            <w:tcBorders>
              <w:top w:val="single" w:sz="4" w:space="0" w:color="BCE4CF"/>
              <w:bottom w:val="single" w:sz="4" w:space="0" w:color="B1F0CF" w:themeColor="accent4"/>
            </w:tcBorders>
            <w:shd w:val="clear" w:color="auto" w:fill="F4FAF7"/>
          </w:tcPr>
          <w:p w14:paraId="082201AB"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312" w:type="dxa"/>
            <w:tcBorders>
              <w:top w:val="single" w:sz="4" w:space="0" w:color="BCE4CF"/>
              <w:bottom w:val="single" w:sz="4" w:space="0" w:color="B1F0CF" w:themeColor="accent4"/>
            </w:tcBorders>
            <w:shd w:val="clear" w:color="auto" w:fill="F4FAF7"/>
          </w:tcPr>
          <w:p w14:paraId="1BA6AFA0" w14:textId="77777777" w:rsidR="00761977" w:rsidRPr="009E7CA0" w:rsidDel="00CA3485"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097" w:type="dxa"/>
            <w:gridSpan w:val="2"/>
            <w:tcBorders>
              <w:top w:val="single" w:sz="4" w:space="0" w:color="BCE4CF"/>
              <w:bottom w:val="single" w:sz="4" w:space="0" w:color="B1F0CF" w:themeColor="accent4"/>
            </w:tcBorders>
            <w:shd w:val="clear" w:color="auto" w:fill="F4FAF7"/>
          </w:tcPr>
          <w:p w14:paraId="64AC50EF" w14:textId="77777777" w:rsidR="00761977" w:rsidRPr="009E7CA0" w:rsidDel="00CA3485"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1F0CF" w:themeColor="accent4"/>
            </w:tcBorders>
            <w:shd w:val="clear" w:color="auto" w:fill="F4FAF7"/>
          </w:tcPr>
          <w:p w14:paraId="41A9C96D" w14:textId="77777777" w:rsidR="00761977" w:rsidRPr="009E7CA0" w:rsidDel="00CA3485"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0D9C14DC"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142A68DE" w14:textId="02AF9D25" w:rsidR="00761977" w:rsidRPr="008F63C6" w:rsidRDefault="00761977" w:rsidP="00DA0B22">
            <w:pPr>
              <w:pStyle w:val="TableLeadAgency"/>
              <w:rPr>
                <w:b/>
                <w:bCs/>
              </w:rPr>
            </w:pPr>
            <w:r w:rsidRPr="009E7CA0">
              <w:rPr>
                <w:b/>
                <w:bCs/>
              </w:rPr>
              <w:lastRenderedPageBreak/>
              <w:t>TSY</w:t>
            </w:r>
          </w:p>
        </w:tc>
        <w:tc>
          <w:tcPr>
            <w:tcW w:w="1405" w:type="dxa"/>
            <w:tcBorders>
              <w:top w:val="single" w:sz="4" w:space="0" w:color="BCE4CF"/>
              <w:bottom w:val="single" w:sz="4" w:space="0" w:color="BCE4CF"/>
            </w:tcBorders>
          </w:tcPr>
          <w:p w14:paraId="3A05D52E" w14:textId="77777777" w:rsidR="00761977" w:rsidRPr="009E7CA0" w:rsidRDefault="00761977" w:rsidP="00833984">
            <w:pPr>
              <w:pStyle w:val="TableTextLeft"/>
              <w:cnfStyle w:val="000000000000" w:firstRow="0" w:lastRow="0" w:firstColumn="0" w:lastColumn="0" w:oddVBand="0" w:evenVBand="0" w:oddHBand="0" w:evenHBand="0" w:firstRowFirstColumn="0" w:firstRowLastColumn="0" w:lastRowFirstColumn="0" w:lastRowLastColumn="0"/>
            </w:pPr>
            <w:r w:rsidRPr="009E7CA0">
              <w:t>Payment services and digital assets</w:t>
            </w:r>
          </w:p>
        </w:tc>
        <w:tc>
          <w:tcPr>
            <w:tcW w:w="2775" w:type="dxa"/>
            <w:gridSpan w:val="2"/>
            <w:tcBorders>
              <w:top w:val="single" w:sz="4" w:space="0" w:color="BCE4CF"/>
              <w:bottom w:val="single" w:sz="4" w:space="0" w:color="BCE4CF"/>
            </w:tcBorders>
          </w:tcPr>
          <w:p w14:paraId="0CD018F6" w14:textId="77777777" w:rsidR="00761977" w:rsidRPr="009E7CA0" w:rsidRDefault="00761977" w:rsidP="0098673B">
            <w:pPr>
              <w:pStyle w:val="TableLink"/>
              <w:cnfStyle w:val="000000000000" w:firstRow="0" w:lastRow="0" w:firstColumn="0" w:lastColumn="0" w:oddVBand="0" w:evenVBand="0" w:oddHBand="0" w:evenHBand="0" w:firstRowFirstColumn="0" w:firstRowLastColumn="0" w:lastRowFirstColumn="0" w:lastRowLastColumn="0"/>
              <w:rPr>
                <w:sz w:val="16"/>
              </w:rPr>
            </w:pPr>
            <w:hyperlink r:id="rId90" w:history="1">
              <w:r w:rsidRPr="009E7CA0">
                <w:t>Winding down Australia’s cheques system</w:t>
              </w:r>
            </w:hyperlink>
            <w:r w:rsidRPr="009E7CA0">
              <w:rPr>
                <w:sz w:val="16"/>
                <w:szCs w:val="16"/>
              </w:rPr>
              <w:t xml:space="preserve"> </w:t>
            </w:r>
          </w:p>
          <w:p w14:paraId="265A4147" w14:textId="40EBA3C0" w:rsidR="00761977" w:rsidRPr="009E7CA0" w:rsidRDefault="00761977" w:rsidP="00833984">
            <w:pPr>
              <w:pStyle w:val="TableTextLeft"/>
              <w:cnfStyle w:val="000000000000" w:firstRow="0" w:lastRow="0" w:firstColumn="0" w:lastColumn="0" w:oddVBand="0" w:evenVBand="0" w:oddHBand="0" w:evenHBand="0" w:firstRowFirstColumn="0" w:firstRowLastColumn="0" w:lastRowFirstColumn="0" w:lastRowLastColumn="0"/>
            </w:pPr>
            <w:r w:rsidRPr="009E7CA0">
              <w:t>The Government released Australia’s Cheques Transition Plan on 18</w:t>
            </w:r>
            <w:r w:rsidR="003E16E5" w:rsidRPr="009E7CA0">
              <w:t> </w:t>
            </w:r>
            <w:r w:rsidRPr="009E7CA0">
              <w:t>November 2024, to ensure an orderly and smooth closure of Australia’s cheques system. This includes a 2</w:t>
            </w:r>
            <w:r w:rsidRPr="009E7CA0">
              <w:noBreakHyphen/>
              <w:t>step transition timeline for ceasing issuance of cheques by 30 June 2028 and ceasing acceptance of cheques on 30</w:t>
            </w:r>
            <w:r w:rsidR="003E16E5" w:rsidRPr="009E7CA0">
              <w:t> </w:t>
            </w:r>
            <w:r w:rsidRPr="009E7CA0">
              <w:t>September 2029. In 25-26 MYEFO the Government provided $88.9 million over five years to enable an orderly transition from the use of cheques across the Australian</w:t>
            </w:r>
            <w:r w:rsidR="00992038" w:rsidRPr="009E7CA0">
              <w:t> </w:t>
            </w:r>
            <w:r w:rsidRPr="009E7CA0">
              <w:t xml:space="preserve">Government. </w:t>
            </w:r>
          </w:p>
        </w:tc>
        <w:tc>
          <w:tcPr>
            <w:tcW w:w="1458" w:type="dxa"/>
            <w:gridSpan w:val="2"/>
            <w:tcBorders>
              <w:top w:val="single" w:sz="4" w:space="0" w:color="BCE4CF"/>
              <w:bottom w:val="single" w:sz="4" w:space="0" w:color="BCE4CF"/>
            </w:tcBorders>
            <w:shd w:val="clear" w:color="auto" w:fill="ECF7F1"/>
          </w:tcPr>
          <w:p w14:paraId="6F870533"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46" w:type="dxa"/>
            <w:gridSpan w:val="2"/>
            <w:tcBorders>
              <w:top w:val="single" w:sz="4" w:space="0" w:color="BCE4CF"/>
              <w:bottom w:val="single" w:sz="4" w:space="0" w:color="BCE4CF"/>
            </w:tcBorders>
            <w:shd w:val="clear" w:color="auto" w:fill="ECF7F1"/>
          </w:tcPr>
          <w:p w14:paraId="29DF6F83"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09" w:type="dxa"/>
            <w:tcBorders>
              <w:top w:val="single" w:sz="4" w:space="0" w:color="BCE4CF"/>
              <w:bottom w:val="single" w:sz="4" w:space="0" w:color="BCE4CF"/>
            </w:tcBorders>
            <w:shd w:val="clear" w:color="auto" w:fill="ECF7F1"/>
          </w:tcPr>
          <w:p w14:paraId="7BC5C356"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276" w:type="dxa"/>
            <w:tcBorders>
              <w:top w:val="single" w:sz="4" w:space="0" w:color="BCE4CF"/>
              <w:bottom w:val="single" w:sz="4" w:space="0" w:color="BCE4CF"/>
            </w:tcBorders>
            <w:shd w:val="clear" w:color="auto" w:fill="F5FBF8"/>
          </w:tcPr>
          <w:p w14:paraId="6CE3B6C5"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312" w:type="dxa"/>
            <w:tcBorders>
              <w:top w:val="single" w:sz="4" w:space="0" w:color="BCE4CF"/>
              <w:bottom w:val="single" w:sz="4" w:space="0" w:color="BCE4CF"/>
            </w:tcBorders>
            <w:shd w:val="clear" w:color="auto" w:fill="F5FBF8"/>
          </w:tcPr>
          <w:p w14:paraId="76E79F92"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097" w:type="dxa"/>
            <w:gridSpan w:val="2"/>
            <w:tcBorders>
              <w:top w:val="single" w:sz="4" w:space="0" w:color="BCE4CF"/>
              <w:bottom w:val="single" w:sz="4" w:space="0" w:color="BCE4CF"/>
            </w:tcBorders>
            <w:shd w:val="clear" w:color="auto" w:fill="F5FBF8"/>
          </w:tcPr>
          <w:p w14:paraId="2EE1958F"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1F33499F" w14:textId="29FE1491" w:rsidR="00761977" w:rsidRPr="009E7CA0" w:rsidRDefault="00761977" w:rsidP="00833984">
            <w:pPr>
              <w:pStyle w:val="TableTextLeft"/>
              <w:cnfStyle w:val="000000000000" w:firstRow="0" w:lastRow="0" w:firstColumn="0" w:lastColumn="0" w:oddVBand="0" w:evenVBand="0" w:oddHBand="0" w:evenHBand="0" w:firstRowFirstColumn="0" w:firstRowLastColumn="0" w:lastRowFirstColumn="0" w:lastRowLastColumn="0"/>
            </w:pPr>
            <w:r w:rsidRPr="009E7CA0">
              <w:t>Issuance of cheques to cease by 30</w:t>
            </w:r>
            <w:r w:rsidR="00833984" w:rsidRPr="009E7CA0">
              <w:t> </w:t>
            </w:r>
            <w:r w:rsidRPr="009E7CA0">
              <w:t>June</w:t>
            </w:r>
            <w:r w:rsidR="002773EC">
              <w:t>.</w:t>
            </w:r>
            <w:r w:rsidRPr="009E7CA0">
              <w:t xml:space="preserve">* </w:t>
            </w:r>
          </w:p>
        </w:tc>
      </w:tr>
      <w:tr w:rsidR="00B67E23" w:rsidRPr="009E7CA0" w14:paraId="6D28A1A9" w14:textId="77777777" w:rsidTr="002773EC">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37D8E2F6" w14:textId="77777777" w:rsidR="00761977" w:rsidRPr="009E7CA0" w:rsidRDefault="00761977" w:rsidP="00DA0B22">
            <w:pPr>
              <w:pStyle w:val="TableLeadAgency"/>
              <w:rPr>
                <w:b/>
                <w:bCs/>
              </w:rPr>
            </w:pPr>
            <w:r w:rsidRPr="009E7CA0">
              <w:rPr>
                <w:b/>
                <w:bCs/>
              </w:rPr>
              <w:t>TSY</w:t>
            </w:r>
          </w:p>
        </w:tc>
        <w:tc>
          <w:tcPr>
            <w:tcW w:w="1405" w:type="dxa"/>
            <w:tcBorders>
              <w:top w:val="single" w:sz="4" w:space="0" w:color="BCE4CF"/>
              <w:bottom w:val="single" w:sz="4" w:space="0" w:color="BCE4CF"/>
            </w:tcBorders>
          </w:tcPr>
          <w:p w14:paraId="1687C333"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Payment services and digital assets</w:t>
            </w:r>
          </w:p>
        </w:tc>
        <w:tc>
          <w:tcPr>
            <w:tcW w:w="2775" w:type="dxa"/>
            <w:gridSpan w:val="2"/>
            <w:tcBorders>
              <w:top w:val="single" w:sz="4" w:space="0" w:color="BCE4CF"/>
              <w:bottom w:val="single" w:sz="4" w:space="0" w:color="BCE4CF"/>
            </w:tcBorders>
          </w:tcPr>
          <w:p w14:paraId="7158281B" w14:textId="77777777" w:rsidR="00761977" w:rsidRPr="009E7CA0" w:rsidRDefault="00761977" w:rsidP="0098673B">
            <w:pPr>
              <w:pStyle w:val="TableLink"/>
              <w:cnfStyle w:val="000000000000" w:firstRow="0" w:lastRow="0" w:firstColumn="0" w:lastColumn="0" w:oddVBand="0" w:evenVBand="0" w:oddHBand="0" w:evenHBand="0" w:firstRowFirstColumn="0" w:firstRowLastColumn="0" w:lastRowFirstColumn="0" w:lastRowLastColumn="0"/>
            </w:pPr>
            <w:r w:rsidRPr="009E7CA0">
              <w:t xml:space="preserve">Crypto Asset Reporting Framework and Domestic Crypto Tax Reporting Regime </w:t>
            </w:r>
            <w:r w:rsidRPr="009E7CA0">
              <w:rPr>
                <w:bCs/>
                <w:color w:val="4D7861" w:themeColor="accent2"/>
              </w:rPr>
              <w:t>(new)</w:t>
            </w:r>
          </w:p>
          <w:p w14:paraId="684AC1B5" w14:textId="77777777" w:rsidR="00DF0D59" w:rsidRPr="009E7CA0" w:rsidRDefault="00761977" w:rsidP="00E573EA">
            <w:pPr>
              <w:pStyle w:val="TableTextLeft"/>
              <w:cnfStyle w:val="000000000000" w:firstRow="0" w:lastRow="0" w:firstColumn="0" w:lastColumn="0" w:oddVBand="0" w:evenVBand="0" w:oddHBand="0" w:evenHBand="0" w:firstRowFirstColumn="0" w:firstRowLastColumn="0" w:lastRowFirstColumn="0" w:lastRowLastColumn="0"/>
            </w:pPr>
            <w:r w:rsidRPr="009E7CA0">
              <w:t>The government announced in the 2025</w:t>
            </w:r>
            <w:r w:rsidR="00E70E6C" w:rsidRPr="009E7CA0">
              <w:t>–</w:t>
            </w:r>
            <w:r w:rsidRPr="009E7CA0">
              <w:t>26 MYEFO a new domestic crypto reporting regime to enhance tax transparency. It is intended to apply to crypto asset platforms operating in Australia and would operate alongside the OECD’s Crypto Asset Reporting Framework.</w:t>
            </w:r>
          </w:p>
          <w:p w14:paraId="643623DE" w14:textId="44FF76AC" w:rsidR="00761977" w:rsidRPr="009E7CA0" w:rsidRDefault="00761977" w:rsidP="00E573EA">
            <w:pPr>
              <w:pStyle w:val="TableTextLeft"/>
              <w:cnfStyle w:val="000000000000" w:firstRow="0" w:lastRow="0" w:firstColumn="0" w:lastColumn="0" w:oddVBand="0" w:evenVBand="0" w:oddHBand="0" w:evenHBand="0" w:firstRowFirstColumn="0" w:firstRowLastColumn="0" w:lastRowFirstColumn="0" w:lastRowLastColumn="0"/>
            </w:pPr>
            <w:r w:rsidRPr="009E7CA0">
              <w:t>The measure is announced to commence in 2027, for information to</w:t>
            </w:r>
            <w:r w:rsidR="00DF0D59" w:rsidRPr="009E7CA0">
              <w:t> </w:t>
            </w:r>
            <w:r w:rsidRPr="009E7CA0">
              <w:t>be reported to the Australian</w:t>
            </w:r>
            <w:r w:rsidR="00DF0D59" w:rsidRPr="009E7CA0">
              <w:t> </w:t>
            </w:r>
            <w:r w:rsidRPr="009E7CA0">
              <w:t>Taxation Office in 2028.</w:t>
            </w:r>
          </w:p>
          <w:p w14:paraId="0C0ADBB6" w14:textId="77777777" w:rsidR="00761977" w:rsidRPr="009E7CA0" w:rsidRDefault="00761977" w:rsidP="00E573EA">
            <w:pPr>
              <w:pStyle w:val="TableTextLeft"/>
              <w:cnfStyle w:val="000000000000" w:firstRow="0" w:lastRow="0" w:firstColumn="0" w:lastColumn="0" w:oddVBand="0" w:evenVBand="0" w:oddHBand="0" w:evenHBand="0" w:firstRowFirstColumn="0" w:firstRowLastColumn="0" w:lastRowFirstColumn="0" w:lastRowLastColumn="0"/>
            </w:pPr>
            <w:r w:rsidRPr="009E7CA0">
              <w:t>Treasury will consult on Exposure Draft legislation, subject to legislative priorities.</w:t>
            </w:r>
          </w:p>
        </w:tc>
        <w:tc>
          <w:tcPr>
            <w:tcW w:w="1458" w:type="dxa"/>
            <w:gridSpan w:val="2"/>
            <w:tcBorders>
              <w:top w:val="single" w:sz="4" w:space="0" w:color="BCE4CF"/>
              <w:bottom w:val="single" w:sz="4" w:space="0" w:color="BCE4CF"/>
            </w:tcBorders>
            <w:shd w:val="clear" w:color="auto" w:fill="ECF7F1"/>
          </w:tcPr>
          <w:p w14:paraId="179B835A"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46" w:type="dxa"/>
            <w:gridSpan w:val="2"/>
            <w:tcBorders>
              <w:top w:val="single" w:sz="4" w:space="0" w:color="BCE4CF"/>
              <w:bottom w:val="single" w:sz="4" w:space="0" w:color="BCE4CF"/>
            </w:tcBorders>
            <w:shd w:val="clear" w:color="auto" w:fill="ECF7F1"/>
          </w:tcPr>
          <w:p w14:paraId="440AC9F2" w14:textId="77777777" w:rsidR="00761977" w:rsidRPr="009E7CA0" w:rsidRDefault="00761977" w:rsidP="0037433D">
            <w:pPr>
              <w:pStyle w:val="TableTextLeft"/>
              <w:cnfStyle w:val="000000000000" w:firstRow="0" w:lastRow="0" w:firstColumn="0" w:lastColumn="0" w:oddVBand="0" w:evenVBand="0" w:oddHBand="0" w:evenHBand="0" w:firstRowFirstColumn="0" w:firstRowLastColumn="0" w:lastRowFirstColumn="0" w:lastRowLastColumn="0"/>
            </w:pPr>
          </w:p>
        </w:tc>
        <w:tc>
          <w:tcPr>
            <w:tcW w:w="1409" w:type="dxa"/>
            <w:tcBorders>
              <w:top w:val="single" w:sz="4" w:space="0" w:color="BCE4CF"/>
              <w:bottom w:val="single" w:sz="4" w:space="0" w:color="BCE4CF"/>
            </w:tcBorders>
            <w:shd w:val="clear" w:color="auto" w:fill="ECF7F1"/>
          </w:tcPr>
          <w:p w14:paraId="6CF20FDE" w14:textId="77777777" w:rsidR="00761977" w:rsidRPr="009E7CA0" w:rsidRDefault="00761977" w:rsidP="0037433D">
            <w:pPr>
              <w:pStyle w:val="TableTextLeft"/>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BCE4CF"/>
              <w:bottom w:val="single" w:sz="4" w:space="0" w:color="BCE4CF"/>
            </w:tcBorders>
            <w:shd w:val="clear" w:color="auto" w:fill="F5FBF8"/>
            <w:tcMar>
              <w:left w:w="57" w:type="dxa"/>
              <w:right w:w="28" w:type="dxa"/>
            </w:tcMar>
          </w:tcPr>
          <w:p w14:paraId="1D57B861" w14:textId="75B4E818" w:rsidR="00761977" w:rsidRPr="002773EC" w:rsidRDefault="00761977" w:rsidP="00265BF7">
            <w:pPr>
              <w:pStyle w:val="TableTextLeft"/>
              <w:cnfStyle w:val="000000000000" w:firstRow="0" w:lastRow="0" w:firstColumn="0" w:lastColumn="0" w:oddVBand="0" w:evenVBand="0" w:oddHBand="0" w:evenHBand="0" w:firstRowFirstColumn="0" w:firstRowLastColumn="0" w:lastRowFirstColumn="0" w:lastRowLastColumn="0"/>
              <w:rPr>
                <w:sz w:val="17"/>
                <w:szCs w:val="17"/>
              </w:rPr>
            </w:pPr>
            <w:r w:rsidRPr="002773EC">
              <w:rPr>
                <w:sz w:val="17"/>
                <w:szCs w:val="17"/>
              </w:rPr>
              <w:t>Expected commencement</w:t>
            </w:r>
            <w:r w:rsidR="002773EC">
              <w:rPr>
                <w:sz w:val="17"/>
                <w:szCs w:val="17"/>
              </w:rPr>
              <w:t>,</w:t>
            </w:r>
            <w:r w:rsidRPr="002773EC">
              <w:rPr>
                <w:sz w:val="17"/>
                <w:szCs w:val="17"/>
              </w:rPr>
              <w:t xml:space="preserve"> subject to legislation</w:t>
            </w:r>
            <w:r w:rsidR="00A07098">
              <w:rPr>
                <w:sz w:val="17"/>
                <w:szCs w:val="17"/>
              </w:rPr>
              <w:t>.</w:t>
            </w:r>
          </w:p>
        </w:tc>
        <w:tc>
          <w:tcPr>
            <w:tcW w:w="1312" w:type="dxa"/>
            <w:tcBorders>
              <w:top w:val="single" w:sz="4" w:space="0" w:color="BCE4CF"/>
              <w:bottom w:val="single" w:sz="4" w:space="0" w:color="BCE4CF"/>
            </w:tcBorders>
            <w:shd w:val="clear" w:color="auto" w:fill="F5FBF8"/>
          </w:tcPr>
          <w:p w14:paraId="4949171D" w14:textId="77777777" w:rsidR="00761977" w:rsidRPr="009E7CA0" w:rsidRDefault="00761977" w:rsidP="0037433D">
            <w:pPr>
              <w:pStyle w:val="TableTextLeft"/>
              <w:cnfStyle w:val="000000000000" w:firstRow="0" w:lastRow="0" w:firstColumn="0" w:lastColumn="0" w:oddVBand="0" w:evenVBand="0" w:oddHBand="0" w:evenHBand="0" w:firstRowFirstColumn="0" w:firstRowLastColumn="0" w:lastRowFirstColumn="0" w:lastRowLastColumn="0"/>
            </w:pPr>
          </w:p>
        </w:tc>
        <w:tc>
          <w:tcPr>
            <w:tcW w:w="1097" w:type="dxa"/>
            <w:gridSpan w:val="2"/>
            <w:tcBorders>
              <w:top w:val="single" w:sz="4" w:space="0" w:color="BCE4CF"/>
              <w:bottom w:val="single" w:sz="4" w:space="0" w:color="BCE4CF"/>
            </w:tcBorders>
            <w:shd w:val="clear" w:color="auto" w:fill="F5FBF8"/>
          </w:tcPr>
          <w:p w14:paraId="14087E04"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24D72810"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72677395"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4ACEC4E8" w14:textId="77777777" w:rsidR="00761977" w:rsidRPr="009E7CA0" w:rsidRDefault="00761977" w:rsidP="00DA0B22">
            <w:pPr>
              <w:pStyle w:val="TableLeadAgency"/>
              <w:rPr>
                <w:b/>
                <w:bCs/>
              </w:rPr>
            </w:pPr>
            <w:r w:rsidRPr="009E7CA0">
              <w:rPr>
                <w:b/>
                <w:bCs/>
              </w:rPr>
              <w:lastRenderedPageBreak/>
              <w:t>TSY </w:t>
            </w:r>
          </w:p>
          <w:p w14:paraId="2E78A2EE" w14:textId="43DD2905" w:rsidR="00761977" w:rsidRPr="009E7CA0" w:rsidRDefault="00761977" w:rsidP="00371DEF">
            <w:pPr>
              <w:pStyle w:val="TableSecondaryAgency"/>
              <w:rPr>
                <w:b w:val="0"/>
                <w:bCs/>
              </w:rPr>
            </w:pPr>
            <w:r w:rsidRPr="00371DEF">
              <w:rPr>
                <w:b w:val="0"/>
                <w:bCs/>
              </w:rPr>
              <w:t>ASIC </w:t>
            </w:r>
          </w:p>
        </w:tc>
        <w:tc>
          <w:tcPr>
            <w:tcW w:w="1405" w:type="dxa"/>
            <w:tcBorders>
              <w:top w:val="single" w:sz="4" w:space="0" w:color="BCE4CF"/>
              <w:bottom w:val="single" w:sz="4" w:space="0" w:color="BCE4CF"/>
            </w:tcBorders>
          </w:tcPr>
          <w:p w14:paraId="650F60FF"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All</w:t>
            </w:r>
          </w:p>
        </w:tc>
        <w:tc>
          <w:tcPr>
            <w:tcW w:w="2775" w:type="dxa"/>
            <w:gridSpan w:val="2"/>
            <w:tcBorders>
              <w:top w:val="single" w:sz="4" w:space="0" w:color="BCE4CF"/>
              <w:bottom w:val="single" w:sz="4" w:space="0" w:color="BCE4CF"/>
            </w:tcBorders>
          </w:tcPr>
          <w:p w14:paraId="37895142" w14:textId="51923D16" w:rsidR="0037433D" w:rsidRPr="009E7CA0" w:rsidRDefault="00761977" w:rsidP="001839DF">
            <w:pPr>
              <w:pStyle w:val="TableLink"/>
              <w:cnfStyle w:val="000000000000" w:firstRow="0" w:lastRow="0" w:firstColumn="0" w:lastColumn="0" w:oddVBand="0" w:evenVBand="0" w:oddHBand="0" w:evenHBand="0" w:firstRowFirstColumn="0" w:firstRowLastColumn="0" w:lastRowFirstColumn="0" w:lastRowLastColumn="0"/>
            </w:pPr>
            <w:r w:rsidRPr="009E7CA0">
              <w:t xml:space="preserve">Consolidated financial reporting and audit instruments </w:t>
            </w:r>
            <w:r w:rsidRPr="009E7CA0">
              <w:rPr>
                <w:bCs/>
                <w:color w:val="4D7861" w:themeColor="accent2"/>
              </w:rPr>
              <w:t>(new)</w:t>
            </w:r>
          </w:p>
          <w:p w14:paraId="65DE5465" w14:textId="54D75707" w:rsidR="00761977" w:rsidRPr="009E7CA0" w:rsidRDefault="00761977" w:rsidP="001839DF">
            <w:pPr>
              <w:pStyle w:val="TableTextLeft"/>
              <w:cnfStyle w:val="000000000000" w:firstRow="0" w:lastRow="0" w:firstColumn="0" w:lastColumn="0" w:oddVBand="0" w:evenVBand="0" w:oddHBand="0" w:evenHBand="0" w:firstRowFirstColumn="0" w:firstRowLastColumn="0" w:lastRowFirstColumn="0" w:lastRowLastColumn="0"/>
            </w:pPr>
            <w:r w:rsidRPr="009E7CA0">
              <w:t>Two instruments will be drafted to consolidate 20 of ASIC’s financial reporting and audit-related instruments that affect auditors, and</w:t>
            </w:r>
            <w:r w:rsidR="006D296D" w:rsidRPr="009E7CA0">
              <w:t xml:space="preserve"> </w:t>
            </w:r>
            <w:r w:rsidRPr="009E7CA0">
              <w:t>a large number of</w:t>
            </w:r>
            <w:r w:rsidR="006D296D" w:rsidRPr="009E7CA0">
              <w:t xml:space="preserve"> </w:t>
            </w:r>
            <w:r w:rsidRPr="009E7CA0">
              <w:t>entities with financial reporting obligations. This</w:t>
            </w:r>
            <w:r w:rsidR="0068277A" w:rsidRPr="009E7CA0">
              <w:t> </w:t>
            </w:r>
            <w:r w:rsidRPr="009E7CA0">
              <w:t xml:space="preserve">includes companies, </w:t>
            </w:r>
            <w:r w:rsidR="002773EC">
              <w:br/>
            </w:r>
            <w:r w:rsidRPr="009E7CA0">
              <w:t>registered schemes,</w:t>
            </w:r>
            <w:r w:rsidR="002773EC">
              <w:t xml:space="preserve"> s</w:t>
            </w:r>
            <w:r w:rsidRPr="009E7CA0">
              <w:t>uper funds and disclosing entities.</w:t>
            </w:r>
          </w:p>
        </w:tc>
        <w:tc>
          <w:tcPr>
            <w:tcW w:w="1458" w:type="dxa"/>
            <w:gridSpan w:val="2"/>
            <w:tcBorders>
              <w:top w:val="single" w:sz="4" w:space="0" w:color="BCE4CF"/>
              <w:bottom w:val="single" w:sz="4" w:space="0" w:color="BCE4CF"/>
            </w:tcBorders>
            <w:shd w:val="clear" w:color="auto" w:fill="ECF7F1"/>
          </w:tcPr>
          <w:p w14:paraId="1D588268"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46" w:type="dxa"/>
            <w:gridSpan w:val="2"/>
            <w:tcBorders>
              <w:top w:val="single" w:sz="4" w:space="0" w:color="BCE4CF"/>
              <w:bottom w:val="single" w:sz="4" w:space="0" w:color="BCE4CF"/>
            </w:tcBorders>
            <w:shd w:val="clear" w:color="auto" w:fill="ECF7F1"/>
          </w:tcPr>
          <w:p w14:paraId="678F8FD8" w14:textId="6AC0AE83" w:rsidR="00761977" w:rsidRPr="009E7CA0" w:rsidRDefault="00761977" w:rsidP="0037433D">
            <w:pPr>
              <w:pStyle w:val="TableTextLeft"/>
              <w:cnfStyle w:val="000000000000" w:firstRow="0" w:lastRow="0" w:firstColumn="0" w:lastColumn="0" w:oddVBand="0" w:evenVBand="0" w:oddHBand="0" w:evenHBand="0" w:firstRowFirstColumn="0" w:firstRowLastColumn="0" w:lastRowFirstColumn="0" w:lastRowLastColumn="0"/>
            </w:pPr>
            <w:r w:rsidRPr="009E7CA0">
              <w:t>Final ASIC instruments made</w:t>
            </w:r>
            <w:r w:rsidR="00A07098">
              <w:t>.</w:t>
            </w:r>
          </w:p>
        </w:tc>
        <w:tc>
          <w:tcPr>
            <w:tcW w:w="1409" w:type="dxa"/>
            <w:tcBorders>
              <w:top w:val="single" w:sz="4" w:space="0" w:color="BCE4CF"/>
              <w:bottom w:val="single" w:sz="4" w:space="0" w:color="BCE4CF"/>
            </w:tcBorders>
            <w:shd w:val="clear" w:color="auto" w:fill="ECF7F1"/>
          </w:tcPr>
          <w:p w14:paraId="098E36ED" w14:textId="77777777" w:rsidR="00761977" w:rsidRPr="009E7CA0" w:rsidRDefault="00761977" w:rsidP="0037433D">
            <w:pPr>
              <w:pStyle w:val="TableTextLeft"/>
              <w:cnfStyle w:val="000000000000" w:firstRow="0" w:lastRow="0" w:firstColumn="0" w:lastColumn="0" w:oddVBand="0" w:evenVBand="0" w:oddHBand="0" w:evenHBand="0" w:firstRowFirstColumn="0" w:firstRowLastColumn="0" w:lastRowFirstColumn="0" w:lastRowLastColumn="0"/>
            </w:pPr>
          </w:p>
        </w:tc>
        <w:tc>
          <w:tcPr>
            <w:tcW w:w="1276" w:type="dxa"/>
            <w:tcBorders>
              <w:top w:val="single" w:sz="4" w:space="0" w:color="BCE4CF"/>
              <w:bottom w:val="single" w:sz="4" w:space="0" w:color="BCE4CF"/>
            </w:tcBorders>
            <w:shd w:val="clear" w:color="auto" w:fill="F5FBF8"/>
          </w:tcPr>
          <w:p w14:paraId="2FDDD354" w14:textId="77777777" w:rsidR="00761977" w:rsidRPr="009E7CA0" w:rsidRDefault="00761977" w:rsidP="0037433D">
            <w:pPr>
              <w:pStyle w:val="TableTextLeft"/>
              <w:cnfStyle w:val="000000000000" w:firstRow="0" w:lastRow="0" w:firstColumn="0" w:lastColumn="0" w:oddVBand="0" w:evenVBand="0" w:oddHBand="0" w:evenHBand="0" w:firstRowFirstColumn="0" w:firstRowLastColumn="0" w:lastRowFirstColumn="0" w:lastRowLastColumn="0"/>
            </w:pPr>
          </w:p>
        </w:tc>
        <w:tc>
          <w:tcPr>
            <w:tcW w:w="1312" w:type="dxa"/>
            <w:tcBorders>
              <w:top w:val="single" w:sz="4" w:space="0" w:color="BCE4CF"/>
              <w:bottom w:val="single" w:sz="4" w:space="0" w:color="BCE4CF"/>
            </w:tcBorders>
            <w:shd w:val="clear" w:color="auto" w:fill="F5FBF8"/>
          </w:tcPr>
          <w:p w14:paraId="6C00FDF4" w14:textId="77777777" w:rsidR="00761977" w:rsidRPr="009E7CA0" w:rsidRDefault="00761977" w:rsidP="0037433D">
            <w:pPr>
              <w:pStyle w:val="TableTextLeft"/>
              <w:cnfStyle w:val="000000000000" w:firstRow="0" w:lastRow="0" w:firstColumn="0" w:lastColumn="0" w:oddVBand="0" w:evenVBand="0" w:oddHBand="0" w:evenHBand="0" w:firstRowFirstColumn="0" w:firstRowLastColumn="0" w:lastRowFirstColumn="0" w:lastRowLastColumn="0"/>
            </w:pPr>
          </w:p>
        </w:tc>
        <w:tc>
          <w:tcPr>
            <w:tcW w:w="1097" w:type="dxa"/>
            <w:gridSpan w:val="2"/>
            <w:tcBorders>
              <w:top w:val="single" w:sz="4" w:space="0" w:color="BCE4CF"/>
              <w:bottom w:val="single" w:sz="4" w:space="0" w:color="BCE4CF"/>
            </w:tcBorders>
            <w:shd w:val="clear" w:color="auto" w:fill="F5FBF8"/>
          </w:tcPr>
          <w:p w14:paraId="7D1B5B92"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1D94D977"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61244AB4"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05CA14AB" w14:textId="77777777" w:rsidR="00761977" w:rsidRPr="009E7CA0" w:rsidRDefault="00761977" w:rsidP="00DA0B22">
            <w:pPr>
              <w:pStyle w:val="TableLeadAgency"/>
              <w:rPr>
                <w:b/>
                <w:bCs/>
              </w:rPr>
            </w:pPr>
            <w:r w:rsidRPr="009E7CA0">
              <w:rPr>
                <w:b/>
                <w:bCs/>
              </w:rPr>
              <w:t>TSY</w:t>
            </w:r>
          </w:p>
        </w:tc>
        <w:tc>
          <w:tcPr>
            <w:tcW w:w="1405" w:type="dxa"/>
            <w:tcBorders>
              <w:top w:val="single" w:sz="4" w:space="0" w:color="BCE4CF"/>
              <w:bottom w:val="single" w:sz="4" w:space="0" w:color="BCE4CF"/>
            </w:tcBorders>
          </w:tcPr>
          <w:p w14:paraId="34878936"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Banking, credit and lending</w:t>
            </w:r>
          </w:p>
          <w:p w14:paraId="4EA7B315"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p>
        </w:tc>
        <w:tc>
          <w:tcPr>
            <w:tcW w:w="2775" w:type="dxa"/>
            <w:gridSpan w:val="2"/>
            <w:tcBorders>
              <w:top w:val="single" w:sz="4" w:space="0" w:color="BCE4CF"/>
              <w:bottom w:val="single" w:sz="4" w:space="0" w:color="BCE4CF"/>
            </w:tcBorders>
          </w:tcPr>
          <w:p w14:paraId="2497A5DE" w14:textId="77777777" w:rsidR="0082434C" w:rsidRPr="009E7CA0" w:rsidRDefault="00761977" w:rsidP="001839DF">
            <w:pPr>
              <w:pStyle w:val="TableLink"/>
              <w:cnfStyle w:val="000000000000" w:firstRow="0" w:lastRow="0" w:firstColumn="0" w:lastColumn="0" w:oddVBand="0" w:evenVBand="0" w:oddHBand="0" w:evenHBand="0" w:firstRowFirstColumn="0" w:firstRowLastColumn="0" w:lastRowFirstColumn="0" w:lastRowLastColumn="0"/>
            </w:pPr>
            <w:r w:rsidRPr="009E7CA0">
              <w:t xml:space="preserve">Extending the small business responsible lending obligations (RLO) exemption </w:t>
            </w:r>
            <w:r w:rsidRPr="009E7CA0">
              <w:rPr>
                <w:bCs/>
                <w:color w:val="4D7861" w:themeColor="accent2"/>
              </w:rPr>
              <w:t>(new)</w:t>
            </w:r>
          </w:p>
          <w:p w14:paraId="712192A8" w14:textId="51339453" w:rsidR="00761977" w:rsidRPr="009E7CA0" w:rsidRDefault="00761977" w:rsidP="00E573EA">
            <w:pPr>
              <w:pStyle w:val="TableTextLeft"/>
              <w:cnfStyle w:val="000000000000" w:firstRow="0" w:lastRow="0" w:firstColumn="0" w:lastColumn="0" w:oddVBand="0" w:evenVBand="0" w:oddHBand="0" w:evenHBand="0" w:firstRowFirstColumn="0" w:firstRowLastColumn="0" w:lastRowFirstColumn="0" w:lastRowLastColumn="0"/>
            </w:pPr>
            <w:r w:rsidRPr="009E7CA0">
              <w:t>The exemption will be extended for a further 10</w:t>
            </w:r>
            <w:r w:rsidR="0068277A" w:rsidRPr="009E7CA0">
              <w:t> </w:t>
            </w:r>
            <w:r w:rsidRPr="009E7CA0">
              <w:t>years to October</w:t>
            </w:r>
            <w:r w:rsidR="0068277A" w:rsidRPr="009E7CA0">
              <w:t> </w:t>
            </w:r>
            <w:r w:rsidRPr="009E7CA0">
              <w:t>2036. It exempts small business loans from RLOs where they are for a genuine business purpose that is not minor or incidental. Treasury will consult on exposure draft legislation to update the Regulations ahead of the current 3</w:t>
            </w:r>
            <w:r w:rsidR="00A07098">
              <w:t> </w:t>
            </w:r>
            <w:r w:rsidRPr="009E7CA0">
              <w:t>October 2026 expiry.</w:t>
            </w:r>
          </w:p>
        </w:tc>
        <w:tc>
          <w:tcPr>
            <w:tcW w:w="1458" w:type="dxa"/>
            <w:gridSpan w:val="2"/>
            <w:tcBorders>
              <w:top w:val="single" w:sz="4" w:space="0" w:color="BCE4CF"/>
              <w:bottom w:val="single" w:sz="4" w:space="0" w:color="BCE4CF"/>
            </w:tcBorders>
            <w:shd w:val="clear" w:color="auto" w:fill="ECF7F1"/>
          </w:tcPr>
          <w:p w14:paraId="30041AC3"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46" w:type="dxa"/>
            <w:gridSpan w:val="2"/>
            <w:tcBorders>
              <w:top w:val="single" w:sz="4" w:space="0" w:color="BCE4CF"/>
              <w:bottom w:val="single" w:sz="4" w:space="0" w:color="BCE4CF"/>
            </w:tcBorders>
            <w:shd w:val="clear" w:color="auto" w:fill="ECF7F1"/>
          </w:tcPr>
          <w:p w14:paraId="28837BB0"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09" w:type="dxa"/>
            <w:tcBorders>
              <w:top w:val="single" w:sz="4" w:space="0" w:color="BCE4CF"/>
              <w:bottom w:val="single" w:sz="4" w:space="0" w:color="BCE4CF"/>
            </w:tcBorders>
            <w:shd w:val="clear" w:color="auto" w:fill="ECF7F1"/>
          </w:tcPr>
          <w:p w14:paraId="572CE867" w14:textId="5EFBD382" w:rsidR="00761977" w:rsidRPr="009E7CA0" w:rsidRDefault="00761977" w:rsidP="0037433D">
            <w:pPr>
              <w:pStyle w:val="TableTextLeft"/>
              <w:cnfStyle w:val="000000000000" w:firstRow="0" w:lastRow="0" w:firstColumn="0" w:lastColumn="0" w:oddVBand="0" w:evenVBand="0" w:oddHBand="0" w:evenHBand="0" w:firstRowFirstColumn="0" w:firstRowLastColumn="0" w:lastRowFirstColumn="0" w:lastRowLastColumn="0"/>
            </w:pPr>
            <w:r w:rsidRPr="009E7CA0">
              <w:t>Expected commencement, subject to legislation</w:t>
            </w:r>
            <w:r w:rsidR="00A07098">
              <w:t>.</w:t>
            </w:r>
          </w:p>
        </w:tc>
        <w:tc>
          <w:tcPr>
            <w:tcW w:w="1276" w:type="dxa"/>
            <w:tcBorders>
              <w:top w:val="single" w:sz="4" w:space="0" w:color="BCE4CF"/>
              <w:bottom w:val="single" w:sz="4" w:space="0" w:color="BCE4CF"/>
            </w:tcBorders>
            <w:shd w:val="clear" w:color="auto" w:fill="F5FBF8"/>
          </w:tcPr>
          <w:p w14:paraId="70DC8C9C"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312" w:type="dxa"/>
            <w:tcBorders>
              <w:top w:val="single" w:sz="4" w:space="0" w:color="BCE4CF"/>
              <w:bottom w:val="single" w:sz="4" w:space="0" w:color="BCE4CF"/>
            </w:tcBorders>
            <w:shd w:val="clear" w:color="auto" w:fill="F5FBF8"/>
          </w:tcPr>
          <w:p w14:paraId="580B2AAA"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097" w:type="dxa"/>
            <w:gridSpan w:val="2"/>
            <w:tcBorders>
              <w:top w:val="single" w:sz="4" w:space="0" w:color="BCE4CF"/>
              <w:bottom w:val="single" w:sz="4" w:space="0" w:color="BCE4CF"/>
            </w:tcBorders>
            <w:shd w:val="clear" w:color="auto" w:fill="F5FBF8"/>
          </w:tcPr>
          <w:p w14:paraId="3F70AE79"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60E23551"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r w:rsidR="00B67E23" w:rsidRPr="009E7CA0" w14:paraId="75A20945" w14:textId="77777777" w:rsidTr="001E416A">
        <w:trPr>
          <w:cantSplit/>
          <w:trHeight w:val="410"/>
        </w:trPr>
        <w:tc>
          <w:tcPr>
            <w:cnfStyle w:val="001000000000" w:firstRow="0" w:lastRow="0" w:firstColumn="1" w:lastColumn="0" w:oddVBand="0" w:evenVBand="0" w:oddHBand="0" w:evenHBand="0" w:firstRowFirstColumn="0" w:firstRowLastColumn="0" w:lastRowFirstColumn="0" w:lastRowLastColumn="0"/>
            <w:tcW w:w="863" w:type="dxa"/>
            <w:tcBorders>
              <w:top w:val="single" w:sz="4" w:space="0" w:color="BCE4CF"/>
              <w:bottom w:val="single" w:sz="4" w:space="0" w:color="BCE4CF"/>
            </w:tcBorders>
          </w:tcPr>
          <w:p w14:paraId="4852B2E8" w14:textId="77777777" w:rsidR="00761977" w:rsidRPr="009E7CA0" w:rsidRDefault="00761977" w:rsidP="00DA0B22">
            <w:pPr>
              <w:pStyle w:val="TableLeadAgency"/>
              <w:rPr>
                <w:b/>
                <w:bCs/>
              </w:rPr>
            </w:pPr>
            <w:r w:rsidRPr="009E7CA0">
              <w:rPr>
                <w:b/>
                <w:bCs/>
              </w:rPr>
              <w:t>RBA</w:t>
            </w:r>
          </w:p>
        </w:tc>
        <w:tc>
          <w:tcPr>
            <w:tcW w:w="1405" w:type="dxa"/>
            <w:tcBorders>
              <w:top w:val="single" w:sz="4" w:space="0" w:color="BCE4CF"/>
              <w:bottom w:val="single" w:sz="4" w:space="0" w:color="BCE4CF"/>
            </w:tcBorders>
          </w:tcPr>
          <w:p w14:paraId="27A64E1E" w14:textId="77777777" w:rsidR="00761977" w:rsidRPr="009E7CA0" w:rsidRDefault="00761977" w:rsidP="00823AD4">
            <w:pPr>
              <w:pStyle w:val="TableTextLeft"/>
              <w:cnfStyle w:val="000000000000" w:firstRow="0" w:lastRow="0" w:firstColumn="0" w:lastColumn="0" w:oddVBand="0" w:evenVBand="0" w:oddHBand="0" w:evenHBand="0" w:firstRowFirstColumn="0" w:firstRowLastColumn="0" w:lastRowFirstColumn="0" w:lastRowLastColumn="0"/>
            </w:pPr>
            <w:r w:rsidRPr="009E7CA0">
              <w:t>Payment services and digital assets</w:t>
            </w:r>
          </w:p>
        </w:tc>
        <w:tc>
          <w:tcPr>
            <w:tcW w:w="2775" w:type="dxa"/>
            <w:gridSpan w:val="2"/>
            <w:tcBorders>
              <w:top w:val="single" w:sz="4" w:space="0" w:color="BCE4CF"/>
              <w:bottom w:val="single" w:sz="4" w:space="0" w:color="BCE4CF"/>
            </w:tcBorders>
          </w:tcPr>
          <w:p w14:paraId="1AC42778" w14:textId="78951964" w:rsidR="00761977" w:rsidRPr="009E7CA0" w:rsidRDefault="00761977" w:rsidP="00E573EA">
            <w:pPr>
              <w:pStyle w:val="TableTextLeft"/>
              <w:cnfStyle w:val="000000000000" w:firstRow="0" w:lastRow="0" w:firstColumn="0" w:lastColumn="0" w:oddVBand="0" w:evenVBand="0" w:oddHBand="0" w:evenHBand="0" w:firstRowFirstColumn="0" w:firstRowLastColumn="0" w:lastRowFirstColumn="0" w:lastRowLastColumn="0"/>
              <w:rPr>
                <w:b/>
                <w:color w:val="5D779D" w:themeColor="accent3"/>
                <w:u w:val="single"/>
              </w:rPr>
            </w:pPr>
            <w:r w:rsidRPr="009E7CA0">
              <w:rPr>
                <w:b/>
                <w:color w:val="5D779D" w:themeColor="accent3"/>
                <w:u w:val="single"/>
              </w:rPr>
              <w:t xml:space="preserve">Review of retail payments regulation – merchant card payment costs and surcharging </w:t>
            </w:r>
            <w:r w:rsidRPr="009E7CA0">
              <w:rPr>
                <w:b/>
                <w:color w:val="4D7861" w:themeColor="accent2"/>
                <w:u w:val="single"/>
              </w:rPr>
              <w:t>(new)</w:t>
            </w:r>
          </w:p>
          <w:p w14:paraId="722AEC6D" w14:textId="77777777" w:rsidR="00761977" w:rsidRPr="009E7CA0" w:rsidRDefault="00761977" w:rsidP="00E573EA">
            <w:pPr>
              <w:pStyle w:val="TableTextLeft"/>
              <w:cnfStyle w:val="000000000000" w:firstRow="0" w:lastRow="0" w:firstColumn="0" w:lastColumn="0" w:oddVBand="0" w:evenVBand="0" w:oddHBand="0" w:evenHBand="0" w:firstRowFirstColumn="0" w:firstRowLastColumn="0" w:lastRowFirstColumn="0" w:lastRowLastColumn="0"/>
              <w:rPr>
                <w:sz w:val="16"/>
              </w:rPr>
            </w:pPr>
            <w:r w:rsidRPr="009E7CA0">
              <w:t>On 31 March 2026, the RBA released a</w:t>
            </w:r>
            <w:r w:rsidRPr="009E7CA0">
              <w:rPr>
                <w:sz w:val="16"/>
              </w:rPr>
              <w:t xml:space="preserve"> </w:t>
            </w:r>
            <w:hyperlink r:id="rId91" w:history="1">
              <w:r w:rsidRPr="009E7CA0">
                <w:rPr>
                  <w:rStyle w:val="Hyperlink"/>
                </w:rPr>
                <w:t>Conclusions Paper</w:t>
              </w:r>
            </w:hyperlink>
            <w:r w:rsidRPr="009E7CA0">
              <w:t xml:space="preserve"> to the first phase of its Review into Retail Payments Regulation with the RBA’s final conclusions and proposed revisions to standards.</w:t>
            </w:r>
          </w:p>
        </w:tc>
        <w:tc>
          <w:tcPr>
            <w:tcW w:w="1458" w:type="dxa"/>
            <w:gridSpan w:val="2"/>
            <w:tcBorders>
              <w:top w:val="single" w:sz="4" w:space="0" w:color="BCE4CF"/>
              <w:bottom w:val="single" w:sz="4" w:space="0" w:color="BCE4CF"/>
            </w:tcBorders>
            <w:shd w:val="clear" w:color="auto" w:fill="ECF7F1"/>
          </w:tcPr>
          <w:p w14:paraId="73BCF686"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46" w:type="dxa"/>
            <w:gridSpan w:val="2"/>
            <w:tcBorders>
              <w:top w:val="single" w:sz="4" w:space="0" w:color="BCE4CF"/>
              <w:bottom w:val="single" w:sz="4" w:space="0" w:color="BCE4CF"/>
            </w:tcBorders>
            <w:shd w:val="clear" w:color="auto" w:fill="ECF7F1"/>
          </w:tcPr>
          <w:p w14:paraId="334A664C"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1409" w:type="dxa"/>
            <w:tcBorders>
              <w:top w:val="single" w:sz="4" w:space="0" w:color="BCE4CF"/>
              <w:bottom w:val="single" w:sz="4" w:space="0" w:color="BCE4CF"/>
            </w:tcBorders>
            <w:shd w:val="clear" w:color="auto" w:fill="ECF7F1"/>
          </w:tcPr>
          <w:p w14:paraId="48432F93" w14:textId="50555555" w:rsidR="00761977" w:rsidRPr="009E7CA0" w:rsidRDefault="00761977" w:rsidP="0037433D">
            <w:pPr>
              <w:pStyle w:val="TableTextLeft"/>
              <w:cnfStyle w:val="000000000000" w:firstRow="0" w:lastRow="0" w:firstColumn="0" w:lastColumn="0" w:oddVBand="0" w:evenVBand="0" w:oddHBand="0" w:evenHBand="0" w:firstRowFirstColumn="0" w:firstRowLastColumn="0" w:lastRowFirstColumn="0" w:lastRowLastColumn="0"/>
            </w:pPr>
            <w:r w:rsidRPr="009E7CA0">
              <w:rPr>
                <w:lang w:eastAsia="ja-JP"/>
              </w:rPr>
              <w:t>Regulation to remove surcharging, lower interchange for domestic cards and certain transparency measures take</w:t>
            </w:r>
            <w:r w:rsidR="00A07098">
              <w:rPr>
                <w:lang w:eastAsia="ja-JP"/>
              </w:rPr>
              <w:t> </w:t>
            </w:r>
            <w:r w:rsidRPr="009E7CA0">
              <w:rPr>
                <w:lang w:eastAsia="ja-JP"/>
              </w:rPr>
              <w:t>effect</w:t>
            </w:r>
            <w:r w:rsidR="004F4021">
              <w:rPr>
                <w:lang w:eastAsia="ja-JP"/>
              </w:rPr>
              <w:t xml:space="preserve"> on 1 October 2026</w:t>
            </w:r>
            <w:r w:rsidRPr="009E7CA0">
              <w:rPr>
                <w:lang w:eastAsia="ja-JP"/>
              </w:rPr>
              <w:t>.</w:t>
            </w:r>
          </w:p>
        </w:tc>
        <w:tc>
          <w:tcPr>
            <w:tcW w:w="1276" w:type="dxa"/>
            <w:tcBorders>
              <w:top w:val="single" w:sz="4" w:space="0" w:color="BCE4CF"/>
              <w:bottom w:val="single" w:sz="4" w:space="0" w:color="BCE4CF"/>
            </w:tcBorders>
            <w:shd w:val="clear" w:color="auto" w:fill="F5FBF8"/>
          </w:tcPr>
          <w:p w14:paraId="5484FC8F" w14:textId="77777777" w:rsidR="00761977" w:rsidRPr="009E7CA0" w:rsidRDefault="00761977" w:rsidP="0037433D">
            <w:pPr>
              <w:pStyle w:val="TableTextLeft"/>
              <w:cnfStyle w:val="000000000000" w:firstRow="0" w:lastRow="0" w:firstColumn="0" w:lastColumn="0" w:oddVBand="0" w:evenVBand="0" w:oddHBand="0" w:evenHBand="0" w:firstRowFirstColumn="0" w:firstRowLastColumn="0" w:lastRowFirstColumn="0" w:lastRowLastColumn="0"/>
            </w:pPr>
          </w:p>
        </w:tc>
        <w:tc>
          <w:tcPr>
            <w:tcW w:w="1312" w:type="dxa"/>
            <w:tcBorders>
              <w:top w:val="single" w:sz="4" w:space="0" w:color="BCE4CF"/>
              <w:bottom w:val="single" w:sz="4" w:space="0" w:color="BCE4CF"/>
            </w:tcBorders>
            <w:shd w:val="clear" w:color="auto" w:fill="F5FBF8"/>
          </w:tcPr>
          <w:p w14:paraId="0CD9D1D8" w14:textId="354DED3D" w:rsidR="00761977" w:rsidRPr="009E7CA0" w:rsidRDefault="00761977" w:rsidP="0037433D">
            <w:pPr>
              <w:pStyle w:val="TableTextLeft"/>
              <w:cnfStyle w:val="000000000000" w:firstRow="0" w:lastRow="0" w:firstColumn="0" w:lastColumn="0" w:oddVBand="0" w:evenVBand="0" w:oddHBand="0" w:evenHBand="0" w:firstRowFirstColumn="0" w:firstRowLastColumn="0" w:lastRowFirstColumn="0" w:lastRowLastColumn="0"/>
            </w:pPr>
            <w:r w:rsidRPr="009E7CA0">
              <w:rPr>
                <w:lang w:eastAsia="ja-JP"/>
              </w:rPr>
              <w:t>Regulation to lower interchange for international cards and remaining transparency measures take</w:t>
            </w:r>
            <w:r w:rsidR="00A07098">
              <w:rPr>
                <w:lang w:eastAsia="ja-JP"/>
              </w:rPr>
              <w:t> </w:t>
            </w:r>
            <w:r w:rsidRPr="009E7CA0">
              <w:rPr>
                <w:lang w:eastAsia="ja-JP"/>
              </w:rPr>
              <w:t>effect</w:t>
            </w:r>
            <w:r w:rsidR="000356B5">
              <w:rPr>
                <w:lang w:eastAsia="ja-JP"/>
              </w:rPr>
              <w:t xml:space="preserve"> from 1 April 2027</w:t>
            </w:r>
            <w:r w:rsidRPr="009E7CA0">
              <w:rPr>
                <w:lang w:eastAsia="ja-JP"/>
              </w:rPr>
              <w:t>.</w:t>
            </w:r>
          </w:p>
        </w:tc>
        <w:tc>
          <w:tcPr>
            <w:tcW w:w="1097" w:type="dxa"/>
            <w:gridSpan w:val="2"/>
            <w:tcBorders>
              <w:top w:val="single" w:sz="4" w:space="0" w:color="BCE4CF"/>
              <w:bottom w:val="single" w:sz="4" w:space="0" w:color="BCE4CF"/>
            </w:tcBorders>
            <w:shd w:val="clear" w:color="auto" w:fill="F5FBF8"/>
          </w:tcPr>
          <w:p w14:paraId="1B54016B"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c>
          <w:tcPr>
            <w:tcW w:w="964" w:type="dxa"/>
            <w:gridSpan w:val="2"/>
            <w:tcBorders>
              <w:top w:val="single" w:sz="4" w:space="0" w:color="BCE4CF"/>
              <w:bottom w:val="single" w:sz="4" w:space="0" w:color="BCE4CF"/>
            </w:tcBorders>
            <w:shd w:val="clear" w:color="auto" w:fill="F5FBF8"/>
          </w:tcPr>
          <w:p w14:paraId="00C73753" w14:textId="77777777" w:rsidR="00761977" w:rsidRPr="009E7CA0" w:rsidRDefault="00761977" w:rsidP="00761977">
            <w:pPr>
              <w:spacing w:before="40" w:after="40"/>
              <w:cnfStyle w:val="000000000000" w:firstRow="0" w:lastRow="0" w:firstColumn="0" w:lastColumn="0" w:oddVBand="0" w:evenVBand="0" w:oddHBand="0" w:evenHBand="0" w:firstRowFirstColumn="0" w:firstRowLastColumn="0" w:lastRowFirstColumn="0" w:lastRowLastColumn="0"/>
              <w:rPr>
                <w:color w:val="000000"/>
                <w:sz w:val="16"/>
              </w:rPr>
            </w:pPr>
          </w:p>
        </w:tc>
      </w:tr>
    </w:tbl>
    <w:p w14:paraId="3CFA8C1B" w14:textId="77777777" w:rsidR="004163E8" w:rsidRPr="00ED09F1" w:rsidRDefault="004163E8" w:rsidP="00ED09F1">
      <w:pPr>
        <w:pStyle w:val="NoSpacing"/>
      </w:pPr>
      <w:r w:rsidRPr="00ED09F1">
        <w:br w:type="page"/>
      </w:r>
    </w:p>
    <w:p w14:paraId="60AF225F" w14:textId="08646EB1" w:rsidR="00B54CF6" w:rsidRPr="009831FF" w:rsidRDefault="00B54CF6" w:rsidP="009831FF">
      <w:pPr>
        <w:pStyle w:val="Heading1Numbered"/>
      </w:pPr>
      <w:bookmarkStart w:id="45" w:name="_Toc209785818"/>
      <w:r w:rsidRPr="009831FF">
        <w:lastRenderedPageBreak/>
        <w:t xml:space="preserve">Ongoing </w:t>
      </w:r>
      <w:r w:rsidR="004F10AD" w:rsidRPr="009831FF">
        <w:t>p</w:t>
      </w:r>
      <w:r w:rsidRPr="009831FF">
        <w:t xml:space="preserve">rogram </w:t>
      </w:r>
      <w:r w:rsidR="004F10AD" w:rsidRPr="009831FF">
        <w:t>i</w:t>
      </w:r>
      <w:r w:rsidRPr="009831FF">
        <w:t>mplementation</w:t>
      </w:r>
      <w:bookmarkEnd w:id="45"/>
    </w:p>
    <w:p w14:paraId="733311B9" w14:textId="26D8C91D" w:rsidR="00D723F0" w:rsidRDefault="00B54CF6" w:rsidP="00BB10A5">
      <w:r w:rsidRPr="341FD202">
        <w:t xml:space="preserve">This </w:t>
      </w:r>
      <w:r w:rsidR="00C734E8" w:rsidRPr="341FD202">
        <w:t>category</w:t>
      </w:r>
      <w:r w:rsidRPr="341FD202">
        <w:t xml:space="preserve"> includes </w:t>
      </w:r>
      <w:r w:rsidR="1AF4C640" w:rsidRPr="00C75BEB">
        <w:rPr>
          <w:b/>
        </w:rPr>
        <w:t>23</w:t>
      </w:r>
      <w:r w:rsidR="009B6078" w:rsidRPr="002931AD">
        <w:t xml:space="preserve"> </w:t>
      </w:r>
      <w:r w:rsidRPr="341FD202">
        <w:t xml:space="preserve">initiatives. The initiatives in this section cover </w:t>
      </w:r>
      <w:r w:rsidR="000D63BF" w:rsidRPr="341FD202">
        <w:t>the broad spectrum of activit</w:t>
      </w:r>
      <w:r w:rsidR="00CD2B9A" w:rsidRPr="341FD202">
        <w:t xml:space="preserve">ies </w:t>
      </w:r>
      <w:r w:rsidR="00F6016A" w:rsidRPr="341FD202">
        <w:t xml:space="preserve">being </w:t>
      </w:r>
      <w:r w:rsidR="00023CFC" w:rsidRPr="341FD202">
        <w:t>administer</w:t>
      </w:r>
      <w:r w:rsidR="006E03E0" w:rsidRPr="341FD202">
        <w:t>ed</w:t>
      </w:r>
      <w:r w:rsidR="00023CFC" w:rsidRPr="341FD202">
        <w:t xml:space="preserve"> </w:t>
      </w:r>
      <w:r w:rsidR="00FF04E1" w:rsidRPr="341FD202">
        <w:t xml:space="preserve">under </w:t>
      </w:r>
      <w:r w:rsidR="00F6016A" w:rsidRPr="341FD202">
        <w:t>existing policy and/or legislative frameworks</w:t>
      </w:r>
      <w:r w:rsidR="000D63BF" w:rsidRPr="341FD202">
        <w:t xml:space="preserve">, including </w:t>
      </w:r>
      <w:r w:rsidRPr="341FD202">
        <w:t xml:space="preserve">the development of </w:t>
      </w:r>
      <w:r w:rsidR="000D63BF" w:rsidRPr="341FD202">
        <w:t xml:space="preserve">regulatory </w:t>
      </w:r>
      <w:r w:rsidRPr="341FD202">
        <w:t xml:space="preserve">guidance material, program reconciliation and acquittal </w:t>
      </w:r>
      <w:r w:rsidR="000D63BF" w:rsidRPr="341FD202">
        <w:t xml:space="preserve">activity, </w:t>
      </w:r>
      <w:r w:rsidRPr="341FD202">
        <w:t>the roll out of new portal</w:t>
      </w:r>
      <w:r w:rsidR="007618AA" w:rsidRPr="341FD202">
        <w:t>s</w:t>
      </w:r>
      <w:r w:rsidRPr="341FD202">
        <w:t xml:space="preserve"> and software and technology</w:t>
      </w:r>
      <w:r w:rsidR="00B6384F" w:rsidRPr="341FD202">
        <w:t xml:space="preserve">, and thematic surveillances that review compliance by entities with their </w:t>
      </w:r>
      <w:r w:rsidR="007959A3" w:rsidRPr="341FD202">
        <w:t xml:space="preserve">existing </w:t>
      </w:r>
      <w:r w:rsidR="00B6384F" w:rsidRPr="341FD202">
        <w:t>obligations</w:t>
      </w:r>
      <w:r w:rsidR="000D63BF" w:rsidRPr="341FD202">
        <w:t>.</w:t>
      </w:r>
    </w:p>
    <w:p w14:paraId="5DD2E65A" w14:textId="43D5A2BD" w:rsidR="00776E56" w:rsidRPr="00BB10A5" w:rsidRDefault="00776E56" w:rsidP="00BB10A5">
      <w:pPr>
        <w:rPr>
          <w:rStyle w:val="Strong"/>
        </w:rPr>
      </w:pPr>
      <w:r w:rsidRPr="00BB10A5">
        <w:rPr>
          <w:rStyle w:val="Strong"/>
        </w:rPr>
        <w:t xml:space="preserve">A * indicates a new milestone for an initiative that was included in Edition </w:t>
      </w:r>
      <w:r w:rsidR="4E8D83D8" w:rsidRPr="00BB10A5">
        <w:rPr>
          <w:rStyle w:val="Strong"/>
        </w:rPr>
        <w:t>2</w:t>
      </w:r>
      <w:r w:rsidRPr="00BB10A5">
        <w:rPr>
          <w:rStyle w:val="Strong"/>
        </w:rPr>
        <w:t xml:space="preserve"> where progress on the work has occurred. </w:t>
      </w:r>
    </w:p>
    <w:p w14:paraId="7E5D81C4" w14:textId="75D1049F" w:rsidR="00776E56" w:rsidRPr="00BB10A5" w:rsidRDefault="00776E56" w:rsidP="00BB10A5">
      <w:pPr>
        <w:rPr>
          <w:rStyle w:val="Strong"/>
        </w:rPr>
      </w:pPr>
      <w:r w:rsidRPr="00BB10A5">
        <w:rPr>
          <w:rStyle w:val="Strong"/>
        </w:rPr>
        <w:t xml:space="preserve">A ^ indicates where a milestone has changed from Edition </w:t>
      </w:r>
      <w:r w:rsidR="700933CC" w:rsidRPr="00BB10A5">
        <w:rPr>
          <w:rStyle w:val="Strong"/>
        </w:rPr>
        <w:t>2</w:t>
      </w:r>
      <w:r w:rsidRPr="00BB10A5">
        <w:rPr>
          <w:rStyle w:val="Strong"/>
        </w:rPr>
        <w:t xml:space="preserve"> to this Edition. A changes table at the end of this document explains the change.</w:t>
      </w:r>
    </w:p>
    <w:p w14:paraId="5E4F8371" w14:textId="5C142D6D" w:rsidR="004E39D5" w:rsidRPr="001A2FFC" w:rsidRDefault="004E39D5" w:rsidP="00D752E0">
      <w:pPr>
        <w:pStyle w:val="TableMainHeading"/>
      </w:pPr>
      <w:r w:rsidRPr="001A2FFC">
        <w:t>Forward calendar</w:t>
      </w:r>
    </w:p>
    <w:tbl>
      <w:tblPr>
        <w:tblW w:w="5001" w:type="pct"/>
        <w:tblInd w:w="-1" w:type="dxa"/>
        <w:tblBorders>
          <w:bottom w:val="single" w:sz="4" w:space="0" w:color="90B6F0" w:themeColor="accent5"/>
          <w:insideH w:val="single" w:sz="4" w:space="0" w:color="5D779D" w:themeColor="accent3"/>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796"/>
        <w:gridCol w:w="1332"/>
        <w:gridCol w:w="3137"/>
        <w:gridCol w:w="1257"/>
        <w:gridCol w:w="1417"/>
        <w:gridCol w:w="1559"/>
        <w:gridCol w:w="935"/>
        <w:gridCol w:w="1191"/>
        <w:gridCol w:w="1247"/>
        <w:gridCol w:w="1134"/>
      </w:tblGrid>
      <w:tr w:rsidR="0037380B" w:rsidRPr="009E7CA0" w14:paraId="4B16157F" w14:textId="39E10BFA" w:rsidTr="00B96E7E">
        <w:trPr>
          <w:cantSplit/>
          <w:trHeight w:val="567"/>
          <w:tblHeader/>
        </w:trPr>
        <w:tc>
          <w:tcPr>
            <w:tcW w:w="795" w:type="dxa"/>
            <w:tcBorders>
              <w:top w:val="nil"/>
              <w:bottom w:val="single" w:sz="4" w:space="0" w:color="5D779D" w:themeColor="accent3"/>
            </w:tcBorders>
            <w:shd w:val="clear" w:color="auto" w:fill="AEBBCE"/>
            <w:vAlign w:val="center"/>
            <w:hideMark/>
          </w:tcPr>
          <w:p w14:paraId="5BA8FB15" w14:textId="77777777" w:rsidR="005330D3" w:rsidRPr="009E7CA0" w:rsidRDefault="005330D3" w:rsidP="005E5C59">
            <w:pPr>
              <w:pStyle w:val="TableColumnHeadingLeft"/>
            </w:pPr>
            <w:r w:rsidRPr="009E7CA0">
              <w:t>Agency</w:t>
            </w:r>
          </w:p>
        </w:tc>
        <w:tc>
          <w:tcPr>
            <w:tcW w:w="1332" w:type="dxa"/>
            <w:tcBorders>
              <w:top w:val="nil"/>
              <w:bottom w:val="single" w:sz="4" w:space="0" w:color="5D779D" w:themeColor="accent3"/>
            </w:tcBorders>
            <w:shd w:val="clear" w:color="auto" w:fill="AEBBCE"/>
            <w:vAlign w:val="center"/>
          </w:tcPr>
          <w:p w14:paraId="7CB530DD" w14:textId="77777777" w:rsidR="005330D3" w:rsidRPr="009E7CA0" w:rsidRDefault="005330D3" w:rsidP="005E5C59">
            <w:pPr>
              <w:pStyle w:val="TableColumnHeadingLeft"/>
            </w:pPr>
            <w:r w:rsidRPr="009E7CA0">
              <w:t>Sector</w:t>
            </w:r>
          </w:p>
        </w:tc>
        <w:tc>
          <w:tcPr>
            <w:tcW w:w="3137" w:type="dxa"/>
            <w:tcBorders>
              <w:top w:val="nil"/>
              <w:bottom w:val="single" w:sz="4" w:space="0" w:color="5D779D" w:themeColor="accent3"/>
            </w:tcBorders>
            <w:shd w:val="clear" w:color="auto" w:fill="AEBBCE"/>
            <w:vAlign w:val="center"/>
          </w:tcPr>
          <w:p w14:paraId="4E207F20" w14:textId="77777777" w:rsidR="005330D3" w:rsidRPr="009E7CA0" w:rsidRDefault="005330D3" w:rsidP="005E5C59">
            <w:pPr>
              <w:pStyle w:val="TableColumnHeadingLeft"/>
            </w:pPr>
            <w:r w:rsidRPr="009E7CA0">
              <w:t>Initiative</w:t>
            </w:r>
          </w:p>
        </w:tc>
        <w:tc>
          <w:tcPr>
            <w:tcW w:w="1257" w:type="dxa"/>
            <w:tcBorders>
              <w:top w:val="nil"/>
              <w:bottom w:val="single" w:sz="4" w:space="0" w:color="5D779D" w:themeColor="accent3"/>
            </w:tcBorders>
            <w:shd w:val="clear" w:color="auto" w:fill="AEBBCE"/>
            <w:vAlign w:val="center"/>
          </w:tcPr>
          <w:p w14:paraId="51994641" w14:textId="77777777" w:rsidR="005330D3" w:rsidRPr="009E7CA0" w:rsidRDefault="005330D3" w:rsidP="005E5C59">
            <w:pPr>
              <w:pStyle w:val="TableColumnHeadingLeft"/>
            </w:pPr>
            <w:r w:rsidRPr="009E7CA0">
              <w:t xml:space="preserve">Q2 2026 </w:t>
            </w:r>
            <w:r w:rsidRPr="009E7CA0" w:rsidDel="008C7AC5">
              <w:t>activity</w:t>
            </w:r>
          </w:p>
        </w:tc>
        <w:tc>
          <w:tcPr>
            <w:tcW w:w="1417" w:type="dxa"/>
            <w:tcBorders>
              <w:top w:val="nil"/>
              <w:bottom w:val="single" w:sz="4" w:space="0" w:color="5D779D" w:themeColor="accent3"/>
            </w:tcBorders>
            <w:shd w:val="clear" w:color="auto" w:fill="AEBBCE"/>
            <w:vAlign w:val="center"/>
          </w:tcPr>
          <w:p w14:paraId="00291784" w14:textId="77777777" w:rsidR="005330D3" w:rsidRPr="009E7CA0" w:rsidRDefault="005330D3" w:rsidP="005E5C59">
            <w:pPr>
              <w:pStyle w:val="TableColumnHeadingLeft"/>
            </w:pPr>
            <w:r w:rsidRPr="009E7CA0">
              <w:t>Q3 2026 activity</w:t>
            </w:r>
          </w:p>
        </w:tc>
        <w:tc>
          <w:tcPr>
            <w:tcW w:w="1559" w:type="dxa"/>
            <w:tcBorders>
              <w:top w:val="nil"/>
              <w:bottom w:val="single" w:sz="4" w:space="0" w:color="5D779D" w:themeColor="accent3"/>
            </w:tcBorders>
            <w:shd w:val="clear" w:color="auto" w:fill="AEBBCE"/>
            <w:vAlign w:val="center"/>
          </w:tcPr>
          <w:p w14:paraId="4377C5A5" w14:textId="4E40BF65" w:rsidR="005330D3" w:rsidRPr="009E7CA0" w:rsidRDefault="005330D3" w:rsidP="005E5C59">
            <w:pPr>
              <w:pStyle w:val="TableColumnHeadingLeft"/>
            </w:pPr>
            <w:r w:rsidRPr="009E7CA0">
              <w:t>Q4 2026</w:t>
            </w:r>
            <w:r w:rsidR="00515806">
              <w:br/>
            </w:r>
            <w:r w:rsidRPr="009E7CA0" w:rsidDel="008C7AC5">
              <w:t>activity</w:t>
            </w:r>
          </w:p>
        </w:tc>
        <w:tc>
          <w:tcPr>
            <w:tcW w:w="934" w:type="dxa"/>
            <w:tcBorders>
              <w:top w:val="nil"/>
              <w:bottom w:val="single" w:sz="4" w:space="0" w:color="5D779D" w:themeColor="accent3"/>
            </w:tcBorders>
            <w:shd w:val="clear" w:color="auto" w:fill="AEBBCE"/>
            <w:vAlign w:val="center"/>
          </w:tcPr>
          <w:p w14:paraId="64E6289A" w14:textId="77777777" w:rsidR="005330D3" w:rsidRPr="009E7CA0" w:rsidRDefault="005330D3" w:rsidP="005E5C59">
            <w:pPr>
              <w:pStyle w:val="TableColumnHeadingLeft"/>
            </w:pPr>
            <w:r w:rsidRPr="009E7CA0">
              <w:t xml:space="preserve">Q1 2027 </w:t>
            </w:r>
            <w:r w:rsidRPr="009E7CA0" w:rsidDel="008C7AC5">
              <w:t>activity</w:t>
            </w:r>
          </w:p>
        </w:tc>
        <w:tc>
          <w:tcPr>
            <w:tcW w:w="1191" w:type="dxa"/>
            <w:tcBorders>
              <w:top w:val="nil"/>
              <w:bottom w:val="single" w:sz="4" w:space="0" w:color="5D779D" w:themeColor="accent3"/>
            </w:tcBorders>
            <w:shd w:val="clear" w:color="auto" w:fill="AEBBCE"/>
            <w:vAlign w:val="center"/>
          </w:tcPr>
          <w:p w14:paraId="6CB0861E" w14:textId="744B9169" w:rsidR="005330D3" w:rsidRPr="009E7CA0" w:rsidRDefault="005330D3" w:rsidP="005E5C59">
            <w:pPr>
              <w:pStyle w:val="TableColumnHeadingLeft"/>
            </w:pPr>
            <w:r w:rsidRPr="009E7CA0">
              <w:t xml:space="preserve">Q2 2027 </w:t>
            </w:r>
            <w:r w:rsidRPr="009E7CA0" w:rsidDel="008C7AC5">
              <w:t>activity</w:t>
            </w:r>
          </w:p>
        </w:tc>
        <w:tc>
          <w:tcPr>
            <w:tcW w:w="1247" w:type="dxa"/>
            <w:tcBorders>
              <w:top w:val="nil"/>
              <w:bottom w:val="single" w:sz="4" w:space="0" w:color="5D779D" w:themeColor="accent3"/>
            </w:tcBorders>
            <w:shd w:val="clear" w:color="auto" w:fill="AEBBCE"/>
          </w:tcPr>
          <w:p w14:paraId="4AEE155C" w14:textId="4F30BC3D" w:rsidR="00426F08" w:rsidRPr="009E7CA0" w:rsidRDefault="00426F08" w:rsidP="005E5C59">
            <w:pPr>
              <w:pStyle w:val="TableColumnHeadingLeft"/>
            </w:pPr>
            <w:r w:rsidRPr="009E7CA0">
              <w:t>H2 2027</w:t>
            </w:r>
            <w:r w:rsidR="005F5513">
              <w:t xml:space="preserve"> </w:t>
            </w:r>
            <w:r w:rsidRPr="009E7CA0">
              <w:t>activity</w:t>
            </w:r>
          </w:p>
        </w:tc>
        <w:tc>
          <w:tcPr>
            <w:tcW w:w="1134" w:type="dxa"/>
            <w:tcBorders>
              <w:top w:val="nil"/>
              <w:bottom w:val="single" w:sz="4" w:space="0" w:color="5D779D" w:themeColor="accent3"/>
            </w:tcBorders>
            <w:shd w:val="clear" w:color="auto" w:fill="AEBBCE"/>
          </w:tcPr>
          <w:p w14:paraId="09955775" w14:textId="0EE55240" w:rsidR="00426F08" w:rsidRPr="009E7CA0" w:rsidRDefault="00426F08" w:rsidP="005E5C59">
            <w:pPr>
              <w:pStyle w:val="TableColumnHeadingLeft"/>
            </w:pPr>
            <w:r w:rsidRPr="009E7CA0">
              <w:t>H1 2028 activity</w:t>
            </w:r>
          </w:p>
        </w:tc>
      </w:tr>
      <w:tr w:rsidR="0037380B" w:rsidRPr="009E7CA0" w14:paraId="5B592FDE" w14:textId="179F66FE" w:rsidTr="00B96E7E">
        <w:trPr>
          <w:cantSplit/>
          <w:trHeight w:val="410"/>
        </w:trPr>
        <w:tc>
          <w:tcPr>
            <w:tcW w:w="795" w:type="dxa"/>
          </w:tcPr>
          <w:p w14:paraId="294398DB" w14:textId="77777777" w:rsidR="005330D3" w:rsidRPr="009E7CA0" w:rsidRDefault="005330D3" w:rsidP="00F30D3C">
            <w:pPr>
              <w:pStyle w:val="TableLeadAgency"/>
            </w:pPr>
            <w:r w:rsidRPr="009E7CA0">
              <w:t>RBA</w:t>
            </w:r>
          </w:p>
        </w:tc>
        <w:tc>
          <w:tcPr>
            <w:tcW w:w="1332" w:type="dxa"/>
          </w:tcPr>
          <w:p w14:paraId="214BDCBB" w14:textId="77777777" w:rsidR="005330D3" w:rsidRPr="009E7CA0" w:rsidRDefault="005330D3" w:rsidP="00F30D3C">
            <w:pPr>
              <w:pStyle w:val="TableTextLeft"/>
            </w:pPr>
            <w:r w:rsidRPr="009E7CA0">
              <w:t>Payment services and digital assets</w:t>
            </w:r>
          </w:p>
        </w:tc>
        <w:tc>
          <w:tcPr>
            <w:tcW w:w="3137" w:type="dxa"/>
          </w:tcPr>
          <w:p w14:paraId="765FBD3C" w14:textId="282C8E0A" w:rsidR="005330D3" w:rsidRPr="009E7CA0" w:rsidRDefault="005330D3" w:rsidP="00827966">
            <w:pPr>
              <w:pStyle w:val="TableLink"/>
            </w:pPr>
            <w:r w:rsidRPr="009E7CA0">
              <w:t>Account</w:t>
            </w:r>
            <w:r w:rsidR="48D15226" w:rsidRPr="009E7CA0">
              <w:t>-</w:t>
            </w:r>
            <w:r w:rsidRPr="009E7CA0">
              <w:t>to</w:t>
            </w:r>
            <w:r w:rsidR="48D15226" w:rsidRPr="009E7CA0">
              <w:t>-</w:t>
            </w:r>
            <w:r w:rsidRPr="009E7CA0">
              <w:t xml:space="preserve">account payments pricing – annual data collection </w:t>
            </w:r>
          </w:p>
          <w:p w14:paraId="51EB95B1" w14:textId="42F5DADF" w:rsidR="005330D3" w:rsidRPr="009E7CA0" w:rsidRDefault="005330D3" w:rsidP="00827966">
            <w:pPr>
              <w:pStyle w:val="TableTextLeft"/>
            </w:pPr>
            <w:r w:rsidRPr="009E7CA0">
              <w:t>The RBA will collect data annually on the wholesale, intermediary and end</w:t>
            </w:r>
            <w:r w:rsidR="52810FFC" w:rsidRPr="009E7CA0">
              <w:t>-</w:t>
            </w:r>
            <w:r w:rsidRPr="009E7CA0">
              <w:t>user fees associated with the use of BECS, BPAY and the NPP. These data will give the RBA greater visibility of the pricing of</w:t>
            </w:r>
            <w:r w:rsidR="00827966" w:rsidRPr="009E7CA0">
              <w:t> </w:t>
            </w:r>
            <w:r w:rsidRPr="009E7CA0">
              <w:t>account</w:t>
            </w:r>
            <w:r w:rsidR="1B307A1C" w:rsidRPr="009E7CA0">
              <w:t>-</w:t>
            </w:r>
            <w:r w:rsidRPr="009E7CA0">
              <w:t>to</w:t>
            </w:r>
            <w:r w:rsidR="1B307A1C" w:rsidRPr="009E7CA0">
              <w:t>-</w:t>
            </w:r>
            <w:r w:rsidRPr="009E7CA0">
              <w:t xml:space="preserve">account payments. </w:t>
            </w:r>
            <w:r w:rsidR="00A07098">
              <w:br/>
            </w:r>
            <w:r w:rsidRPr="009E7CA0">
              <w:t>This will facilitate the analysis of policy issues</w:t>
            </w:r>
            <w:r w:rsidR="00827966" w:rsidRPr="009E7CA0">
              <w:t> </w:t>
            </w:r>
            <w:r w:rsidRPr="009E7CA0">
              <w:t>relating to account</w:t>
            </w:r>
            <w:r w:rsidR="00827966" w:rsidRPr="009E7CA0">
              <w:noBreakHyphen/>
            </w:r>
            <w:r w:rsidRPr="009E7CA0">
              <w:t>to</w:t>
            </w:r>
            <w:r w:rsidR="00827966" w:rsidRPr="009E7CA0">
              <w:noBreakHyphen/>
            </w:r>
            <w:r w:rsidRPr="009E7CA0">
              <w:t>account</w:t>
            </w:r>
            <w:r w:rsidR="69FE5A90" w:rsidRPr="009E7CA0">
              <w:t xml:space="preserve"> </w:t>
            </w:r>
            <w:r w:rsidRPr="009E7CA0">
              <w:noBreakHyphen/>
              <w:t>payments</w:t>
            </w:r>
            <w:r w:rsidR="799C1F97" w:rsidRPr="009E7CA0">
              <w:t>.</w:t>
            </w:r>
          </w:p>
        </w:tc>
        <w:tc>
          <w:tcPr>
            <w:tcW w:w="1257" w:type="dxa"/>
            <w:shd w:val="clear" w:color="auto" w:fill="DFE4EB"/>
          </w:tcPr>
          <w:p w14:paraId="35631FC3" w14:textId="044E4831" w:rsidR="005330D3" w:rsidRPr="009E7CA0" w:rsidRDefault="005330D3" w:rsidP="00F30D3C">
            <w:pPr>
              <w:pStyle w:val="TableTextLeft"/>
            </w:pPr>
          </w:p>
        </w:tc>
        <w:tc>
          <w:tcPr>
            <w:tcW w:w="1417" w:type="dxa"/>
            <w:shd w:val="clear" w:color="auto" w:fill="DFE4EB"/>
          </w:tcPr>
          <w:p w14:paraId="36C64F76" w14:textId="77777777" w:rsidR="005330D3" w:rsidRPr="009E7CA0" w:rsidRDefault="005330D3" w:rsidP="00F30D3C">
            <w:pPr>
              <w:pStyle w:val="TableTextLeft"/>
            </w:pPr>
          </w:p>
        </w:tc>
        <w:tc>
          <w:tcPr>
            <w:tcW w:w="1559" w:type="dxa"/>
            <w:shd w:val="clear" w:color="auto" w:fill="DFE4EB"/>
          </w:tcPr>
          <w:p w14:paraId="0D2DE9E8" w14:textId="1386AAB0" w:rsidR="543B443A" w:rsidRPr="009E7CA0" w:rsidRDefault="543B443A" w:rsidP="00827966">
            <w:pPr>
              <w:pStyle w:val="TableTextLeft"/>
              <w:rPr>
                <w:rFonts w:eastAsia="Calibri Light"/>
              </w:rPr>
            </w:pPr>
            <w:r w:rsidRPr="009E7CA0">
              <w:rPr>
                <w:rFonts w:eastAsia="Calibri Light"/>
              </w:rPr>
              <w:t xml:space="preserve">Data to be </w:t>
            </w:r>
          </w:p>
          <w:p w14:paraId="1515CEB6" w14:textId="3C548971" w:rsidR="543B443A" w:rsidRPr="009E7CA0" w:rsidRDefault="543B443A" w:rsidP="00827966">
            <w:pPr>
              <w:pStyle w:val="TableTextLeft"/>
              <w:rPr>
                <w:rFonts w:eastAsia="Calibri Light"/>
              </w:rPr>
            </w:pPr>
            <w:r w:rsidRPr="009E7CA0">
              <w:rPr>
                <w:rFonts w:eastAsia="Calibri Light"/>
              </w:rPr>
              <w:t xml:space="preserve">submitted by </w:t>
            </w:r>
          </w:p>
          <w:p w14:paraId="7E209F82" w14:textId="613581CB" w:rsidR="543B443A" w:rsidRPr="009E7CA0" w:rsidRDefault="543B443A" w:rsidP="00827966">
            <w:pPr>
              <w:pStyle w:val="TableTextLeft"/>
              <w:rPr>
                <w:rFonts w:eastAsia="Calibri Light"/>
              </w:rPr>
            </w:pPr>
            <w:r w:rsidRPr="009E7CA0">
              <w:rPr>
                <w:rFonts w:eastAsia="Calibri Light"/>
              </w:rPr>
              <w:t xml:space="preserve">reporting </w:t>
            </w:r>
          </w:p>
          <w:p w14:paraId="2999D083" w14:textId="06F68220" w:rsidR="543B443A" w:rsidRPr="009E7CA0" w:rsidRDefault="543B443A" w:rsidP="00827966">
            <w:pPr>
              <w:pStyle w:val="TableTextLeft"/>
              <w:rPr>
                <w:rFonts w:eastAsia="Calibri Light"/>
              </w:rPr>
            </w:pPr>
            <w:r w:rsidRPr="009E7CA0">
              <w:rPr>
                <w:rFonts w:eastAsia="Calibri Light"/>
              </w:rPr>
              <w:t>institutions</w:t>
            </w:r>
            <w:r w:rsidR="00A07098">
              <w:rPr>
                <w:rFonts w:eastAsia="Calibri Light"/>
              </w:rPr>
              <w:t>.</w:t>
            </w:r>
            <w:r w:rsidR="00041012" w:rsidRPr="009E7CA0">
              <w:rPr>
                <w:rFonts w:eastAsia="Calibri Light"/>
              </w:rPr>
              <w:t>*</w:t>
            </w:r>
          </w:p>
        </w:tc>
        <w:tc>
          <w:tcPr>
            <w:tcW w:w="934" w:type="dxa"/>
            <w:shd w:val="clear" w:color="auto" w:fill="EFF1F5"/>
          </w:tcPr>
          <w:p w14:paraId="56CCF391" w14:textId="77777777" w:rsidR="005330D3" w:rsidRPr="009E7CA0" w:rsidRDefault="005330D3" w:rsidP="00827966">
            <w:pPr>
              <w:pStyle w:val="TableTextLeft"/>
            </w:pPr>
          </w:p>
        </w:tc>
        <w:tc>
          <w:tcPr>
            <w:tcW w:w="1191" w:type="dxa"/>
            <w:shd w:val="clear" w:color="auto" w:fill="EFF1F5"/>
          </w:tcPr>
          <w:p w14:paraId="0FA8D752" w14:textId="77777777" w:rsidR="005330D3" w:rsidRPr="009E7CA0" w:rsidRDefault="005330D3" w:rsidP="00827966">
            <w:pPr>
              <w:pStyle w:val="TableTextLeft"/>
            </w:pPr>
          </w:p>
        </w:tc>
        <w:tc>
          <w:tcPr>
            <w:tcW w:w="1247" w:type="dxa"/>
            <w:shd w:val="clear" w:color="auto" w:fill="EFF1F5"/>
          </w:tcPr>
          <w:p w14:paraId="671A5FDC" w14:textId="5A5D7588" w:rsidR="005330D3" w:rsidRPr="009E7CA0" w:rsidRDefault="7FB389A2" w:rsidP="00827966">
            <w:pPr>
              <w:pStyle w:val="TableTextLeft"/>
              <w:rPr>
                <w:rFonts w:eastAsia="Calibri Light"/>
              </w:rPr>
            </w:pPr>
            <w:r w:rsidRPr="009E7CA0">
              <w:rPr>
                <w:rFonts w:eastAsia="Calibri Light"/>
              </w:rPr>
              <w:t xml:space="preserve">Data to be </w:t>
            </w:r>
          </w:p>
          <w:p w14:paraId="088AA61F" w14:textId="0F7D1422" w:rsidR="005330D3" w:rsidRPr="009E7CA0" w:rsidRDefault="7FB389A2" w:rsidP="00827966">
            <w:pPr>
              <w:pStyle w:val="TableTextLeft"/>
              <w:rPr>
                <w:rFonts w:eastAsia="Calibri Light"/>
              </w:rPr>
            </w:pPr>
            <w:r w:rsidRPr="009E7CA0">
              <w:rPr>
                <w:rFonts w:eastAsia="Calibri Light"/>
              </w:rPr>
              <w:t xml:space="preserve">submitted by </w:t>
            </w:r>
          </w:p>
          <w:p w14:paraId="7ECA06BD" w14:textId="3D592036" w:rsidR="005330D3" w:rsidRPr="009E7CA0" w:rsidRDefault="7FB389A2" w:rsidP="00827966">
            <w:pPr>
              <w:pStyle w:val="TableTextLeft"/>
              <w:rPr>
                <w:rFonts w:eastAsia="Calibri Light"/>
              </w:rPr>
            </w:pPr>
            <w:r w:rsidRPr="009E7CA0">
              <w:rPr>
                <w:rFonts w:eastAsia="Calibri Light"/>
              </w:rPr>
              <w:t xml:space="preserve">reporting </w:t>
            </w:r>
          </w:p>
          <w:p w14:paraId="7FADF9E2" w14:textId="42362B55" w:rsidR="005330D3" w:rsidRPr="009E7CA0" w:rsidRDefault="7FB389A2" w:rsidP="00827966">
            <w:pPr>
              <w:pStyle w:val="TableTextLeft"/>
            </w:pPr>
            <w:r w:rsidRPr="009E7CA0">
              <w:rPr>
                <w:rFonts w:eastAsia="Calibri Light"/>
              </w:rPr>
              <w:t>institutions</w:t>
            </w:r>
            <w:r w:rsidR="00A07098">
              <w:rPr>
                <w:rFonts w:eastAsia="Calibri Light"/>
              </w:rPr>
              <w:t>.</w:t>
            </w:r>
            <w:r w:rsidR="00041012" w:rsidRPr="009E7CA0">
              <w:rPr>
                <w:rFonts w:eastAsia="Calibri Light"/>
              </w:rPr>
              <w:t>*</w:t>
            </w:r>
          </w:p>
        </w:tc>
        <w:tc>
          <w:tcPr>
            <w:tcW w:w="1134" w:type="dxa"/>
            <w:shd w:val="clear" w:color="auto" w:fill="EFF1F5"/>
          </w:tcPr>
          <w:p w14:paraId="593ED50B" w14:textId="77777777" w:rsidR="005330D3" w:rsidRPr="009E7CA0" w:rsidRDefault="005330D3" w:rsidP="00827966">
            <w:pPr>
              <w:pStyle w:val="TableTextLeft"/>
            </w:pPr>
          </w:p>
        </w:tc>
      </w:tr>
      <w:tr w:rsidR="0037380B" w:rsidRPr="009E7CA0" w14:paraId="15B3E684" w14:textId="1AA31D46" w:rsidTr="00B96E7E">
        <w:trPr>
          <w:cantSplit/>
          <w:trHeight w:val="410"/>
        </w:trPr>
        <w:tc>
          <w:tcPr>
            <w:tcW w:w="795" w:type="dxa"/>
          </w:tcPr>
          <w:p w14:paraId="078E31A4" w14:textId="77777777" w:rsidR="005330D3" w:rsidRPr="009E7CA0" w:rsidRDefault="005330D3" w:rsidP="00BB722F">
            <w:pPr>
              <w:pStyle w:val="TableLeadAgency"/>
              <w:rPr>
                <w:lang w:val="en-US" w:eastAsia="ja-JP"/>
              </w:rPr>
            </w:pPr>
            <w:r w:rsidRPr="009E7CA0">
              <w:lastRenderedPageBreak/>
              <w:t>ATO</w:t>
            </w:r>
          </w:p>
        </w:tc>
        <w:tc>
          <w:tcPr>
            <w:tcW w:w="1332" w:type="dxa"/>
          </w:tcPr>
          <w:p w14:paraId="751319D2" w14:textId="77777777" w:rsidR="005330D3" w:rsidRPr="009E7CA0" w:rsidRDefault="005330D3" w:rsidP="000A7759">
            <w:pPr>
              <w:pStyle w:val="TableTextLeft"/>
              <w:rPr>
                <w:lang w:val="en-US" w:eastAsia="ja-JP"/>
              </w:rPr>
            </w:pPr>
            <w:r w:rsidRPr="009E7CA0">
              <w:t>All</w:t>
            </w:r>
          </w:p>
        </w:tc>
        <w:tc>
          <w:tcPr>
            <w:tcW w:w="3137" w:type="dxa"/>
          </w:tcPr>
          <w:p w14:paraId="78D284CC" w14:textId="4AE21F10" w:rsidR="005330D3" w:rsidRPr="009E7CA0" w:rsidRDefault="00110ECD" w:rsidP="005C38EF">
            <w:pPr>
              <w:pStyle w:val="TableLink"/>
              <w:spacing w:before="0" w:after="0"/>
              <w:rPr>
                <w:bCs/>
              </w:rPr>
            </w:pPr>
            <w:hyperlink r:id="rId92">
              <w:r w:rsidRPr="009E7CA0">
                <w:t xml:space="preserve">Administration of penalties </w:t>
              </w:r>
              <w:r w:rsidR="00777F10" w:rsidRPr="009E7CA0">
                <w:t>that apply where employers or superannuation funds fail to comply with event</w:t>
              </w:r>
              <w:r w:rsidR="00777F10" w:rsidRPr="009E7CA0">
                <w:noBreakHyphen/>
                <w:t>based reporting obligations – Law Administration Practice Statement</w:t>
              </w:r>
            </w:hyperlink>
            <w:r w:rsidR="005330D3" w:rsidRPr="009E7CA0">
              <w:t xml:space="preserve"> (ATO guidance reference number 4200) </w:t>
            </w:r>
          </w:p>
          <w:p w14:paraId="620A5461" w14:textId="31B47C65" w:rsidR="00E0741B" w:rsidRPr="009E7CA0" w:rsidRDefault="005330D3" w:rsidP="00220372">
            <w:pPr>
              <w:pStyle w:val="TableTextLeft"/>
            </w:pPr>
            <w:r w:rsidRPr="009E7CA0">
              <w:t>Event</w:t>
            </w:r>
            <w:r w:rsidR="00E0741B" w:rsidRPr="009E7CA0">
              <w:t xml:space="preserve"> </w:t>
            </w:r>
            <w:r w:rsidRPr="009E7CA0">
              <w:t xml:space="preserve">based reporting regimes were introduced in 2018 for employers (Single Touch Payroll) and for superannuation funds (member account transactions and attributes). </w:t>
            </w:r>
          </w:p>
          <w:p w14:paraId="6B67E13F" w14:textId="77777777" w:rsidR="002C7CF8" w:rsidRPr="009E7CA0" w:rsidRDefault="002C7CF8" w:rsidP="002C7CF8">
            <w:pPr>
              <w:pStyle w:val="TableTextLeft"/>
              <w:rPr>
                <w:color w:val="auto"/>
              </w:rPr>
            </w:pPr>
            <w:r w:rsidRPr="009E7CA0">
              <w:t xml:space="preserve">On 12 March 2026, the ATO released the following Draft Law Administration Practice </w:t>
            </w:r>
            <w:r w:rsidRPr="009E7CA0">
              <w:rPr>
                <w:color w:val="auto"/>
              </w:rPr>
              <w:t>Statements:</w:t>
            </w:r>
          </w:p>
          <w:p w14:paraId="0B393177" w14:textId="77777777" w:rsidR="002C7CF8" w:rsidRPr="009E7CA0" w:rsidRDefault="002C7CF8" w:rsidP="002C7CF8">
            <w:pPr>
              <w:pStyle w:val="TableTextLeft"/>
              <w:numPr>
                <w:ilvl w:val="0"/>
                <w:numId w:val="26"/>
              </w:numPr>
              <w:ind w:left="284" w:hanging="284"/>
              <w:rPr>
                <w:i/>
                <w:iCs/>
                <w:color w:val="auto"/>
              </w:rPr>
            </w:pPr>
            <w:hyperlink r:id="rId93" w:history="1">
              <w:r w:rsidRPr="009E7CA0">
                <w:rPr>
                  <w:rStyle w:val="Hyperlink"/>
                  <w:color w:val="auto"/>
                </w:rPr>
                <w:t>PS LA 2026/D1</w:t>
              </w:r>
            </w:hyperlink>
            <w:r w:rsidRPr="009E7CA0">
              <w:rPr>
                <w:color w:val="auto"/>
              </w:rPr>
              <w:t xml:space="preserve"> </w:t>
            </w:r>
            <w:r w:rsidRPr="009E7CA0">
              <w:rPr>
                <w:i/>
                <w:iCs/>
                <w:color w:val="auto"/>
              </w:rPr>
              <w:t>Administration of penalties for failure to comply with superannuation member account reporting</w:t>
            </w:r>
          </w:p>
          <w:p w14:paraId="2C2B5436" w14:textId="77777777" w:rsidR="002C7CF8" w:rsidRPr="009E7CA0" w:rsidRDefault="002C7CF8" w:rsidP="002C7CF8">
            <w:pPr>
              <w:pStyle w:val="TableTextLeft"/>
              <w:numPr>
                <w:ilvl w:val="0"/>
                <w:numId w:val="26"/>
              </w:numPr>
              <w:ind w:left="284" w:hanging="284"/>
              <w:rPr>
                <w:i/>
                <w:iCs/>
                <w:color w:val="auto"/>
              </w:rPr>
            </w:pPr>
            <w:hyperlink r:id="rId94" w:history="1">
              <w:r w:rsidRPr="009E7CA0">
                <w:rPr>
                  <w:rStyle w:val="Hyperlink"/>
                  <w:color w:val="auto"/>
                </w:rPr>
                <w:t>PS LA 2026/D</w:t>
              </w:r>
              <w:r w:rsidRPr="009E7CA0">
                <w:rPr>
                  <w:rStyle w:val="Hyperlink"/>
                  <w:i/>
                  <w:iCs/>
                  <w:color w:val="auto"/>
                </w:rPr>
                <w:t>2</w:t>
              </w:r>
            </w:hyperlink>
            <w:r w:rsidRPr="009E7CA0">
              <w:rPr>
                <w:i/>
                <w:iCs/>
                <w:color w:val="auto"/>
              </w:rPr>
              <w:t xml:space="preserve"> Administration of penalties for failure to comply with Single Touch Payroll reporting obligations.</w:t>
            </w:r>
          </w:p>
          <w:p w14:paraId="3F3D7B86" w14:textId="7B2529C2" w:rsidR="005330D3" w:rsidRPr="009E7CA0" w:rsidRDefault="002C7CF8" w:rsidP="00826B78">
            <w:pPr>
              <w:pStyle w:val="TableTextLeft"/>
              <w:rPr>
                <w:b/>
                <w:bCs/>
                <w:lang w:val="en-US" w:eastAsia="ja-JP"/>
              </w:rPr>
            </w:pPr>
            <w:r w:rsidRPr="009E7CA0">
              <w:rPr>
                <w:color w:val="auto"/>
              </w:rPr>
              <w:t xml:space="preserve">These Practice Statements </w:t>
            </w:r>
            <w:r w:rsidRPr="009E7CA0">
              <w:t>provide guidance for ATO staff on the administration of penalties that may apply to employers or superannuation funds that fail to meet their reporting obligations.</w:t>
            </w:r>
          </w:p>
        </w:tc>
        <w:tc>
          <w:tcPr>
            <w:tcW w:w="1257" w:type="dxa"/>
            <w:shd w:val="clear" w:color="auto" w:fill="DFE4EB"/>
          </w:tcPr>
          <w:p w14:paraId="2A98A7DB" w14:textId="3A3CDB28" w:rsidR="005330D3" w:rsidRPr="009E7CA0" w:rsidDel="005C4CE7" w:rsidRDefault="00FE5768" w:rsidP="00D35D14">
            <w:pPr>
              <w:pStyle w:val="TableTextLeft"/>
            </w:pPr>
            <w:r w:rsidRPr="009E7CA0">
              <w:rPr>
                <w:lang w:eastAsia="ja-JP"/>
              </w:rPr>
              <w:t>Public consultation on draft ATO public advice and guidance</w:t>
            </w:r>
            <w:r w:rsidR="00A07098">
              <w:rPr>
                <w:lang w:eastAsia="ja-JP"/>
              </w:rPr>
              <w:t>.</w:t>
            </w:r>
            <w:r w:rsidRPr="009E7CA0">
              <w:rPr>
                <w:lang w:eastAsia="ja-JP"/>
              </w:rPr>
              <w:t>*</w:t>
            </w:r>
          </w:p>
        </w:tc>
        <w:tc>
          <w:tcPr>
            <w:tcW w:w="1417" w:type="dxa"/>
            <w:shd w:val="clear" w:color="auto" w:fill="DFE4EB"/>
          </w:tcPr>
          <w:p w14:paraId="3D6C5114" w14:textId="0D1D91EC" w:rsidR="005330D3" w:rsidRPr="009E7CA0" w:rsidRDefault="005330D3" w:rsidP="00BB722F">
            <w:pPr>
              <w:pStyle w:val="TableTextLeft"/>
            </w:pPr>
          </w:p>
        </w:tc>
        <w:tc>
          <w:tcPr>
            <w:tcW w:w="1559" w:type="dxa"/>
            <w:shd w:val="clear" w:color="auto" w:fill="DFE4EB"/>
          </w:tcPr>
          <w:p w14:paraId="7F6F41E8" w14:textId="77777777" w:rsidR="005330D3" w:rsidRPr="009E7CA0" w:rsidDel="005C4CE7" w:rsidRDefault="005330D3" w:rsidP="00BB722F">
            <w:pPr>
              <w:pStyle w:val="TableTextLeft"/>
            </w:pPr>
          </w:p>
        </w:tc>
        <w:tc>
          <w:tcPr>
            <w:tcW w:w="934" w:type="dxa"/>
            <w:shd w:val="clear" w:color="auto" w:fill="EFF1F5"/>
          </w:tcPr>
          <w:p w14:paraId="6A4052B8" w14:textId="77777777" w:rsidR="005330D3" w:rsidRPr="009E7CA0" w:rsidRDefault="005330D3" w:rsidP="00BB722F">
            <w:pPr>
              <w:pStyle w:val="TableTextLeft"/>
            </w:pPr>
          </w:p>
        </w:tc>
        <w:tc>
          <w:tcPr>
            <w:tcW w:w="1191" w:type="dxa"/>
            <w:shd w:val="clear" w:color="auto" w:fill="EFF1F5"/>
          </w:tcPr>
          <w:p w14:paraId="40B25D59" w14:textId="77777777" w:rsidR="005330D3" w:rsidRPr="009E7CA0" w:rsidRDefault="005330D3" w:rsidP="00BB722F">
            <w:pPr>
              <w:pStyle w:val="TableTextLeft"/>
            </w:pPr>
          </w:p>
        </w:tc>
        <w:tc>
          <w:tcPr>
            <w:tcW w:w="1247" w:type="dxa"/>
            <w:shd w:val="clear" w:color="auto" w:fill="EFF1F5"/>
          </w:tcPr>
          <w:p w14:paraId="76A2EE72" w14:textId="77777777" w:rsidR="005330D3" w:rsidRPr="009E7CA0" w:rsidRDefault="005330D3" w:rsidP="00BB722F">
            <w:pPr>
              <w:pStyle w:val="TableTextLeft"/>
            </w:pPr>
          </w:p>
        </w:tc>
        <w:tc>
          <w:tcPr>
            <w:tcW w:w="1134" w:type="dxa"/>
            <w:shd w:val="clear" w:color="auto" w:fill="EFF1F5"/>
          </w:tcPr>
          <w:p w14:paraId="7EA6D0AE" w14:textId="77777777" w:rsidR="005330D3" w:rsidRPr="009E7CA0" w:rsidRDefault="005330D3" w:rsidP="00BB722F">
            <w:pPr>
              <w:pStyle w:val="TableTextLeft"/>
            </w:pPr>
          </w:p>
        </w:tc>
      </w:tr>
      <w:tr w:rsidR="0037380B" w:rsidRPr="009E7CA0" w14:paraId="1D8609B5" w14:textId="15891A84" w:rsidTr="00B96E7E">
        <w:trPr>
          <w:cantSplit/>
          <w:trHeight w:val="410"/>
        </w:trPr>
        <w:tc>
          <w:tcPr>
            <w:tcW w:w="795" w:type="dxa"/>
            <w:tcBorders>
              <w:bottom w:val="single" w:sz="4" w:space="0" w:color="5D779D" w:themeColor="accent3"/>
            </w:tcBorders>
          </w:tcPr>
          <w:p w14:paraId="319F1EDC" w14:textId="77777777" w:rsidR="005330D3" w:rsidRPr="009E7CA0" w:rsidRDefault="005330D3" w:rsidP="002932A5">
            <w:pPr>
              <w:pStyle w:val="TableLeadAgency"/>
            </w:pPr>
            <w:r w:rsidRPr="009E7CA0">
              <w:rPr>
                <w:lang w:eastAsia="en-US"/>
              </w:rPr>
              <w:lastRenderedPageBreak/>
              <w:t>ASIC</w:t>
            </w:r>
          </w:p>
        </w:tc>
        <w:tc>
          <w:tcPr>
            <w:tcW w:w="1332" w:type="dxa"/>
            <w:tcBorders>
              <w:bottom w:val="single" w:sz="4" w:space="0" w:color="5D779D" w:themeColor="accent3"/>
            </w:tcBorders>
          </w:tcPr>
          <w:p w14:paraId="19B53F81" w14:textId="77777777" w:rsidR="005330D3" w:rsidRPr="009E7CA0" w:rsidRDefault="005330D3" w:rsidP="00D35D14">
            <w:pPr>
              <w:pStyle w:val="TableTextLeft"/>
              <w:rPr>
                <w:lang w:eastAsia="en-US"/>
              </w:rPr>
            </w:pPr>
            <w:r w:rsidRPr="009E7CA0">
              <w:rPr>
                <w:lang w:eastAsia="en-US"/>
              </w:rPr>
              <w:t xml:space="preserve">Superannuation </w:t>
            </w:r>
            <w:r w:rsidRPr="009E7CA0">
              <w:t>and</w:t>
            </w:r>
            <w:r w:rsidRPr="009E7CA0">
              <w:rPr>
                <w:lang w:eastAsia="en-US"/>
              </w:rPr>
              <w:t xml:space="preserve"> Retirement Income</w:t>
            </w:r>
          </w:p>
          <w:p w14:paraId="5A9226DB" w14:textId="77777777" w:rsidR="00237C09" w:rsidRPr="009E7CA0" w:rsidRDefault="00237C09" w:rsidP="002932A5">
            <w:pPr>
              <w:pStyle w:val="TableTextLeft"/>
            </w:pPr>
          </w:p>
          <w:p w14:paraId="406FADA5" w14:textId="7A7B46EB" w:rsidR="005330D3" w:rsidRPr="009E7CA0" w:rsidRDefault="00237C09" w:rsidP="00D35D14">
            <w:pPr>
              <w:pStyle w:val="TableTextLeft"/>
            </w:pPr>
            <w:r w:rsidRPr="009E7CA0">
              <w:t>Collective management and investment management</w:t>
            </w:r>
          </w:p>
        </w:tc>
        <w:tc>
          <w:tcPr>
            <w:tcW w:w="3137" w:type="dxa"/>
            <w:tcBorders>
              <w:bottom w:val="single" w:sz="4" w:space="0" w:color="5D779D" w:themeColor="accent3"/>
            </w:tcBorders>
          </w:tcPr>
          <w:p w14:paraId="176576F9" w14:textId="731FFF60" w:rsidR="005330D3" w:rsidRPr="009E7CA0" w:rsidRDefault="005330D3" w:rsidP="00D35D14">
            <w:pPr>
              <w:pStyle w:val="TableLink"/>
            </w:pPr>
            <w:r w:rsidRPr="009E7CA0">
              <w:t>ASIC review of superannuation investment requirements</w:t>
            </w:r>
            <w:r w:rsidRPr="009E7CA0">
              <w:rPr>
                <w:szCs w:val="16"/>
              </w:rPr>
              <w:t xml:space="preserve"> </w:t>
            </w:r>
          </w:p>
          <w:p w14:paraId="2A91F4BE" w14:textId="2BBD487B" w:rsidR="005330D3" w:rsidRPr="009E7CA0" w:rsidRDefault="005330D3" w:rsidP="00D35D14">
            <w:pPr>
              <w:pStyle w:val="TableTextLeft"/>
              <w:rPr>
                <w:lang w:eastAsia="en-US"/>
              </w:rPr>
            </w:pPr>
            <w:r w:rsidRPr="009E7CA0">
              <w:rPr>
                <w:lang w:eastAsia="en-US"/>
              </w:rPr>
              <w:t xml:space="preserve">ASIC has commenced a targeted review focusing on requirements to disclose stamp duty </w:t>
            </w:r>
            <w:r w:rsidRPr="009E7CA0">
              <w:t>payments</w:t>
            </w:r>
            <w:r w:rsidRPr="009E7CA0">
              <w:rPr>
                <w:lang w:eastAsia="en-US"/>
              </w:rPr>
              <w:t xml:space="preserve"> in Regulatory Guide </w:t>
            </w:r>
            <w:r w:rsidR="00D90ADA">
              <w:rPr>
                <w:lang w:eastAsia="en-US"/>
              </w:rPr>
              <w:t xml:space="preserve">97 </w:t>
            </w:r>
            <w:r w:rsidRPr="009E7CA0">
              <w:rPr>
                <w:lang w:eastAsia="en-US"/>
              </w:rPr>
              <w:t xml:space="preserve">Disclosing fees and costs in PDSs and periodic statements. </w:t>
            </w:r>
          </w:p>
          <w:p w14:paraId="3C66DF09" w14:textId="2CCB8196" w:rsidR="007D276C" w:rsidRPr="009E7CA0" w:rsidRDefault="005330D3" w:rsidP="002932A5">
            <w:pPr>
              <w:pStyle w:val="TableTextLeft"/>
            </w:pPr>
            <w:r w:rsidRPr="009E7CA0">
              <w:rPr>
                <w:lang w:eastAsia="en-US"/>
              </w:rPr>
              <w:t>The review panel will be led by ASIC and will seek direct submissions from experts and key stakeholders.</w:t>
            </w:r>
          </w:p>
        </w:tc>
        <w:tc>
          <w:tcPr>
            <w:tcW w:w="1257" w:type="dxa"/>
            <w:tcBorders>
              <w:bottom w:val="single" w:sz="4" w:space="0" w:color="5D779D" w:themeColor="accent3"/>
            </w:tcBorders>
            <w:shd w:val="clear" w:color="auto" w:fill="DFE4EB"/>
          </w:tcPr>
          <w:p w14:paraId="30681570" w14:textId="13EAA11C" w:rsidR="005330D3" w:rsidRPr="009E7CA0" w:rsidDel="005C4CE7" w:rsidRDefault="00106E4F" w:rsidP="00A93A6C">
            <w:pPr>
              <w:pStyle w:val="TableTextLeft"/>
            </w:pPr>
            <w:r w:rsidRPr="009E7CA0">
              <w:t>Review outcomes published</w:t>
            </w:r>
            <w:r w:rsidR="00A07098">
              <w:t>.</w:t>
            </w:r>
            <w:r w:rsidRPr="009E7CA0" w:rsidDel="00106E4F">
              <w:t xml:space="preserve"> </w:t>
            </w:r>
          </w:p>
        </w:tc>
        <w:tc>
          <w:tcPr>
            <w:tcW w:w="1417" w:type="dxa"/>
            <w:tcBorders>
              <w:bottom w:val="single" w:sz="4" w:space="0" w:color="5D779D" w:themeColor="accent3"/>
            </w:tcBorders>
            <w:shd w:val="clear" w:color="auto" w:fill="DFE4EB"/>
          </w:tcPr>
          <w:p w14:paraId="240B3CC9" w14:textId="7B1E993C" w:rsidR="005330D3" w:rsidRPr="009E7CA0" w:rsidRDefault="005330D3" w:rsidP="002932A5">
            <w:pPr>
              <w:pStyle w:val="TableTextLeft"/>
            </w:pPr>
          </w:p>
        </w:tc>
        <w:tc>
          <w:tcPr>
            <w:tcW w:w="1559" w:type="dxa"/>
            <w:tcBorders>
              <w:bottom w:val="single" w:sz="4" w:space="0" w:color="5D779D" w:themeColor="accent3"/>
            </w:tcBorders>
            <w:shd w:val="clear" w:color="auto" w:fill="DFE4EB"/>
          </w:tcPr>
          <w:p w14:paraId="5E27AF5A" w14:textId="77777777" w:rsidR="005330D3" w:rsidRPr="009E7CA0" w:rsidDel="005C4CE7" w:rsidRDefault="005330D3" w:rsidP="002932A5">
            <w:pPr>
              <w:pStyle w:val="TableTextLeft"/>
            </w:pPr>
          </w:p>
        </w:tc>
        <w:tc>
          <w:tcPr>
            <w:tcW w:w="934" w:type="dxa"/>
            <w:tcBorders>
              <w:bottom w:val="single" w:sz="4" w:space="0" w:color="5D779D" w:themeColor="accent3"/>
            </w:tcBorders>
            <w:shd w:val="clear" w:color="auto" w:fill="EFF1F5"/>
          </w:tcPr>
          <w:p w14:paraId="337F02B6" w14:textId="77777777" w:rsidR="005330D3" w:rsidRPr="009E7CA0" w:rsidRDefault="005330D3" w:rsidP="002932A5">
            <w:pPr>
              <w:pStyle w:val="TableTextLeft"/>
            </w:pPr>
          </w:p>
        </w:tc>
        <w:tc>
          <w:tcPr>
            <w:tcW w:w="1191" w:type="dxa"/>
            <w:tcBorders>
              <w:bottom w:val="single" w:sz="4" w:space="0" w:color="5D779D" w:themeColor="accent3"/>
            </w:tcBorders>
            <w:shd w:val="clear" w:color="auto" w:fill="EFF1F5"/>
          </w:tcPr>
          <w:p w14:paraId="2A97D2FD" w14:textId="77777777" w:rsidR="005330D3" w:rsidRPr="009E7CA0" w:rsidRDefault="005330D3" w:rsidP="002932A5">
            <w:pPr>
              <w:pStyle w:val="TableTextLeft"/>
            </w:pPr>
          </w:p>
        </w:tc>
        <w:tc>
          <w:tcPr>
            <w:tcW w:w="1247" w:type="dxa"/>
            <w:tcBorders>
              <w:bottom w:val="single" w:sz="4" w:space="0" w:color="5D779D" w:themeColor="accent3"/>
            </w:tcBorders>
            <w:shd w:val="clear" w:color="auto" w:fill="EFF1F5"/>
          </w:tcPr>
          <w:p w14:paraId="6CF320F3" w14:textId="77777777" w:rsidR="005330D3" w:rsidRPr="009E7CA0" w:rsidRDefault="005330D3" w:rsidP="002932A5">
            <w:pPr>
              <w:pStyle w:val="TableTextLeft"/>
            </w:pPr>
          </w:p>
        </w:tc>
        <w:tc>
          <w:tcPr>
            <w:tcW w:w="1134" w:type="dxa"/>
            <w:tcBorders>
              <w:bottom w:val="single" w:sz="4" w:space="0" w:color="5D779D" w:themeColor="accent3"/>
            </w:tcBorders>
            <w:shd w:val="clear" w:color="auto" w:fill="EFF1F5"/>
          </w:tcPr>
          <w:p w14:paraId="47CB010F" w14:textId="77777777" w:rsidR="005330D3" w:rsidRPr="009E7CA0" w:rsidRDefault="005330D3" w:rsidP="002932A5">
            <w:pPr>
              <w:pStyle w:val="TableTextLeft"/>
            </w:pPr>
          </w:p>
        </w:tc>
      </w:tr>
      <w:tr w:rsidR="0037380B" w:rsidRPr="009E7CA0" w14:paraId="44998CB9" w14:textId="0065E3E1" w:rsidTr="00B96E7E">
        <w:trPr>
          <w:cantSplit/>
          <w:trHeight w:val="410"/>
        </w:trPr>
        <w:tc>
          <w:tcPr>
            <w:tcW w:w="795" w:type="dxa"/>
            <w:tcBorders>
              <w:bottom w:val="single" w:sz="4" w:space="0" w:color="5D779D" w:themeColor="accent3"/>
            </w:tcBorders>
          </w:tcPr>
          <w:p w14:paraId="3A2F1768" w14:textId="77777777" w:rsidR="005330D3" w:rsidRPr="009E7CA0" w:rsidRDefault="005330D3" w:rsidP="00744529">
            <w:pPr>
              <w:pStyle w:val="TableLeadAgency"/>
            </w:pPr>
            <w:r w:rsidRPr="009E7CA0">
              <w:t xml:space="preserve">RBA </w:t>
            </w:r>
          </w:p>
          <w:p w14:paraId="3BA1C287" w14:textId="77777777" w:rsidR="005330D3" w:rsidRPr="009E7CA0" w:rsidRDefault="005330D3" w:rsidP="00744529">
            <w:pPr>
              <w:pStyle w:val="TableSecondaryAgency"/>
            </w:pPr>
            <w:r w:rsidRPr="009E7CA0">
              <w:t xml:space="preserve">ASIC </w:t>
            </w:r>
          </w:p>
          <w:p w14:paraId="47B09567" w14:textId="77777777" w:rsidR="005330D3" w:rsidRPr="009E7CA0" w:rsidRDefault="005330D3" w:rsidP="00744529">
            <w:pPr>
              <w:pStyle w:val="TableSecondaryAgency"/>
              <w:rPr>
                <w:b/>
              </w:rPr>
            </w:pPr>
            <w:r w:rsidRPr="009E7CA0">
              <w:t>TSY</w:t>
            </w:r>
          </w:p>
        </w:tc>
        <w:tc>
          <w:tcPr>
            <w:tcW w:w="1332" w:type="dxa"/>
            <w:tcBorders>
              <w:bottom w:val="single" w:sz="4" w:space="0" w:color="5D779D" w:themeColor="accent3"/>
            </w:tcBorders>
          </w:tcPr>
          <w:p w14:paraId="5C605A85" w14:textId="77777777" w:rsidR="005330D3" w:rsidRPr="009E7CA0" w:rsidRDefault="005330D3" w:rsidP="00744529">
            <w:pPr>
              <w:pStyle w:val="TableTextLeft"/>
            </w:pPr>
            <w:r w:rsidRPr="009E7CA0">
              <w:t>Financial markets</w:t>
            </w:r>
          </w:p>
        </w:tc>
        <w:tc>
          <w:tcPr>
            <w:tcW w:w="3137" w:type="dxa"/>
            <w:tcBorders>
              <w:bottom w:val="single" w:sz="4" w:space="0" w:color="5D779D" w:themeColor="accent3"/>
            </w:tcBorders>
          </w:tcPr>
          <w:p w14:paraId="777D92CE" w14:textId="42DF9AEA" w:rsidR="005330D3" w:rsidRPr="009E7CA0" w:rsidRDefault="00897B3A" w:rsidP="000A7759">
            <w:pPr>
              <w:pStyle w:val="TableLink"/>
              <w:rPr>
                <w:rStyle w:val="Hyperlink"/>
                <w:color w:val="5D779D" w:themeColor="accent3"/>
                <w:u w:val="single"/>
              </w:rPr>
            </w:pPr>
            <w:r w:rsidRPr="009E7CA0">
              <w:rPr>
                <w:color w:val="auto"/>
                <w:u w:val="none"/>
              </w:rPr>
              <w:fldChar w:fldCharType="begin"/>
            </w:r>
            <w:r w:rsidRPr="009E7CA0">
              <w:rPr>
                <w:color w:val="auto"/>
                <w:u w:val="none"/>
              </w:rPr>
              <w:instrText>HYPERLINK "https://www.rba.gov.au/media-releases/2026/mr-26-05.html"</w:instrText>
            </w:r>
            <w:r w:rsidRPr="009E7CA0">
              <w:rPr>
                <w:color w:val="auto"/>
                <w:u w:val="none"/>
              </w:rPr>
            </w:r>
            <w:r w:rsidRPr="009E7CA0">
              <w:rPr>
                <w:color w:val="auto"/>
                <w:u w:val="none"/>
              </w:rPr>
              <w:fldChar w:fldCharType="separate"/>
            </w:r>
            <w:r w:rsidR="005330D3" w:rsidRPr="009E7CA0">
              <w:rPr>
                <w:rStyle w:val="Hyperlink"/>
                <w:color w:val="5D779D" w:themeColor="accent3"/>
                <w:u w:val="single"/>
              </w:rPr>
              <w:t>Clearing and settlement facility resolution guidance</w:t>
            </w:r>
          </w:p>
          <w:p w14:paraId="2775D7A8" w14:textId="4EDC92E4" w:rsidR="005330D3" w:rsidRPr="009E7CA0" w:rsidRDefault="00897B3A" w:rsidP="00D35D14">
            <w:pPr>
              <w:pStyle w:val="TableTextLeft"/>
            </w:pPr>
            <w:r w:rsidRPr="009E7CA0">
              <w:rPr>
                <w:b/>
                <w:color w:val="auto"/>
                <w:lang w:val="en-US"/>
              </w:rPr>
              <w:fldChar w:fldCharType="end"/>
            </w:r>
            <w:r w:rsidR="005330D3" w:rsidRPr="009E7CA0">
              <w:t xml:space="preserve">The RBA </w:t>
            </w:r>
            <w:r w:rsidR="00737CBC" w:rsidRPr="009E7CA0">
              <w:t>published</w:t>
            </w:r>
            <w:r w:rsidR="005330D3" w:rsidRPr="009E7CA0">
              <w:t xml:space="preserve"> guidance</w:t>
            </w:r>
            <w:r w:rsidRPr="009E7CA0">
              <w:t xml:space="preserve"> on 18</w:t>
            </w:r>
            <w:r w:rsidR="00D35D14" w:rsidRPr="009E7CA0">
              <w:t> </w:t>
            </w:r>
            <w:r w:rsidRPr="009E7CA0">
              <w:t>February</w:t>
            </w:r>
            <w:r w:rsidR="00D35D14" w:rsidRPr="009E7CA0">
              <w:t> </w:t>
            </w:r>
            <w:r w:rsidRPr="009E7CA0">
              <w:t>2026</w:t>
            </w:r>
            <w:r w:rsidR="005330D3" w:rsidRPr="009E7CA0">
              <w:t xml:space="preserve"> for clearing and settlement facilities and market participants describing how and when the RBA expects to use the resolution powers provided by the recent financial market infrastructure (FMI) regulatory reforms.</w:t>
            </w:r>
          </w:p>
        </w:tc>
        <w:tc>
          <w:tcPr>
            <w:tcW w:w="1257" w:type="dxa"/>
            <w:tcBorders>
              <w:bottom w:val="single" w:sz="4" w:space="0" w:color="5D779D" w:themeColor="accent3"/>
            </w:tcBorders>
            <w:shd w:val="clear" w:color="auto" w:fill="DFE4EB"/>
          </w:tcPr>
          <w:p w14:paraId="35E653CC" w14:textId="422E65D9" w:rsidR="005330D3" w:rsidRPr="009E7CA0" w:rsidRDefault="005330D3" w:rsidP="00744529">
            <w:pPr>
              <w:pStyle w:val="TableTextLeft"/>
            </w:pPr>
          </w:p>
        </w:tc>
        <w:tc>
          <w:tcPr>
            <w:tcW w:w="1417" w:type="dxa"/>
            <w:tcBorders>
              <w:bottom w:val="single" w:sz="4" w:space="0" w:color="5D779D" w:themeColor="accent3"/>
            </w:tcBorders>
            <w:shd w:val="clear" w:color="auto" w:fill="DFE4EB"/>
          </w:tcPr>
          <w:p w14:paraId="60297846" w14:textId="77777777" w:rsidR="005330D3" w:rsidRPr="009E7CA0" w:rsidRDefault="005330D3" w:rsidP="00744529">
            <w:pPr>
              <w:pStyle w:val="TableTextLeft"/>
            </w:pPr>
          </w:p>
        </w:tc>
        <w:tc>
          <w:tcPr>
            <w:tcW w:w="1559" w:type="dxa"/>
            <w:tcBorders>
              <w:bottom w:val="single" w:sz="4" w:space="0" w:color="5D779D" w:themeColor="accent3"/>
            </w:tcBorders>
            <w:shd w:val="clear" w:color="auto" w:fill="DFE4EB"/>
          </w:tcPr>
          <w:p w14:paraId="31F7F3FE" w14:textId="77777777" w:rsidR="005330D3" w:rsidRPr="009E7CA0" w:rsidRDefault="005330D3" w:rsidP="00744529">
            <w:pPr>
              <w:pStyle w:val="TableTextLeft"/>
            </w:pPr>
          </w:p>
        </w:tc>
        <w:tc>
          <w:tcPr>
            <w:tcW w:w="934" w:type="dxa"/>
            <w:tcBorders>
              <w:bottom w:val="single" w:sz="4" w:space="0" w:color="5D779D" w:themeColor="accent3"/>
            </w:tcBorders>
            <w:shd w:val="clear" w:color="auto" w:fill="EFF1F5"/>
          </w:tcPr>
          <w:p w14:paraId="10581398" w14:textId="77777777" w:rsidR="005330D3" w:rsidRPr="009E7CA0" w:rsidRDefault="005330D3" w:rsidP="00744529">
            <w:pPr>
              <w:pStyle w:val="TableTextLeft"/>
            </w:pPr>
          </w:p>
        </w:tc>
        <w:tc>
          <w:tcPr>
            <w:tcW w:w="1191" w:type="dxa"/>
            <w:tcBorders>
              <w:bottom w:val="single" w:sz="4" w:space="0" w:color="5D779D" w:themeColor="accent3"/>
            </w:tcBorders>
            <w:shd w:val="clear" w:color="auto" w:fill="EFF1F5"/>
          </w:tcPr>
          <w:p w14:paraId="1DF46A2A" w14:textId="77777777" w:rsidR="005330D3" w:rsidRPr="009E7CA0" w:rsidRDefault="005330D3" w:rsidP="00744529">
            <w:pPr>
              <w:pStyle w:val="TableTextLeft"/>
            </w:pPr>
          </w:p>
        </w:tc>
        <w:tc>
          <w:tcPr>
            <w:tcW w:w="1247" w:type="dxa"/>
            <w:tcBorders>
              <w:bottom w:val="single" w:sz="4" w:space="0" w:color="5D779D" w:themeColor="accent3"/>
            </w:tcBorders>
            <w:shd w:val="clear" w:color="auto" w:fill="EFF1F5"/>
          </w:tcPr>
          <w:p w14:paraId="17E1391F" w14:textId="77777777" w:rsidR="005330D3" w:rsidRPr="009E7CA0" w:rsidRDefault="005330D3" w:rsidP="00744529">
            <w:pPr>
              <w:pStyle w:val="TableTextLeft"/>
            </w:pPr>
          </w:p>
        </w:tc>
        <w:tc>
          <w:tcPr>
            <w:tcW w:w="1134" w:type="dxa"/>
            <w:tcBorders>
              <w:bottom w:val="single" w:sz="4" w:space="0" w:color="5D779D" w:themeColor="accent3"/>
            </w:tcBorders>
            <w:shd w:val="clear" w:color="auto" w:fill="EFF1F5"/>
          </w:tcPr>
          <w:p w14:paraId="5FE3D22E" w14:textId="77777777" w:rsidR="005330D3" w:rsidRPr="009E7CA0" w:rsidRDefault="005330D3" w:rsidP="00744529">
            <w:pPr>
              <w:pStyle w:val="TableTextLeft"/>
            </w:pPr>
          </w:p>
        </w:tc>
      </w:tr>
      <w:tr w:rsidR="0037380B" w:rsidRPr="009E7CA0" w14:paraId="577BC90F" w14:textId="060D7A75" w:rsidTr="00B96E7E">
        <w:trPr>
          <w:cantSplit/>
          <w:trHeight w:val="410"/>
        </w:trPr>
        <w:tc>
          <w:tcPr>
            <w:tcW w:w="795" w:type="dxa"/>
            <w:tcBorders>
              <w:top w:val="single" w:sz="4" w:space="0" w:color="5D779D" w:themeColor="accent3"/>
              <w:bottom w:val="single" w:sz="4" w:space="0" w:color="5D779D" w:themeColor="accent3"/>
            </w:tcBorders>
          </w:tcPr>
          <w:p w14:paraId="51B86947" w14:textId="77777777" w:rsidR="005330D3" w:rsidRPr="009E7CA0" w:rsidRDefault="005330D3" w:rsidP="0025748A">
            <w:pPr>
              <w:pStyle w:val="TableLeadAgency"/>
            </w:pPr>
            <w:r w:rsidRPr="009E7CA0">
              <w:lastRenderedPageBreak/>
              <w:t xml:space="preserve">TSY </w:t>
            </w:r>
          </w:p>
          <w:p w14:paraId="2AAB9AFE" w14:textId="77777777" w:rsidR="005330D3" w:rsidRPr="009E7CA0" w:rsidRDefault="005330D3" w:rsidP="0025748A">
            <w:pPr>
              <w:pStyle w:val="TableSecondaryAgency"/>
            </w:pPr>
            <w:r w:rsidRPr="009E7CA0">
              <w:t xml:space="preserve">ASIC </w:t>
            </w:r>
          </w:p>
          <w:p w14:paraId="1465BFB8" w14:textId="77777777" w:rsidR="005330D3" w:rsidRPr="009E7CA0" w:rsidRDefault="005330D3" w:rsidP="0025748A">
            <w:pPr>
              <w:pStyle w:val="TableSecondaryAgency"/>
              <w:rPr>
                <w:b/>
              </w:rPr>
            </w:pPr>
            <w:r w:rsidRPr="009E7CA0">
              <w:t>Other</w:t>
            </w:r>
          </w:p>
        </w:tc>
        <w:tc>
          <w:tcPr>
            <w:tcW w:w="1332" w:type="dxa"/>
            <w:tcBorders>
              <w:top w:val="single" w:sz="4" w:space="0" w:color="5D779D" w:themeColor="accent3"/>
              <w:bottom w:val="single" w:sz="4" w:space="0" w:color="5D779D" w:themeColor="accent3"/>
            </w:tcBorders>
          </w:tcPr>
          <w:p w14:paraId="1E78A739" w14:textId="77777777" w:rsidR="005330D3" w:rsidRPr="009E7CA0" w:rsidRDefault="005330D3" w:rsidP="0025748A">
            <w:pPr>
              <w:pStyle w:val="TableTextLeft"/>
            </w:pPr>
            <w:r w:rsidRPr="009E7CA0">
              <w:t>All</w:t>
            </w:r>
          </w:p>
        </w:tc>
        <w:tc>
          <w:tcPr>
            <w:tcW w:w="3137" w:type="dxa"/>
            <w:tcBorders>
              <w:top w:val="single" w:sz="4" w:space="0" w:color="5D779D" w:themeColor="accent3"/>
              <w:bottom w:val="single" w:sz="4" w:space="0" w:color="5D779D" w:themeColor="accent3"/>
            </w:tcBorders>
          </w:tcPr>
          <w:p w14:paraId="15B40416" w14:textId="241422C1" w:rsidR="005330D3" w:rsidRPr="009E7CA0" w:rsidRDefault="005330D3" w:rsidP="000A7759">
            <w:pPr>
              <w:pStyle w:val="TableLink"/>
              <w:rPr>
                <w:rStyle w:val="Hyperlink"/>
                <w:color w:val="5D779D" w:themeColor="accent3"/>
                <w:u w:val="single"/>
              </w:rPr>
            </w:pPr>
            <w:hyperlink r:id="rId95">
              <w:r w:rsidRPr="009E7CA0">
                <w:rPr>
                  <w:rStyle w:val="Hyperlink"/>
                  <w:color w:val="5D779D" w:themeColor="accent3"/>
                  <w:u w:val="single"/>
                </w:rPr>
                <w:t>Climate</w:t>
              </w:r>
              <w:r w:rsidR="002303C1" w:rsidRPr="009E7CA0">
                <w:rPr>
                  <w:rStyle w:val="Hyperlink"/>
                  <w:color w:val="5D779D" w:themeColor="accent3"/>
                  <w:u w:val="single"/>
                </w:rPr>
                <w:t>-</w:t>
              </w:r>
              <w:r w:rsidRPr="009E7CA0">
                <w:rPr>
                  <w:rStyle w:val="Hyperlink"/>
                  <w:color w:val="5D779D" w:themeColor="accent3"/>
                  <w:u w:val="single"/>
                </w:rPr>
                <w:t>related financial disclosures</w:t>
              </w:r>
            </w:hyperlink>
          </w:p>
          <w:p w14:paraId="360D7352" w14:textId="33861D1B" w:rsidR="005330D3" w:rsidRPr="009E7CA0" w:rsidRDefault="005330D3" w:rsidP="00C261B6">
            <w:pPr>
              <w:pStyle w:val="TableTextLeft"/>
              <w:rPr>
                <w:lang w:eastAsia="en-US"/>
              </w:rPr>
            </w:pPr>
            <w:r w:rsidRPr="009E7CA0">
              <w:rPr>
                <w:lang w:eastAsia="en-US"/>
              </w:rPr>
              <w:t>The government is implementing mandatory climate</w:t>
            </w:r>
            <w:r w:rsidR="000F3080" w:rsidRPr="009E7CA0">
              <w:rPr>
                <w:lang w:eastAsia="en-US"/>
              </w:rPr>
              <w:t>-</w:t>
            </w:r>
            <w:r w:rsidRPr="009E7CA0">
              <w:rPr>
                <w:lang w:eastAsia="en-US"/>
              </w:rPr>
              <w:t xml:space="preserve">related financial disclosure requirements for large businesses and financial institutions. Legislation </w:t>
            </w:r>
            <w:r w:rsidRPr="009E7CA0">
              <w:t>received</w:t>
            </w:r>
            <w:r w:rsidRPr="009E7CA0">
              <w:rPr>
                <w:lang w:eastAsia="en-US"/>
              </w:rPr>
              <w:t xml:space="preserve"> Royal Assent on 17 September 2024 and requirements will phase in for different sized entities, commencing 1 January 2025.</w:t>
            </w:r>
            <w:r w:rsidRPr="009E7CA0">
              <w:t xml:space="preserve"> </w:t>
            </w:r>
          </w:p>
          <w:p w14:paraId="3D0DD486" w14:textId="3C36B2AE" w:rsidR="005330D3" w:rsidRPr="009E7CA0" w:rsidRDefault="005330D3" w:rsidP="00C261B6">
            <w:pPr>
              <w:pStyle w:val="TableTextLeft"/>
              <w:rPr>
                <w:b/>
              </w:rPr>
            </w:pPr>
            <w:r w:rsidRPr="009E7CA0">
              <w:rPr>
                <w:lang w:eastAsia="en-US"/>
              </w:rPr>
              <w:t xml:space="preserve">ASIC published </w:t>
            </w:r>
            <w:r w:rsidR="001236F5" w:rsidRPr="009E7CA0">
              <w:rPr>
                <w:lang w:eastAsia="en-US"/>
              </w:rPr>
              <w:t>Regulatory Guide</w:t>
            </w:r>
            <w:r w:rsidR="00C261B6" w:rsidRPr="009E7CA0">
              <w:rPr>
                <w:lang w:eastAsia="en-US"/>
              </w:rPr>
              <w:t> </w:t>
            </w:r>
            <w:r w:rsidR="001236F5" w:rsidRPr="009E7CA0">
              <w:rPr>
                <w:lang w:eastAsia="en-US"/>
              </w:rPr>
              <w:t xml:space="preserve">280 </w:t>
            </w:r>
            <w:r w:rsidR="001236F5" w:rsidRPr="009E7CA0">
              <w:rPr>
                <w:i/>
                <w:iCs/>
                <w:lang w:eastAsia="en-US"/>
              </w:rPr>
              <w:t xml:space="preserve">Sustainability Reporting </w:t>
            </w:r>
            <w:r w:rsidRPr="009E7CA0">
              <w:rPr>
                <w:lang w:eastAsia="en-US"/>
              </w:rPr>
              <w:t xml:space="preserve">to help reporting entities comply with the new sustainability </w:t>
            </w:r>
            <w:r w:rsidRPr="009E7CA0">
              <w:t>reporting</w:t>
            </w:r>
            <w:r w:rsidRPr="009E7CA0">
              <w:rPr>
                <w:lang w:eastAsia="en-US"/>
              </w:rPr>
              <w:t xml:space="preserve"> obligations and to explain </w:t>
            </w:r>
            <w:r w:rsidRPr="009E7CA0">
              <w:t>ASIC’s</w:t>
            </w:r>
            <w:r w:rsidRPr="009E7CA0">
              <w:rPr>
                <w:lang w:eastAsia="en-US"/>
              </w:rPr>
              <w:t xml:space="preserve"> approach to administration of the regime.</w:t>
            </w:r>
            <w:r w:rsidRPr="009E7CA0">
              <w:rPr>
                <w:rFonts w:cs="Calibri Light"/>
                <w:color w:val="00B050"/>
                <w:szCs w:val="16"/>
              </w:rPr>
              <w:t xml:space="preserve"> </w:t>
            </w:r>
            <w:r w:rsidRPr="009E7CA0">
              <w:rPr>
                <w:lang w:eastAsia="en-US"/>
              </w:rPr>
              <w:t>The AASB released Australian Sustainability Reporting Standards (AASB S2) in support of the new requirements in September 2024.</w:t>
            </w:r>
          </w:p>
        </w:tc>
        <w:tc>
          <w:tcPr>
            <w:tcW w:w="1257" w:type="dxa"/>
            <w:tcBorders>
              <w:top w:val="single" w:sz="4" w:space="0" w:color="5D779D" w:themeColor="accent3"/>
              <w:bottom w:val="single" w:sz="4" w:space="0" w:color="5D779D" w:themeColor="accent3"/>
            </w:tcBorders>
            <w:shd w:val="clear" w:color="auto" w:fill="DFE4EB"/>
          </w:tcPr>
          <w:p w14:paraId="2B5F7549" w14:textId="3AEBA176" w:rsidR="005330D3" w:rsidRPr="009E7CA0" w:rsidRDefault="005330D3" w:rsidP="00C261B6">
            <w:pPr>
              <w:pStyle w:val="TableTextLeft"/>
            </w:pPr>
            <w:r w:rsidRPr="009E7CA0">
              <w:t>ASIC to review first round of reports from Group 1 entities</w:t>
            </w:r>
            <w:r w:rsidR="00A07098">
              <w:t>.</w:t>
            </w:r>
          </w:p>
        </w:tc>
        <w:tc>
          <w:tcPr>
            <w:tcW w:w="1417" w:type="dxa"/>
            <w:tcBorders>
              <w:top w:val="single" w:sz="4" w:space="0" w:color="5D779D" w:themeColor="accent3"/>
              <w:bottom w:val="single" w:sz="4" w:space="0" w:color="5D779D" w:themeColor="accent3"/>
            </w:tcBorders>
            <w:shd w:val="clear" w:color="auto" w:fill="DFE4EB"/>
          </w:tcPr>
          <w:p w14:paraId="08234EA9" w14:textId="2DD9FEC3" w:rsidR="005330D3" w:rsidRPr="009E7CA0" w:rsidRDefault="005330D3" w:rsidP="00C261B6">
            <w:pPr>
              <w:pStyle w:val="TableTextLeft"/>
            </w:pPr>
            <w:r w:rsidRPr="009E7CA0">
              <w:t>Obligations commence for Group 2 reporting entities</w:t>
            </w:r>
            <w:r w:rsidR="00A07098">
              <w:t>.</w:t>
            </w:r>
          </w:p>
          <w:p w14:paraId="4D8D5467" w14:textId="77777777" w:rsidR="005330D3" w:rsidRPr="009E7CA0" w:rsidRDefault="005330D3" w:rsidP="00C261B6">
            <w:pPr>
              <w:pStyle w:val="TableTextLeft"/>
            </w:pPr>
          </w:p>
        </w:tc>
        <w:tc>
          <w:tcPr>
            <w:tcW w:w="1559" w:type="dxa"/>
            <w:tcBorders>
              <w:top w:val="single" w:sz="4" w:space="0" w:color="5D779D" w:themeColor="accent3"/>
              <w:bottom w:val="single" w:sz="4" w:space="0" w:color="5D779D" w:themeColor="accent3"/>
            </w:tcBorders>
            <w:shd w:val="clear" w:color="auto" w:fill="DFE4EB"/>
          </w:tcPr>
          <w:p w14:paraId="41EBD74C" w14:textId="095CF4C9" w:rsidR="005330D3" w:rsidRPr="009E7CA0" w:rsidRDefault="005330D3" w:rsidP="00C261B6">
            <w:pPr>
              <w:pStyle w:val="TableTextLeft"/>
            </w:pPr>
          </w:p>
        </w:tc>
        <w:tc>
          <w:tcPr>
            <w:tcW w:w="934" w:type="dxa"/>
            <w:tcBorders>
              <w:top w:val="single" w:sz="4" w:space="0" w:color="5D779D" w:themeColor="accent3"/>
              <w:bottom w:val="single" w:sz="4" w:space="0" w:color="5D779D" w:themeColor="accent3"/>
            </w:tcBorders>
            <w:shd w:val="clear" w:color="auto" w:fill="EFF1F5"/>
          </w:tcPr>
          <w:p w14:paraId="0FAF5D52" w14:textId="77777777" w:rsidR="005330D3" w:rsidRPr="009E7CA0" w:rsidRDefault="005330D3" w:rsidP="00C261B6">
            <w:pPr>
              <w:pStyle w:val="TableTextLeft"/>
            </w:pPr>
          </w:p>
        </w:tc>
        <w:tc>
          <w:tcPr>
            <w:tcW w:w="1191" w:type="dxa"/>
            <w:tcBorders>
              <w:top w:val="single" w:sz="4" w:space="0" w:color="5D779D" w:themeColor="accent3"/>
              <w:bottom w:val="single" w:sz="4" w:space="0" w:color="5D779D" w:themeColor="accent3"/>
            </w:tcBorders>
            <w:shd w:val="clear" w:color="auto" w:fill="EFF1F5"/>
          </w:tcPr>
          <w:p w14:paraId="559BDD0B" w14:textId="7B314F7D" w:rsidR="005330D3" w:rsidRPr="009E7CA0" w:rsidRDefault="005330D3" w:rsidP="00C261B6">
            <w:pPr>
              <w:pStyle w:val="TableTextLeft"/>
            </w:pPr>
          </w:p>
        </w:tc>
        <w:tc>
          <w:tcPr>
            <w:tcW w:w="1247" w:type="dxa"/>
            <w:tcBorders>
              <w:top w:val="single" w:sz="4" w:space="0" w:color="5D779D" w:themeColor="accent3"/>
              <w:bottom w:val="single" w:sz="4" w:space="0" w:color="5D779D" w:themeColor="accent3"/>
            </w:tcBorders>
            <w:shd w:val="clear" w:color="auto" w:fill="EFF1F5"/>
          </w:tcPr>
          <w:p w14:paraId="6F309C2E" w14:textId="0D5CD171" w:rsidR="005330D3" w:rsidRPr="009E7CA0" w:rsidRDefault="00C928A6" w:rsidP="00C261B6">
            <w:pPr>
              <w:pStyle w:val="TableTextLeft"/>
            </w:pPr>
            <w:r w:rsidRPr="009E7CA0">
              <w:t>Obligations commence for Group 3 reporting entities</w:t>
            </w:r>
            <w:r w:rsidR="00C448E2" w:rsidRPr="009E7CA0">
              <w:t xml:space="preserve"> on 1</w:t>
            </w:r>
            <w:r w:rsidR="00B835AD" w:rsidRPr="009E7CA0">
              <w:t> </w:t>
            </w:r>
            <w:r w:rsidR="00C448E2" w:rsidRPr="009E7CA0">
              <w:t>July 2027</w:t>
            </w:r>
            <w:r w:rsidR="00A07098">
              <w:t>.</w:t>
            </w:r>
          </w:p>
        </w:tc>
        <w:tc>
          <w:tcPr>
            <w:tcW w:w="1134" w:type="dxa"/>
            <w:tcBorders>
              <w:top w:val="single" w:sz="4" w:space="0" w:color="5D779D" w:themeColor="accent3"/>
              <w:bottom w:val="single" w:sz="4" w:space="0" w:color="5D779D" w:themeColor="accent3"/>
            </w:tcBorders>
            <w:shd w:val="clear" w:color="auto" w:fill="EFF1F5"/>
          </w:tcPr>
          <w:p w14:paraId="4E1F80A4" w14:textId="77777777" w:rsidR="005330D3" w:rsidRPr="009E7CA0" w:rsidRDefault="005330D3" w:rsidP="00C261B6">
            <w:pPr>
              <w:pStyle w:val="TableTextLeft"/>
            </w:pPr>
          </w:p>
        </w:tc>
      </w:tr>
      <w:tr w:rsidR="0037380B" w:rsidRPr="009E7CA0" w14:paraId="59F90E1B" w14:textId="0288556A" w:rsidTr="00B96E7E">
        <w:trPr>
          <w:cantSplit/>
          <w:trHeight w:val="410"/>
        </w:trPr>
        <w:tc>
          <w:tcPr>
            <w:tcW w:w="795" w:type="dxa"/>
            <w:tcBorders>
              <w:top w:val="single" w:sz="4" w:space="0" w:color="5D779D" w:themeColor="accent3"/>
            </w:tcBorders>
          </w:tcPr>
          <w:p w14:paraId="42DD2B07" w14:textId="77777777" w:rsidR="005330D3" w:rsidRPr="009E7CA0" w:rsidRDefault="005330D3" w:rsidP="00744529">
            <w:pPr>
              <w:pStyle w:val="TableLeadAgency"/>
            </w:pPr>
            <w:r w:rsidRPr="009E7CA0">
              <w:t>TSY</w:t>
            </w:r>
          </w:p>
          <w:p w14:paraId="39C87892" w14:textId="77777777" w:rsidR="005330D3" w:rsidRPr="009E7CA0" w:rsidRDefault="005330D3" w:rsidP="00744529">
            <w:pPr>
              <w:pStyle w:val="TableSecondaryAgency"/>
            </w:pPr>
            <w:r w:rsidRPr="009E7CA0">
              <w:t>ASIC</w:t>
            </w:r>
          </w:p>
        </w:tc>
        <w:tc>
          <w:tcPr>
            <w:tcW w:w="1332" w:type="dxa"/>
            <w:tcBorders>
              <w:top w:val="single" w:sz="4" w:space="0" w:color="5D779D" w:themeColor="accent3"/>
            </w:tcBorders>
          </w:tcPr>
          <w:p w14:paraId="5AC64863" w14:textId="77777777" w:rsidR="005330D3" w:rsidRPr="009E7CA0" w:rsidRDefault="005330D3" w:rsidP="00C261B6">
            <w:pPr>
              <w:pStyle w:val="TableTextLeft"/>
            </w:pPr>
            <w:r w:rsidRPr="009E7CA0">
              <w:t xml:space="preserve">Financial advice </w:t>
            </w:r>
          </w:p>
          <w:p w14:paraId="03D3E585" w14:textId="77777777" w:rsidR="005330D3" w:rsidRPr="009E7CA0" w:rsidRDefault="005330D3" w:rsidP="00C261B6">
            <w:pPr>
              <w:pStyle w:val="TableTextLeft"/>
            </w:pPr>
            <w:r w:rsidRPr="009E7CA0">
              <w:t>Banking, credit and lending</w:t>
            </w:r>
          </w:p>
          <w:p w14:paraId="0807B9D4" w14:textId="775D3800" w:rsidR="005330D3" w:rsidRPr="009E7CA0" w:rsidRDefault="005330D3" w:rsidP="00C261B6">
            <w:pPr>
              <w:pStyle w:val="TableTextLeft"/>
            </w:pPr>
            <w:r w:rsidRPr="009E7CA0">
              <w:t xml:space="preserve">Collective </w:t>
            </w:r>
            <w:r w:rsidR="00324EF4">
              <w:t>management</w:t>
            </w:r>
            <w:r w:rsidR="00324EF4" w:rsidRPr="009E7CA0">
              <w:t xml:space="preserve"> </w:t>
            </w:r>
            <w:r w:rsidRPr="009E7CA0">
              <w:t>and investment management</w:t>
            </w:r>
          </w:p>
          <w:p w14:paraId="7318D3D7" w14:textId="77777777" w:rsidR="005330D3" w:rsidRPr="009E7CA0" w:rsidRDefault="005330D3" w:rsidP="00744529">
            <w:pPr>
              <w:pStyle w:val="TableTextLeft"/>
            </w:pPr>
          </w:p>
        </w:tc>
        <w:tc>
          <w:tcPr>
            <w:tcW w:w="3137" w:type="dxa"/>
            <w:tcBorders>
              <w:top w:val="single" w:sz="4" w:space="0" w:color="5D779D" w:themeColor="accent3"/>
            </w:tcBorders>
          </w:tcPr>
          <w:p w14:paraId="1A83C59C" w14:textId="2150C4BC" w:rsidR="005330D3" w:rsidRPr="009E7CA0" w:rsidRDefault="005330D3" w:rsidP="000A7759">
            <w:pPr>
              <w:pStyle w:val="TableLink"/>
            </w:pPr>
            <w:hyperlink r:id="rId96" w:history="1">
              <w:r w:rsidRPr="009E7CA0">
                <w:rPr>
                  <w:rStyle w:val="Hyperlink"/>
                  <w:color w:val="5D779D" w:themeColor="accent3"/>
                  <w:u w:val="single"/>
                </w:rPr>
                <w:t>Compensation Scheme of Last Resort (CSLR)</w:t>
              </w:r>
            </w:hyperlink>
          </w:p>
          <w:p w14:paraId="094A6964" w14:textId="698A93A9" w:rsidR="00AA401F" w:rsidRPr="009E7CA0" w:rsidRDefault="005330D3" w:rsidP="00C261B6">
            <w:pPr>
              <w:pStyle w:val="TableTextLeft"/>
            </w:pPr>
            <w:r w:rsidRPr="009E7CA0">
              <w:t>Ongoing work is</w:t>
            </w:r>
            <w:r w:rsidRPr="009E7CA0" w:rsidDel="001476C6">
              <w:t xml:space="preserve"> </w:t>
            </w:r>
            <w:r w:rsidR="001476C6" w:rsidRPr="009E7CA0">
              <w:t xml:space="preserve">continuing </w:t>
            </w:r>
            <w:r w:rsidRPr="009E7CA0">
              <w:t xml:space="preserve">to facilitate the payment of compensation to eligible consumers who have an unpaid determination from the Australian Financial Complaints Authority (AFCA), primarily due to the insolvency of the relevant financial service provider. </w:t>
            </w:r>
          </w:p>
          <w:p w14:paraId="4C40B7BB" w14:textId="0A678082" w:rsidR="005330D3" w:rsidRPr="009E7CA0" w:rsidRDefault="005330D3" w:rsidP="00C261B6">
            <w:pPr>
              <w:pStyle w:val="TableTextLeft"/>
              <w:rPr>
                <w:rFonts w:cs="Calibri Light"/>
              </w:rPr>
            </w:pPr>
            <w:r w:rsidRPr="009E7CA0">
              <w:t xml:space="preserve">The CSLR Operator </w:t>
            </w:r>
            <w:r w:rsidR="00516633" w:rsidRPr="009E7CA0">
              <w:t xml:space="preserve">released </w:t>
            </w:r>
            <w:r w:rsidR="00105BFE" w:rsidRPr="009E7CA0">
              <w:t xml:space="preserve">its initial estimate for </w:t>
            </w:r>
            <w:r w:rsidR="00BD6B63" w:rsidRPr="009E7CA0">
              <w:t xml:space="preserve">the </w:t>
            </w:r>
            <w:r w:rsidR="00105BFE" w:rsidRPr="009E7CA0">
              <w:t>2026-27</w:t>
            </w:r>
            <w:r w:rsidR="00BD6B63" w:rsidRPr="009E7CA0">
              <w:t xml:space="preserve"> annual levy on 17 November 2025</w:t>
            </w:r>
            <w:r w:rsidR="00105BFE" w:rsidRPr="009E7CA0">
              <w:t xml:space="preserve">. It is now </w:t>
            </w:r>
            <w:r w:rsidRPr="009E7CA0">
              <w:t xml:space="preserve">working to </w:t>
            </w:r>
            <w:r w:rsidR="007D25BC" w:rsidRPr="009E7CA0">
              <w:t xml:space="preserve">complete a revised </w:t>
            </w:r>
            <w:r w:rsidRPr="009E7CA0">
              <w:t xml:space="preserve">cost estimate </w:t>
            </w:r>
            <w:r w:rsidR="0025055A" w:rsidRPr="009E7CA0">
              <w:t>in 2026-27</w:t>
            </w:r>
            <w:r w:rsidR="004D215E" w:rsidRPr="009E7CA0">
              <w:t>.</w:t>
            </w:r>
            <w:r w:rsidRPr="009E7CA0">
              <w:t xml:space="preserve"> </w:t>
            </w:r>
          </w:p>
        </w:tc>
        <w:tc>
          <w:tcPr>
            <w:tcW w:w="1257" w:type="dxa"/>
            <w:tcBorders>
              <w:top w:val="single" w:sz="4" w:space="0" w:color="5D779D" w:themeColor="accent3"/>
            </w:tcBorders>
            <w:shd w:val="clear" w:color="auto" w:fill="DFE4EB"/>
          </w:tcPr>
          <w:p w14:paraId="5CAA627E" w14:textId="002920EE" w:rsidR="005330D3" w:rsidRPr="009E7CA0" w:rsidRDefault="005330D3" w:rsidP="00744529">
            <w:pPr>
              <w:pStyle w:val="TableTextLeft"/>
            </w:pPr>
          </w:p>
        </w:tc>
        <w:tc>
          <w:tcPr>
            <w:tcW w:w="1417" w:type="dxa"/>
            <w:tcBorders>
              <w:top w:val="single" w:sz="4" w:space="0" w:color="5D779D" w:themeColor="accent3"/>
            </w:tcBorders>
            <w:shd w:val="clear" w:color="auto" w:fill="DFE4EB"/>
          </w:tcPr>
          <w:p w14:paraId="0F915F35" w14:textId="31879AFD" w:rsidR="005330D3" w:rsidRPr="009E7CA0" w:rsidRDefault="008B56C9" w:rsidP="00744529">
            <w:pPr>
              <w:pStyle w:val="TableTextLeft"/>
            </w:pPr>
            <w:r w:rsidRPr="009E7CA0">
              <w:t>Issuance of revised 2026-27 levy estimate</w:t>
            </w:r>
            <w:r w:rsidR="00A07098">
              <w:t>.</w:t>
            </w:r>
            <w:r w:rsidR="00EF6BF9" w:rsidRPr="009E7CA0">
              <w:t>*</w:t>
            </w:r>
          </w:p>
        </w:tc>
        <w:tc>
          <w:tcPr>
            <w:tcW w:w="1559" w:type="dxa"/>
            <w:tcBorders>
              <w:top w:val="single" w:sz="4" w:space="0" w:color="5D779D" w:themeColor="accent3"/>
            </w:tcBorders>
            <w:shd w:val="clear" w:color="auto" w:fill="DFE4EB"/>
          </w:tcPr>
          <w:p w14:paraId="56FE2927" w14:textId="77777777" w:rsidR="005330D3" w:rsidRPr="009E7CA0" w:rsidRDefault="005330D3" w:rsidP="00744529">
            <w:pPr>
              <w:pStyle w:val="TableTextLeft"/>
            </w:pPr>
          </w:p>
        </w:tc>
        <w:tc>
          <w:tcPr>
            <w:tcW w:w="934" w:type="dxa"/>
            <w:tcBorders>
              <w:top w:val="single" w:sz="4" w:space="0" w:color="5D779D" w:themeColor="accent3"/>
            </w:tcBorders>
            <w:shd w:val="clear" w:color="auto" w:fill="EFF1F5"/>
          </w:tcPr>
          <w:p w14:paraId="6F7DA025" w14:textId="77777777" w:rsidR="005330D3" w:rsidRPr="009E7CA0" w:rsidRDefault="005330D3" w:rsidP="00744529">
            <w:pPr>
              <w:pStyle w:val="TableTextLeft"/>
            </w:pPr>
          </w:p>
        </w:tc>
        <w:tc>
          <w:tcPr>
            <w:tcW w:w="1191" w:type="dxa"/>
            <w:tcBorders>
              <w:top w:val="single" w:sz="4" w:space="0" w:color="5D779D" w:themeColor="accent3"/>
            </w:tcBorders>
            <w:shd w:val="clear" w:color="auto" w:fill="EFF1F5"/>
          </w:tcPr>
          <w:p w14:paraId="4175A99F" w14:textId="77777777" w:rsidR="005330D3" w:rsidRPr="009E7CA0" w:rsidRDefault="005330D3" w:rsidP="00744529">
            <w:pPr>
              <w:pStyle w:val="TableTextLeft"/>
            </w:pPr>
          </w:p>
        </w:tc>
        <w:tc>
          <w:tcPr>
            <w:tcW w:w="1247" w:type="dxa"/>
            <w:tcBorders>
              <w:top w:val="single" w:sz="4" w:space="0" w:color="5D779D" w:themeColor="accent3"/>
            </w:tcBorders>
            <w:shd w:val="clear" w:color="auto" w:fill="EFF1F5"/>
          </w:tcPr>
          <w:p w14:paraId="4564EA64" w14:textId="77777777" w:rsidR="005330D3" w:rsidRPr="009E7CA0" w:rsidRDefault="005330D3" w:rsidP="00744529">
            <w:pPr>
              <w:pStyle w:val="TableTextLeft"/>
            </w:pPr>
          </w:p>
        </w:tc>
        <w:tc>
          <w:tcPr>
            <w:tcW w:w="1134" w:type="dxa"/>
            <w:tcBorders>
              <w:top w:val="single" w:sz="4" w:space="0" w:color="5D779D" w:themeColor="accent3"/>
            </w:tcBorders>
            <w:shd w:val="clear" w:color="auto" w:fill="EFF1F5"/>
          </w:tcPr>
          <w:p w14:paraId="434175EF" w14:textId="77777777" w:rsidR="005330D3" w:rsidRPr="009E7CA0" w:rsidRDefault="005330D3" w:rsidP="00744529">
            <w:pPr>
              <w:pStyle w:val="TableTextLeft"/>
            </w:pPr>
          </w:p>
        </w:tc>
      </w:tr>
      <w:tr w:rsidR="0037380B" w:rsidRPr="009E7CA0" w14:paraId="46804905" w14:textId="5EA8798F" w:rsidTr="00B96E7E">
        <w:trPr>
          <w:cantSplit/>
          <w:trHeight w:val="410"/>
        </w:trPr>
        <w:tc>
          <w:tcPr>
            <w:tcW w:w="795" w:type="dxa"/>
            <w:tcBorders>
              <w:top w:val="single" w:sz="4" w:space="0" w:color="5D779D" w:themeColor="accent3"/>
              <w:bottom w:val="single" w:sz="4" w:space="0" w:color="5D779D" w:themeColor="accent3"/>
            </w:tcBorders>
          </w:tcPr>
          <w:p w14:paraId="55A4DB4D" w14:textId="77777777" w:rsidR="005330D3" w:rsidRPr="009E7CA0" w:rsidRDefault="005330D3" w:rsidP="0064735B">
            <w:pPr>
              <w:pStyle w:val="TableLeadAgency"/>
              <w:spacing w:before="0" w:after="0"/>
            </w:pPr>
            <w:r w:rsidRPr="009E7CA0">
              <w:lastRenderedPageBreak/>
              <w:t xml:space="preserve">TSY </w:t>
            </w:r>
          </w:p>
          <w:p w14:paraId="307E0372" w14:textId="77777777" w:rsidR="005330D3" w:rsidRPr="009E7CA0" w:rsidRDefault="005330D3" w:rsidP="0064735B">
            <w:pPr>
              <w:pStyle w:val="TableLeadAgency"/>
              <w:rPr>
                <w:lang w:eastAsia="en-US"/>
              </w:rPr>
            </w:pPr>
            <w:r w:rsidRPr="009E7CA0">
              <w:rPr>
                <w:b w:val="0"/>
              </w:rPr>
              <w:t>ACCC</w:t>
            </w:r>
          </w:p>
        </w:tc>
        <w:tc>
          <w:tcPr>
            <w:tcW w:w="1332" w:type="dxa"/>
            <w:tcBorders>
              <w:top w:val="single" w:sz="4" w:space="0" w:color="5D779D" w:themeColor="accent3"/>
              <w:bottom w:val="single" w:sz="4" w:space="0" w:color="5D779D" w:themeColor="accent3"/>
            </w:tcBorders>
          </w:tcPr>
          <w:p w14:paraId="6D570A86" w14:textId="77777777" w:rsidR="005330D3" w:rsidRPr="009E7CA0" w:rsidRDefault="005330D3" w:rsidP="0064735B">
            <w:pPr>
              <w:pStyle w:val="TableTextLeft"/>
            </w:pPr>
            <w:r w:rsidRPr="009E7CA0">
              <w:t>Banking, credit and lending</w:t>
            </w:r>
          </w:p>
        </w:tc>
        <w:tc>
          <w:tcPr>
            <w:tcW w:w="3137" w:type="dxa"/>
            <w:tcBorders>
              <w:top w:val="single" w:sz="4" w:space="0" w:color="5D779D" w:themeColor="accent3"/>
              <w:bottom w:val="single" w:sz="4" w:space="0" w:color="5D779D" w:themeColor="accent3"/>
            </w:tcBorders>
          </w:tcPr>
          <w:p w14:paraId="3F3B95EA" w14:textId="78DE2C5E" w:rsidR="005330D3" w:rsidRPr="009E7CA0" w:rsidRDefault="00344905" w:rsidP="000522F8">
            <w:pPr>
              <w:pStyle w:val="TableLink"/>
              <w:rPr>
                <w:rStyle w:val="Hyperlink"/>
                <w:color w:val="5D779D" w:themeColor="accent3"/>
                <w:u w:val="single"/>
              </w:rPr>
            </w:pPr>
            <w:r w:rsidRPr="009E7CA0">
              <w:rPr>
                <w:rStyle w:val="Hyperlink"/>
                <w:color w:val="5D779D" w:themeColor="accent3"/>
                <w:u w:val="single"/>
              </w:rPr>
              <w:fldChar w:fldCharType="begin"/>
            </w:r>
            <w:r w:rsidR="00587D2D" w:rsidRPr="009E7CA0">
              <w:rPr>
                <w:rStyle w:val="Hyperlink"/>
                <w:color w:val="5D779D" w:themeColor="accent3"/>
                <w:u w:val="single"/>
              </w:rPr>
              <w:instrText>HYPERLINK "https://www.cdr.gov.au/rollout/cdr-non-bank-lenders-sector"</w:instrText>
            </w:r>
            <w:r w:rsidRPr="009E7CA0">
              <w:rPr>
                <w:rStyle w:val="Hyperlink"/>
                <w:color w:val="5D779D" w:themeColor="accent3"/>
                <w:u w:val="single"/>
              </w:rPr>
            </w:r>
            <w:r w:rsidRPr="009E7CA0">
              <w:rPr>
                <w:rStyle w:val="Hyperlink"/>
                <w:color w:val="5D779D" w:themeColor="accent3"/>
                <w:u w:val="single"/>
              </w:rPr>
              <w:fldChar w:fldCharType="separate"/>
            </w:r>
            <w:r w:rsidR="005330D3" w:rsidRPr="009E7CA0">
              <w:rPr>
                <w:rStyle w:val="Hyperlink"/>
                <w:color w:val="5D779D" w:themeColor="accent3"/>
                <w:u w:val="single"/>
              </w:rPr>
              <w:t>Consumer Data Right (CDR) Rules (Non</w:t>
            </w:r>
            <w:r w:rsidR="005330D3" w:rsidRPr="009E7CA0">
              <w:rPr>
                <w:rStyle w:val="Hyperlink"/>
                <w:color w:val="5D779D" w:themeColor="accent3"/>
                <w:u w:val="single"/>
              </w:rPr>
              <w:noBreakHyphen/>
              <w:t>bank lending Rules and operational enhancements)</w:t>
            </w:r>
          </w:p>
          <w:p w14:paraId="6BF306C0" w14:textId="0CE71E51" w:rsidR="005330D3" w:rsidRPr="009E7CA0" w:rsidRDefault="00344905" w:rsidP="00062FDB">
            <w:pPr>
              <w:pStyle w:val="TableTextLeft"/>
            </w:pPr>
            <w:r w:rsidRPr="009E7CA0">
              <w:rPr>
                <w:rStyle w:val="Hyperlink"/>
                <w:color w:val="5D779D" w:themeColor="accent3"/>
                <w:u w:val="single"/>
              </w:rPr>
              <w:fldChar w:fldCharType="end"/>
            </w:r>
            <w:r w:rsidR="005330D3" w:rsidRPr="009E7CA0">
              <w:t>Changes to the CDR Rules and standards (through the Data Standards Body) will implement mandatory non</w:t>
            </w:r>
            <w:r w:rsidR="005330D3" w:rsidRPr="009E7CA0">
              <w:noBreakHyphen/>
              <w:t xml:space="preserve">bank lending sector participation, address industry costs and support key use cases. </w:t>
            </w:r>
          </w:p>
          <w:p w14:paraId="6556DE4C" w14:textId="7A892F6C" w:rsidR="005330D3" w:rsidRPr="009E7CA0" w:rsidRDefault="005330D3" w:rsidP="000522F8">
            <w:pPr>
              <w:pStyle w:val="TableTextLeft"/>
            </w:pPr>
            <w:r w:rsidRPr="009E7CA0">
              <w:t>The Rules were registered on 3</w:t>
            </w:r>
            <w:r w:rsidR="000522F8" w:rsidRPr="009E7CA0">
              <w:t> </w:t>
            </w:r>
            <w:r w:rsidRPr="009E7CA0">
              <w:t>March</w:t>
            </w:r>
            <w:r w:rsidR="000522F8" w:rsidRPr="009E7CA0">
              <w:t> </w:t>
            </w:r>
            <w:r w:rsidRPr="009E7CA0">
              <w:t xml:space="preserve">2025. The standards were published on 15 July 2025. </w:t>
            </w:r>
          </w:p>
          <w:p w14:paraId="509AEED6" w14:textId="6DC4843B" w:rsidR="005330D3" w:rsidRPr="009E7CA0" w:rsidRDefault="005330D3" w:rsidP="000522F8">
            <w:pPr>
              <w:pStyle w:val="TableTextLeft"/>
            </w:pPr>
            <w:r w:rsidRPr="009E7CA0">
              <w:t>Commencement of obligations will proceed in stages from 13 July 2026 to 10 May 2027. For some non</w:t>
            </w:r>
            <w:r w:rsidRPr="009E7CA0">
              <w:noBreakHyphen/>
              <w:t>bank lenders and buy now, pay later products, obligations may commence on dates after this period.</w:t>
            </w:r>
          </w:p>
        </w:tc>
        <w:tc>
          <w:tcPr>
            <w:tcW w:w="1257" w:type="dxa"/>
            <w:tcBorders>
              <w:top w:val="single" w:sz="4" w:space="0" w:color="5D779D" w:themeColor="accent3"/>
              <w:bottom w:val="single" w:sz="4" w:space="0" w:color="5D779D" w:themeColor="accent3"/>
            </w:tcBorders>
            <w:shd w:val="clear" w:color="auto" w:fill="DFE4EB"/>
          </w:tcPr>
          <w:p w14:paraId="3BFE23AB" w14:textId="00CB1937" w:rsidR="005330D3" w:rsidRPr="009E7CA0" w:rsidRDefault="005330D3" w:rsidP="0064735B">
            <w:pPr>
              <w:pStyle w:val="TableTextLeft"/>
            </w:pPr>
          </w:p>
        </w:tc>
        <w:tc>
          <w:tcPr>
            <w:tcW w:w="1417" w:type="dxa"/>
            <w:tcBorders>
              <w:top w:val="single" w:sz="4" w:space="0" w:color="5D779D" w:themeColor="accent3"/>
              <w:bottom w:val="single" w:sz="4" w:space="0" w:color="5D779D" w:themeColor="accent3"/>
            </w:tcBorders>
            <w:shd w:val="clear" w:color="auto" w:fill="DFE4EB"/>
          </w:tcPr>
          <w:p w14:paraId="1FAB24AD" w14:textId="53DE3310" w:rsidR="005330D3" w:rsidRPr="009E7CA0" w:rsidRDefault="005330D3" w:rsidP="00062FDB">
            <w:pPr>
              <w:pStyle w:val="TableTextLeft"/>
            </w:pPr>
            <w:r w:rsidRPr="009E7CA0">
              <w:rPr>
                <w:rFonts w:eastAsia="Calibri Light"/>
              </w:rPr>
              <w:t>Product data sharing obligations for non</w:t>
            </w:r>
            <w:r w:rsidR="00257B01" w:rsidRPr="009E7CA0">
              <w:rPr>
                <w:rFonts w:ascii="Cambria Math" w:eastAsia="Calibri Light" w:hAnsi="Cambria Math" w:cs="Cambria Math"/>
              </w:rPr>
              <w:noBreakHyphen/>
            </w:r>
            <w:r w:rsidRPr="009E7CA0">
              <w:rPr>
                <w:rFonts w:eastAsia="Calibri Light"/>
              </w:rPr>
              <w:t>bank lenders and BNPL products commence</w:t>
            </w:r>
            <w:r w:rsidR="00A07098">
              <w:rPr>
                <w:rFonts w:eastAsia="Calibri Light"/>
              </w:rPr>
              <w:t>.</w:t>
            </w:r>
          </w:p>
        </w:tc>
        <w:tc>
          <w:tcPr>
            <w:tcW w:w="1559" w:type="dxa"/>
            <w:tcBorders>
              <w:top w:val="single" w:sz="4" w:space="0" w:color="5D779D" w:themeColor="accent3"/>
              <w:bottom w:val="single" w:sz="4" w:space="0" w:color="5D779D" w:themeColor="accent3"/>
            </w:tcBorders>
            <w:shd w:val="clear" w:color="auto" w:fill="DFE4EB"/>
          </w:tcPr>
          <w:p w14:paraId="03AAB441" w14:textId="46D26B79" w:rsidR="005330D3" w:rsidRPr="009E7CA0" w:rsidRDefault="005330D3" w:rsidP="00062FDB">
            <w:pPr>
              <w:pStyle w:val="TableTextLeft"/>
            </w:pPr>
            <w:r w:rsidRPr="009E7CA0">
              <w:rPr>
                <w:rFonts w:eastAsia="Calibri Light"/>
              </w:rPr>
              <w:t>Consumer data sharing obligations for largest non</w:t>
            </w:r>
            <w:r w:rsidRPr="009E7CA0">
              <w:rPr>
                <w:rFonts w:ascii="Cambria Math" w:eastAsia="Calibri Light" w:hAnsi="Cambria Math" w:cs="Cambria Math"/>
              </w:rPr>
              <w:t>‑</w:t>
            </w:r>
            <w:r w:rsidRPr="009E7CA0">
              <w:rPr>
                <w:rFonts w:eastAsia="Calibri Light"/>
              </w:rPr>
              <w:t>bank lenders and BNPL products commence</w:t>
            </w:r>
            <w:r w:rsidR="00A07098">
              <w:rPr>
                <w:rFonts w:eastAsia="Calibri Light"/>
              </w:rPr>
              <w:t>.</w:t>
            </w:r>
          </w:p>
        </w:tc>
        <w:tc>
          <w:tcPr>
            <w:tcW w:w="934" w:type="dxa"/>
            <w:tcBorders>
              <w:top w:val="single" w:sz="4" w:space="0" w:color="5D779D" w:themeColor="accent3"/>
              <w:bottom w:val="single" w:sz="4" w:space="0" w:color="5D779D" w:themeColor="accent3"/>
            </w:tcBorders>
            <w:shd w:val="clear" w:color="auto" w:fill="EFF1F5"/>
          </w:tcPr>
          <w:p w14:paraId="46D1C5F4" w14:textId="77777777" w:rsidR="005330D3" w:rsidRPr="009E7CA0" w:rsidRDefault="005330D3" w:rsidP="00062FDB">
            <w:pPr>
              <w:pStyle w:val="TableTextLeft"/>
            </w:pPr>
          </w:p>
        </w:tc>
        <w:tc>
          <w:tcPr>
            <w:tcW w:w="1191" w:type="dxa"/>
            <w:tcBorders>
              <w:top w:val="single" w:sz="4" w:space="0" w:color="5D779D" w:themeColor="accent3"/>
              <w:bottom w:val="single" w:sz="4" w:space="0" w:color="5D779D" w:themeColor="accent3"/>
            </w:tcBorders>
            <w:shd w:val="clear" w:color="auto" w:fill="EFF1F5"/>
          </w:tcPr>
          <w:p w14:paraId="78A3FF26" w14:textId="39F76728" w:rsidR="005330D3" w:rsidRPr="009E7CA0" w:rsidRDefault="005330D3" w:rsidP="00062FDB">
            <w:pPr>
              <w:pStyle w:val="TableTextLeft"/>
            </w:pPr>
            <w:r w:rsidRPr="009E7CA0">
              <w:rPr>
                <w:rFonts w:eastAsia="Calibri Light"/>
              </w:rPr>
              <w:t>Consumer data sharing obligations for smaller non</w:t>
            </w:r>
            <w:r w:rsidR="00447618" w:rsidRPr="009E7CA0">
              <w:rPr>
                <w:rFonts w:ascii="Cambria Math" w:eastAsia="Calibri Light" w:hAnsi="Cambria Math" w:cs="Cambria Math"/>
              </w:rPr>
              <w:noBreakHyphen/>
            </w:r>
            <w:r w:rsidRPr="009E7CA0">
              <w:rPr>
                <w:rFonts w:eastAsia="Calibri Light"/>
              </w:rPr>
              <w:t xml:space="preserve">bank lenders </w:t>
            </w:r>
            <w:r w:rsidRPr="009E7CA0" w:rsidDel="00EE4522">
              <w:rPr>
                <w:rFonts w:eastAsia="Calibri Light"/>
              </w:rPr>
              <w:t>commence</w:t>
            </w:r>
            <w:r w:rsidR="00A07098">
              <w:rPr>
                <w:rFonts w:eastAsia="Calibri Light"/>
              </w:rPr>
              <w:t>.</w:t>
            </w:r>
          </w:p>
        </w:tc>
        <w:tc>
          <w:tcPr>
            <w:tcW w:w="1247" w:type="dxa"/>
            <w:tcBorders>
              <w:top w:val="single" w:sz="4" w:space="0" w:color="5D779D" w:themeColor="accent3"/>
              <w:bottom w:val="single" w:sz="4" w:space="0" w:color="5D779D" w:themeColor="accent3"/>
            </w:tcBorders>
            <w:shd w:val="clear" w:color="auto" w:fill="EFF1F5"/>
          </w:tcPr>
          <w:p w14:paraId="56C9804C" w14:textId="77777777" w:rsidR="005330D3" w:rsidRPr="009E7CA0" w:rsidRDefault="005330D3" w:rsidP="0064735B">
            <w:pPr>
              <w:pStyle w:val="TableTextLeft"/>
              <w:rPr>
                <w:rFonts w:eastAsia="Calibri Light"/>
                <w:color w:val="auto"/>
              </w:rPr>
            </w:pPr>
          </w:p>
        </w:tc>
        <w:tc>
          <w:tcPr>
            <w:tcW w:w="1134" w:type="dxa"/>
            <w:tcBorders>
              <w:top w:val="single" w:sz="4" w:space="0" w:color="5D779D" w:themeColor="accent3"/>
              <w:bottom w:val="single" w:sz="4" w:space="0" w:color="5D779D" w:themeColor="accent3"/>
            </w:tcBorders>
            <w:shd w:val="clear" w:color="auto" w:fill="EFF1F5"/>
          </w:tcPr>
          <w:p w14:paraId="004C41E3" w14:textId="77777777" w:rsidR="005330D3" w:rsidRPr="009E7CA0" w:rsidRDefault="005330D3" w:rsidP="0064735B">
            <w:pPr>
              <w:pStyle w:val="TableTextLeft"/>
              <w:rPr>
                <w:rFonts w:eastAsia="Calibri Light"/>
                <w:color w:val="auto"/>
              </w:rPr>
            </w:pPr>
          </w:p>
        </w:tc>
      </w:tr>
      <w:tr w:rsidR="0037380B" w:rsidRPr="009E7CA0" w14:paraId="2A606AC8" w14:textId="59EB97B6" w:rsidTr="00B96E7E">
        <w:trPr>
          <w:cantSplit/>
          <w:trHeight w:val="410"/>
        </w:trPr>
        <w:tc>
          <w:tcPr>
            <w:tcW w:w="795" w:type="dxa"/>
            <w:tcBorders>
              <w:top w:val="single" w:sz="4" w:space="0" w:color="5D779D" w:themeColor="accent3"/>
              <w:bottom w:val="single" w:sz="4" w:space="0" w:color="5D779D" w:themeColor="accent3"/>
            </w:tcBorders>
          </w:tcPr>
          <w:p w14:paraId="427E142A" w14:textId="77777777" w:rsidR="005330D3" w:rsidRPr="009E7CA0" w:rsidRDefault="005330D3" w:rsidP="00F30D3C">
            <w:pPr>
              <w:pStyle w:val="TableLeadAgency"/>
            </w:pPr>
            <w:r w:rsidRPr="009E7CA0">
              <w:t xml:space="preserve">ASIC </w:t>
            </w:r>
          </w:p>
        </w:tc>
        <w:tc>
          <w:tcPr>
            <w:tcW w:w="1332" w:type="dxa"/>
            <w:tcBorders>
              <w:top w:val="single" w:sz="4" w:space="0" w:color="5D779D" w:themeColor="accent3"/>
              <w:bottom w:val="single" w:sz="4" w:space="0" w:color="5D779D" w:themeColor="accent3"/>
            </w:tcBorders>
          </w:tcPr>
          <w:p w14:paraId="79D876CE" w14:textId="77777777" w:rsidR="005330D3" w:rsidRPr="009E7CA0" w:rsidRDefault="005330D3" w:rsidP="00565160">
            <w:pPr>
              <w:pStyle w:val="TableTextLeft"/>
            </w:pPr>
            <w:r w:rsidRPr="009E7CA0">
              <w:t>Financial markets</w:t>
            </w:r>
          </w:p>
        </w:tc>
        <w:tc>
          <w:tcPr>
            <w:tcW w:w="3137" w:type="dxa"/>
            <w:tcBorders>
              <w:top w:val="single" w:sz="4" w:space="0" w:color="5D779D" w:themeColor="accent3"/>
              <w:bottom w:val="single" w:sz="4" w:space="0" w:color="5D779D" w:themeColor="accent3"/>
            </w:tcBorders>
          </w:tcPr>
          <w:p w14:paraId="0052BE17" w14:textId="5D807A7B" w:rsidR="005330D3" w:rsidRPr="009E7CA0" w:rsidRDefault="005330D3" w:rsidP="00565160">
            <w:pPr>
              <w:pStyle w:val="TableLink"/>
            </w:pPr>
            <w:r w:rsidRPr="009E7CA0">
              <w:t>Market integrity rules – regulatory guidance</w:t>
            </w:r>
          </w:p>
          <w:p w14:paraId="01533893" w14:textId="2B19BECA" w:rsidR="005330D3" w:rsidRPr="009E7CA0" w:rsidRDefault="005330D3" w:rsidP="00475A45">
            <w:pPr>
              <w:pStyle w:val="TableTextLeft"/>
            </w:pPr>
            <w:r w:rsidRPr="009E7CA0">
              <w:t>Contingent on amendments to ASIC’s Market Integrity Rules related to trading, consult on updates to ASIC’s Regulatory Guides, including updating:</w:t>
            </w:r>
          </w:p>
          <w:p w14:paraId="70AE0610" w14:textId="77777777" w:rsidR="005330D3" w:rsidRPr="009E7CA0" w:rsidRDefault="005330D3" w:rsidP="00475A45">
            <w:pPr>
              <w:pStyle w:val="TableTextLeft"/>
              <w:numPr>
                <w:ilvl w:val="0"/>
                <w:numId w:val="26"/>
              </w:numPr>
              <w:ind w:left="284" w:hanging="284"/>
              <w:rPr>
                <w:rStyle w:val="Hyperlink"/>
                <w:i/>
                <w:iCs/>
                <w:color w:val="auto"/>
              </w:rPr>
            </w:pPr>
            <w:bookmarkStart w:id="46" w:name="tempbookmark"/>
            <w:r w:rsidRPr="009E7CA0">
              <w:rPr>
                <w:rStyle w:val="Hyperlink"/>
                <w:color w:val="auto"/>
              </w:rPr>
              <w:t xml:space="preserve">Regulatory Guide (RG) </w:t>
            </w:r>
            <w:r w:rsidRPr="009E7CA0">
              <w:rPr>
                <w:rStyle w:val="Hyperlink"/>
                <w:i/>
                <w:iCs/>
                <w:color w:val="auto"/>
              </w:rPr>
              <w:t>172 Financial markets: Domestic and overseas operators</w:t>
            </w:r>
          </w:p>
          <w:p w14:paraId="5F2B97E6" w14:textId="77777777" w:rsidR="005330D3" w:rsidRPr="009E7CA0" w:rsidRDefault="005330D3" w:rsidP="00475A45">
            <w:pPr>
              <w:pStyle w:val="TableTextLeft"/>
              <w:numPr>
                <w:ilvl w:val="0"/>
                <w:numId w:val="26"/>
              </w:numPr>
              <w:ind w:left="284" w:hanging="284"/>
              <w:rPr>
                <w:rStyle w:val="Hyperlink"/>
                <w:i/>
                <w:iCs/>
                <w:color w:val="auto"/>
              </w:rPr>
            </w:pPr>
            <w:r w:rsidRPr="009E7CA0">
              <w:rPr>
                <w:rStyle w:val="Hyperlink"/>
                <w:color w:val="auto"/>
              </w:rPr>
              <w:t xml:space="preserve">RG 241 </w:t>
            </w:r>
            <w:r w:rsidRPr="009E7CA0">
              <w:rPr>
                <w:rStyle w:val="Hyperlink"/>
                <w:i/>
                <w:iCs/>
                <w:color w:val="auto"/>
              </w:rPr>
              <w:t>Electronic trading</w:t>
            </w:r>
          </w:p>
          <w:p w14:paraId="266F29FF" w14:textId="77777777" w:rsidR="005330D3" w:rsidRPr="009E7CA0" w:rsidRDefault="005330D3" w:rsidP="00475A45">
            <w:pPr>
              <w:pStyle w:val="TableTextLeft"/>
              <w:numPr>
                <w:ilvl w:val="0"/>
                <w:numId w:val="26"/>
              </w:numPr>
              <w:ind w:left="284" w:hanging="284"/>
              <w:rPr>
                <w:rStyle w:val="Hyperlink"/>
                <w:color w:val="auto"/>
              </w:rPr>
            </w:pPr>
            <w:r w:rsidRPr="009E7CA0">
              <w:rPr>
                <w:rStyle w:val="Hyperlink"/>
                <w:color w:val="auto"/>
              </w:rPr>
              <w:t xml:space="preserve">RG 265 </w:t>
            </w:r>
            <w:r w:rsidRPr="009E7CA0">
              <w:rPr>
                <w:rStyle w:val="Hyperlink"/>
                <w:i/>
                <w:iCs/>
                <w:color w:val="auto"/>
              </w:rPr>
              <w:t>ASIC market integrity rules for participants of securities markets</w:t>
            </w:r>
          </w:p>
          <w:p w14:paraId="11AAF481" w14:textId="77777777" w:rsidR="005330D3" w:rsidRPr="009E7CA0" w:rsidRDefault="005330D3" w:rsidP="00475A45">
            <w:pPr>
              <w:pStyle w:val="TableTextLeft"/>
              <w:numPr>
                <w:ilvl w:val="0"/>
                <w:numId w:val="26"/>
              </w:numPr>
              <w:ind w:left="284" w:hanging="284"/>
            </w:pPr>
            <w:r w:rsidRPr="009E7CA0">
              <w:rPr>
                <w:rStyle w:val="Hyperlink"/>
                <w:color w:val="auto"/>
              </w:rPr>
              <w:t xml:space="preserve">RG 266 </w:t>
            </w:r>
            <w:r w:rsidRPr="009E7CA0">
              <w:rPr>
                <w:rStyle w:val="Hyperlink"/>
                <w:i/>
                <w:iCs/>
                <w:color w:val="auto"/>
              </w:rPr>
              <w:t>ASIC market integrity rules for participants of futures markets</w:t>
            </w:r>
            <w:bookmarkEnd w:id="46"/>
          </w:p>
        </w:tc>
        <w:tc>
          <w:tcPr>
            <w:tcW w:w="1257" w:type="dxa"/>
            <w:tcBorders>
              <w:top w:val="single" w:sz="4" w:space="0" w:color="5D779D" w:themeColor="accent3"/>
              <w:bottom w:val="single" w:sz="4" w:space="0" w:color="5D779D" w:themeColor="accent3"/>
            </w:tcBorders>
            <w:shd w:val="clear" w:color="auto" w:fill="DFE4EB"/>
          </w:tcPr>
          <w:p w14:paraId="1EF94459" w14:textId="7D90E7B1" w:rsidR="005330D3" w:rsidRPr="009E7CA0" w:rsidRDefault="005330D3" w:rsidP="00F30D3C">
            <w:pPr>
              <w:pStyle w:val="TableTextLeft"/>
            </w:pPr>
          </w:p>
        </w:tc>
        <w:tc>
          <w:tcPr>
            <w:tcW w:w="1417" w:type="dxa"/>
            <w:tcBorders>
              <w:top w:val="single" w:sz="4" w:space="0" w:color="5D779D" w:themeColor="accent3"/>
              <w:bottom w:val="single" w:sz="4" w:space="0" w:color="5D779D" w:themeColor="accent3"/>
            </w:tcBorders>
            <w:shd w:val="clear" w:color="auto" w:fill="DFE4EB"/>
          </w:tcPr>
          <w:p w14:paraId="5BBFDD80" w14:textId="61D2DC32" w:rsidR="005330D3" w:rsidRPr="009E7CA0" w:rsidRDefault="00A4202E" w:rsidP="00565160">
            <w:pPr>
              <w:pStyle w:val="TableTextLeft"/>
            </w:pPr>
            <w:r w:rsidRPr="009E7CA0">
              <w:t>ASIC to consult on updates to its guidance</w:t>
            </w:r>
            <w:r w:rsidR="00940D8C" w:rsidRPr="009E7CA0">
              <w:t>.</w:t>
            </w:r>
          </w:p>
        </w:tc>
        <w:tc>
          <w:tcPr>
            <w:tcW w:w="1559" w:type="dxa"/>
            <w:tcBorders>
              <w:top w:val="single" w:sz="4" w:space="0" w:color="5D779D" w:themeColor="accent3"/>
              <w:bottom w:val="single" w:sz="4" w:space="0" w:color="5D779D" w:themeColor="accent3"/>
            </w:tcBorders>
            <w:shd w:val="clear" w:color="auto" w:fill="DFE4EB"/>
          </w:tcPr>
          <w:p w14:paraId="6AA1692A" w14:textId="77777777" w:rsidR="005330D3" w:rsidRPr="009E7CA0" w:rsidRDefault="005330D3" w:rsidP="00565160">
            <w:pPr>
              <w:pStyle w:val="TableTextLeft"/>
            </w:pPr>
          </w:p>
        </w:tc>
        <w:tc>
          <w:tcPr>
            <w:tcW w:w="934" w:type="dxa"/>
            <w:tcBorders>
              <w:top w:val="single" w:sz="4" w:space="0" w:color="5D779D" w:themeColor="accent3"/>
              <w:bottom w:val="single" w:sz="4" w:space="0" w:color="5D779D" w:themeColor="accent3"/>
            </w:tcBorders>
            <w:shd w:val="clear" w:color="auto" w:fill="EFF1F5"/>
          </w:tcPr>
          <w:p w14:paraId="4D4C5F27" w14:textId="71AF44A1" w:rsidR="005330D3" w:rsidRPr="009E7CA0" w:rsidRDefault="00B1624C" w:rsidP="00565160">
            <w:pPr>
              <w:pStyle w:val="TableTextLeft"/>
            </w:pPr>
            <w:r w:rsidRPr="009E7CA0">
              <w:t>Updated guidance published</w:t>
            </w:r>
            <w:r w:rsidR="00940D8C" w:rsidRPr="009E7CA0">
              <w:t>.</w:t>
            </w:r>
          </w:p>
        </w:tc>
        <w:tc>
          <w:tcPr>
            <w:tcW w:w="1191" w:type="dxa"/>
            <w:tcBorders>
              <w:top w:val="single" w:sz="4" w:space="0" w:color="5D779D" w:themeColor="accent3"/>
              <w:bottom w:val="single" w:sz="4" w:space="0" w:color="5D779D" w:themeColor="accent3"/>
            </w:tcBorders>
            <w:shd w:val="clear" w:color="auto" w:fill="EFF1F5"/>
          </w:tcPr>
          <w:p w14:paraId="05EB2E6B" w14:textId="77777777" w:rsidR="005330D3" w:rsidRPr="009E7CA0" w:rsidRDefault="005330D3" w:rsidP="00F30D3C">
            <w:pPr>
              <w:pStyle w:val="TableTextLeft"/>
            </w:pPr>
          </w:p>
        </w:tc>
        <w:tc>
          <w:tcPr>
            <w:tcW w:w="1247" w:type="dxa"/>
            <w:tcBorders>
              <w:top w:val="single" w:sz="4" w:space="0" w:color="5D779D" w:themeColor="accent3"/>
              <w:bottom w:val="single" w:sz="4" w:space="0" w:color="5D779D" w:themeColor="accent3"/>
            </w:tcBorders>
            <w:shd w:val="clear" w:color="auto" w:fill="EFF1F5"/>
          </w:tcPr>
          <w:p w14:paraId="077E4222" w14:textId="77777777" w:rsidR="005330D3" w:rsidRPr="009E7CA0" w:rsidRDefault="005330D3" w:rsidP="00F30D3C">
            <w:pPr>
              <w:pStyle w:val="TableTextLeft"/>
            </w:pPr>
          </w:p>
        </w:tc>
        <w:tc>
          <w:tcPr>
            <w:tcW w:w="1134" w:type="dxa"/>
            <w:tcBorders>
              <w:top w:val="single" w:sz="4" w:space="0" w:color="5D779D" w:themeColor="accent3"/>
              <w:bottom w:val="single" w:sz="4" w:space="0" w:color="5D779D" w:themeColor="accent3"/>
            </w:tcBorders>
            <w:shd w:val="clear" w:color="auto" w:fill="EFF1F5"/>
          </w:tcPr>
          <w:p w14:paraId="3E27F603" w14:textId="77777777" w:rsidR="005330D3" w:rsidRPr="009E7CA0" w:rsidRDefault="005330D3" w:rsidP="00F30D3C">
            <w:pPr>
              <w:pStyle w:val="TableTextLeft"/>
            </w:pPr>
          </w:p>
        </w:tc>
      </w:tr>
      <w:tr w:rsidR="0037380B" w:rsidRPr="009E7CA0" w14:paraId="4CAE75F3" w14:textId="4346DD01" w:rsidTr="00B96E7E">
        <w:trPr>
          <w:cantSplit/>
          <w:trHeight w:val="410"/>
        </w:trPr>
        <w:tc>
          <w:tcPr>
            <w:tcW w:w="795" w:type="dxa"/>
          </w:tcPr>
          <w:p w14:paraId="4FED3F11" w14:textId="77777777" w:rsidR="005330D3" w:rsidRPr="009E7CA0" w:rsidRDefault="005330D3" w:rsidP="00BB722F">
            <w:pPr>
              <w:pStyle w:val="TableLeadAgency"/>
              <w:rPr>
                <w:lang w:val="en-US" w:eastAsia="ja-JP"/>
              </w:rPr>
            </w:pPr>
            <w:r w:rsidRPr="009E7CA0">
              <w:lastRenderedPageBreak/>
              <w:t>ATO</w:t>
            </w:r>
          </w:p>
        </w:tc>
        <w:tc>
          <w:tcPr>
            <w:tcW w:w="1332" w:type="dxa"/>
          </w:tcPr>
          <w:p w14:paraId="5B9942CB" w14:textId="77777777" w:rsidR="005330D3" w:rsidRPr="009E7CA0" w:rsidRDefault="005330D3" w:rsidP="00977DAF">
            <w:pPr>
              <w:pStyle w:val="TableTextLeft"/>
            </w:pPr>
            <w:r w:rsidRPr="009E7CA0">
              <w:t>Superannuation and retirement income</w:t>
            </w:r>
          </w:p>
          <w:p w14:paraId="21A45ADC" w14:textId="4E3A47A5" w:rsidR="005330D3" w:rsidRPr="009E7CA0" w:rsidRDefault="005330D3" w:rsidP="00BB722F">
            <w:pPr>
              <w:pStyle w:val="TableTextLeft"/>
              <w:rPr>
                <w:lang w:val="en-US" w:eastAsia="ja-JP"/>
              </w:rPr>
            </w:pPr>
            <w:r w:rsidRPr="009E7CA0">
              <w:t xml:space="preserve">Collective </w:t>
            </w:r>
            <w:r w:rsidR="00324EF4">
              <w:t>management</w:t>
            </w:r>
            <w:r w:rsidR="00324EF4" w:rsidRPr="009E7CA0">
              <w:t xml:space="preserve"> </w:t>
            </w:r>
            <w:r w:rsidRPr="009E7CA0">
              <w:t>and investment management</w:t>
            </w:r>
          </w:p>
        </w:tc>
        <w:tc>
          <w:tcPr>
            <w:tcW w:w="3137" w:type="dxa"/>
          </w:tcPr>
          <w:p w14:paraId="393E8017" w14:textId="7139FBD2" w:rsidR="005330D3" w:rsidRPr="009E7CA0" w:rsidRDefault="005330D3" w:rsidP="000A7759">
            <w:pPr>
              <w:pStyle w:val="TableLink"/>
              <w:rPr>
                <w:bCs/>
              </w:rPr>
            </w:pPr>
            <w:hyperlink r:id="rId97">
              <w:r w:rsidRPr="009E7CA0">
                <w:t>Positions in relation to shares or interest in shares – Taxation Determination and Practical Compliance Guideline</w:t>
              </w:r>
            </w:hyperlink>
            <w:r w:rsidRPr="009E7CA0">
              <w:t xml:space="preserve"> (ATO guidance reference number 4146)</w:t>
            </w:r>
            <w:r w:rsidRPr="009E7CA0">
              <w:rPr>
                <w:szCs w:val="16"/>
                <w:u w:val="none"/>
              </w:rPr>
              <w:t xml:space="preserve"> </w:t>
            </w:r>
          </w:p>
          <w:p w14:paraId="2DC4C7DA" w14:textId="5A5CA627" w:rsidR="005330D3" w:rsidRPr="009E7CA0" w:rsidRDefault="005330D3" w:rsidP="005D59DA">
            <w:pPr>
              <w:pStyle w:val="TableTextLeft"/>
            </w:pPr>
            <w:r w:rsidRPr="009E7CA0">
              <w:t xml:space="preserve">The Taxation Determination will set out the Commissioner’s view in identifying the relevant shareholdings when applying the integrity rules under Division 1A of former Part IIIAA of the </w:t>
            </w:r>
            <w:r w:rsidRPr="009E7CA0">
              <w:rPr>
                <w:i/>
                <w:iCs/>
              </w:rPr>
              <w:t>Income Tax Assessment Act 1936</w:t>
            </w:r>
            <w:r w:rsidRPr="009E7CA0">
              <w:t>.</w:t>
            </w:r>
          </w:p>
          <w:p w14:paraId="7133B356" w14:textId="2E4488E1" w:rsidR="005330D3" w:rsidRPr="009E7CA0" w:rsidRDefault="005330D3" w:rsidP="005D59DA">
            <w:pPr>
              <w:pStyle w:val="TableTextLeft"/>
            </w:pPr>
            <w:r w:rsidRPr="009E7CA0">
              <w:t>The Practical Compliance Guideline will outline how the ATO plans to approach compliance and allocate resources when reviewing arrangements where taxpayers use financial derivatives to reduce their economic exposure to Australian shares.</w:t>
            </w:r>
          </w:p>
        </w:tc>
        <w:tc>
          <w:tcPr>
            <w:tcW w:w="1257" w:type="dxa"/>
            <w:shd w:val="clear" w:color="auto" w:fill="DFE4EB"/>
          </w:tcPr>
          <w:p w14:paraId="7AF935FC" w14:textId="058E4A10" w:rsidR="005330D3" w:rsidRPr="009E7CA0" w:rsidDel="005C4CE7" w:rsidRDefault="005330D3" w:rsidP="00BB722F">
            <w:pPr>
              <w:pStyle w:val="TableTextLeft"/>
            </w:pPr>
          </w:p>
        </w:tc>
        <w:tc>
          <w:tcPr>
            <w:tcW w:w="1417" w:type="dxa"/>
            <w:shd w:val="clear" w:color="auto" w:fill="DFE4EB"/>
          </w:tcPr>
          <w:p w14:paraId="4598F89C" w14:textId="7B0442BD" w:rsidR="005330D3" w:rsidRPr="009E7CA0" w:rsidRDefault="005330D3" w:rsidP="00BB722F">
            <w:pPr>
              <w:pStyle w:val="TableTextLeft"/>
            </w:pPr>
          </w:p>
        </w:tc>
        <w:tc>
          <w:tcPr>
            <w:tcW w:w="1559" w:type="dxa"/>
            <w:shd w:val="clear" w:color="auto" w:fill="DFE4EB"/>
          </w:tcPr>
          <w:p w14:paraId="18866073" w14:textId="77777777" w:rsidR="005330D3" w:rsidRPr="009E7CA0" w:rsidDel="005C4CE7" w:rsidRDefault="005330D3" w:rsidP="00BB722F">
            <w:pPr>
              <w:pStyle w:val="TableTextLeft"/>
            </w:pPr>
          </w:p>
        </w:tc>
        <w:tc>
          <w:tcPr>
            <w:tcW w:w="934" w:type="dxa"/>
            <w:shd w:val="clear" w:color="auto" w:fill="EFF1F5"/>
          </w:tcPr>
          <w:p w14:paraId="762EE534" w14:textId="77777777" w:rsidR="005330D3" w:rsidRPr="009E7CA0" w:rsidRDefault="005330D3" w:rsidP="00BB722F">
            <w:pPr>
              <w:pStyle w:val="TableTextLeft"/>
            </w:pPr>
          </w:p>
        </w:tc>
        <w:tc>
          <w:tcPr>
            <w:tcW w:w="1191" w:type="dxa"/>
            <w:shd w:val="clear" w:color="auto" w:fill="EFF1F5"/>
          </w:tcPr>
          <w:p w14:paraId="001BFC66" w14:textId="77777777" w:rsidR="005330D3" w:rsidRPr="009E7CA0" w:rsidRDefault="005330D3" w:rsidP="00BB722F">
            <w:pPr>
              <w:pStyle w:val="TableTextLeft"/>
            </w:pPr>
          </w:p>
        </w:tc>
        <w:tc>
          <w:tcPr>
            <w:tcW w:w="1247" w:type="dxa"/>
            <w:shd w:val="clear" w:color="auto" w:fill="EFF1F5"/>
          </w:tcPr>
          <w:p w14:paraId="72EB9A08" w14:textId="77777777" w:rsidR="005330D3" w:rsidRPr="009E7CA0" w:rsidRDefault="005330D3" w:rsidP="00BB722F">
            <w:pPr>
              <w:pStyle w:val="TableTextLeft"/>
            </w:pPr>
          </w:p>
        </w:tc>
        <w:tc>
          <w:tcPr>
            <w:tcW w:w="1134" w:type="dxa"/>
            <w:shd w:val="clear" w:color="auto" w:fill="EFF1F5"/>
          </w:tcPr>
          <w:p w14:paraId="10993D5E" w14:textId="77777777" w:rsidR="005330D3" w:rsidRPr="009E7CA0" w:rsidRDefault="005330D3" w:rsidP="00BB722F">
            <w:pPr>
              <w:pStyle w:val="TableTextLeft"/>
            </w:pPr>
          </w:p>
        </w:tc>
      </w:tr>
      <w:tr w:rsidR="0037380B" w:rsidRPr="009E7CA0" w14:paraId="37381AEB" w14:textId="271EC995" w:rsidTr="00B96E7E">
        <w:trPr>
          <w:cantSplit/>
          <w:trHeight w:val="410"/>
        </w:trPr>
        <w:tc>
          <w:tcPr>
            <w:tcW w:w="795" w:type="dxa"/>
            <w:tcBorders>
              <w:bottom w:val="single" w:sz="4" w:space="0" w:color="5D779D" w:themeColor="accent3"/>
            </w:tcBorders>
          </w:tcPr>
          <w:p w14:paraId="5BEFBB27" w14:textId="77777777" w:rsidR="005330D3" w:rsidRPr="009E7CA0" w:rsidRDefault="005330D3" w:rsidP="00F30D3C">
            <w:pPr>
              <w:pStyle w:val="TableLeadAgency"/>
            </w:pPr>
            <w:r w:rsidRPr="009E7CA0">
              <w:t>RBA</w:t>
            </w:r>
          </w:p>
        </w:tc>
        <w:tc>
          <w:tcPr>
            <w:tcW w:w="1332" w:type="dxa"/>
            <w:tcBorders>
              <w:bottom w:val="single" w:sz="4" w:space="0" w:color="5D779D" w:themeColor="accent3"/>
            </w:tcBorders>
          </w:tcPr>
          <w:p w14:paraId="16EBA129" w14:textId="77777777" w:rsidR="005330D3" w:rsidRPr="009E7CA0" w:rsidRDefault="005330D3" w:rsidP="00F30D3C">
            <w:pPr>
              <w:pStyle w:val="TableTextLeft"/>
            </w:pPr>
            <w:r w:rsidRPr="009E7CA0">
              <w:t>Payment services and digital assets</w:t>
            </w:r>
          </w:p>
        </w:tc>
        <w:tc>
          <w:tcPr>
            <w:tcW w:w="3137" w:type="dxa"/>
            <w:tcBorders>
              <w:bottom w:val="single" w:sz="4" w:space="0" w:color="5D779D" w:themeColor="accent3"/>
            </w:tcBorders>
          </w:tcPr>
          <w:p w14:paraId="68925B23" w14:textId="4D41D21B" w:rsidR="005330D3" w:rsidRPr="009E7CA0" w:rsidRDefault="005330D3" w:rsidP="005D59DA">
            <w:pPr>
              <w:pStyle w:val="TableLink"/>
            </w:pPr>
            <w:r w:rsidRPr="009E7CA0">
              <w:t xml:space="preserve">Prominent Payment Systems (PPS) oversight regime </w:t>
            </w:r>
          </w:p>
          <w:p w14:paraId="51BF453A" w14:textId="6DC140F8" w:rsidR="005330D3" w:rsidRPr="009E7CA0" w:rsidRDefault="005330D3" w:rsidP="00745808">
            <w:pPr>
              <w:pStyle w:val="TableTextLeft"/>
            </w:pPr>
            <w:r w:rsidRPr="009E7CA0">
              <w:t xml:space="preserve">The RBA oversees the safety and stability of prominent payment systems. The administrators of </w:t>
            </w:r>
            <w:r w:rsidR="005B72B0" w:rsidRPr="009E7CA0">
              <w:t xml:space="preserve">the </w:t>
            </w:r>
            <w:r w:rsidRPr="009E7CA0">
              <w:t>NPP and BECS have agreed to</w:t>
            </w:r>
            <w:r w:rsidR="003D0102" w:rsidRPr="009E7CA0">
              <w:t xml:space="preserve"> </w:t>
            </w:r>
            <w:r w:rsidRPr="009E7CA0">
              <w:t>risk</w:t>
            </w:r>
            <w:r w:rsidR="7A956F76" w:rsidRPr="009E7CA0">
              <w:t>-</w:t>
            </w:r>
            <w:r w:rsidRPr="009E7CA0">
              <w:t>based oversight programs.</w:t>
            </w:r>
            <w:r w:rsidR="005B72B0" w:rsidRPr="009E7CA0">
              <w:t xml:space="preserve"> Following Industry’s decision to remove the 2030 decommissioning date for BECS, the planned program activities will be reviewed.</w:t>
            </w:r>
          </w:p>
        </w:tc>
        <w:tc>
          <w:tcPr>
            <w:tcW w:w="1257" w:type="dxa"/>
            <w:tcBorders>
              <w:bottom w:val="single" w:sz="4" w:space="0" w:color="5D779D" w:themeColor="accent3"/>
            </w:tcBorders>
            <w:shd w:val="clear" w:color="auto" w:fill="DFE4EB"/>
          </w:tcPr>
          <w:p w14:paraId="21E601AC" w14:textId="7BB93B5A" w:rsidR="005330D3" w:rsidRPr="009E7CA0" w:rsidRDefault="005330D3" w:rsidP="00F30D3C">
            <w:pPr>
              <w:pStyle w:val="TableTextLeft"/>
            </w:pPr>
          </w:p>
        </w:tc>
        <w:tc>
          <w:tcPr>
            <w:tcW w:w="1417" w:type="dxa"/>
            <w:tcBorders>
              <w:bottom w:val="single" w:sz="4" w:space="0" w:color="5D779D" w:themeColor="accent3"/>
            </w:tcBorders>
            <w:shd w:val="clear" w:color="auto" w:fill="DFE4EB"/>
          </w:tcPr>
          <w:p w14:paraId="0FDAE1C1" w14:textId="77777777" w:rsidR="005330D3" w:rsidRPr="009E7CA0" w:rsidRDefault="005330D3" w:rsidP="00F30D3C">
            <w:pPr>
              <w:pStyle w:val="TableTextLeft"/>
            </w:pPr>
          </w:p>
        </w:tc>
        <w:tc>
          <w:tcPr>
            <w:tcW w:w="1559" w:type="dxa"/>
            <w:tcBorders>
              <w:bottom w:val="single" w:sz="4" w:space="0" w:color="5D779D" w:themeColor="accent3"/>
            </w:tcBorders>
            <w:shd w:val="clear" w:color="auto" w:fill="DFE4EB"/>
          </w:tcPr>
          <w:p w14:paraId="5B13716B" w14:textId="77777777" w:rsidR="005330D3" w:rsidRPr="009E7CA0" w:rsidRDefault="005330D3" w:rsidP="00F30D3C">
            <w:pPr>
              <w:pStyle w:val="TableTextLeft"/>
            </w:pPr>
          </w:p>
        </w:tc>
        <w:tc>
          <w:tcPr>
            <w:tcW w:w="934" w:type="dxa"/>
            <w:tcBorders>
              <w:bottom w:val="single" w:sz="4" w:space="0" w:color="5D779D" w:themeColor="accent3"/>
            </w:tcBorders>
            <w:shd w:val="clear" w:color="auto" w:fill="EFF1F5"/>
          </w:tcPr>
          <w:p w14:paraId="13F2FA94" w14:textId="29E66C8C" w:rsidR="005330D3" w:rsidRPr="009E7CA0" w:rsidRDefault="005330D3" w:rsidP="00F30D3C">
            <w:pPr>
              <w:pStyle w:val="TableTextLeft"/>
            </w:pPr>
          </w:p>
        </w:tc>
        <w:tc>
          <w:tcPr>
            <w:tcW w:w="1191" w:type="dxa"/>
            <w:tcBorders>
              <w:bottom w:val="single" w:sz="4" w:space="0" w:color="5D779D" w:themeColor="accent3"/>
            </w:tcBorders>
            <w:shd w:val="clear" w:color="auto" w:fill="EFF1F5"/>
          </w:tcPr>
          <w:p w14:paraId="6B83B809" w14:textId="77777777" w:rsidR="005330D3" w:rsidRPr="009E7CA0" w:rsidRDefault="005330D3" w:rsidP="00F30D3C">
            <w:pPr>
              <w:pStyle w:val="TableTextLeft"/>
            </w:pPr>
          </w:p>
        </w:tc>
        <w:tc>
          <w:tcPr>
            <w:tcW w:w="1247" w:type="dxa"/>
            <w:tcBorders>
              <w:bottom w:val="single" w:sz="4" w:space="0" w:color="5D779D" w:themeColor="accent3"/>
            </w:tcBorders>
            <w:shd w:val="clear" w:color="auto" w:fill="EFF1F5"/>
          </w:tcPr>
          <w:p w14:paraId="43EF8C7C" w14:textId="77777777" w:rsidR="005330D3" w:rsidRPr="009E7CA0" w:rsidRDefault="005330D3" w:rsidP="00F30D3C">
            <w:pPr>
              <w:pStyle w:val="TableTextLeft"/>
            </w:pPr>
          </w:p>
        </w:tc>
        <w:tc>
          <w:tcPr>
            <w:tcW w:w="1134" w:type="dxa"/>
            <w:tcBorders>
              <w:bottom w:val="single" w:sz="4" w:space="0" w:color="5D779D" w:themeColor="accent3"/>
            </w:tcBorders>
            <w:shd w:val="clear" w:color="auto" w:fill="EFF1F5"/>
          </w:tcPr>
          <w:p w14:paraId="632811D9" w14:textId="77777777" w:rsidR="005330D3" w:rsidRPr="009E7CA0" w:rsidRDefault="005330D3" w:rsidP="00F30D3C">
            <w:pPr>
              <w:pStyle w:val="TableTextLeft"/>
            </w:pPr>
          </w:p>
        </w:tc>
      </w:tr>
      <w:tr w:rsidR="0037380B" w:rsidRPr="009E7CA0" w14:paraId="00A80EC5" w14:textId="7EE653BC" w:rsidTr="00B96E7E">
        <w:trPr>
          <w:cantSplit/>
          <w:trHeight w:val="410"/>
        </w:trPr>
        <w:tc>
          <w:tcPr>
            <w:tcW w:w="795" w:type="dxa"/>
            <w:tcBorders>
              <w:top w:val="single" w:sz="4" w:space="0" w:color="5D779D" w:themeColor="accent3"/>
              <w:bottom w:val="single" w:sz="4" w:space="0" w:color="5D779D" w:themeColor="accent3"/>
            </w:tcBorders>
          </w:tcPr>
          <w:p w14:paraId="74C5BE37" w14:textId="77777777" w:rsidR="005330D3" w:rsidRPr="009E7CA0" w:rsidRDefault="005330D3" w:rsidP="00F30D3C">
            <w:pPr>
              <w:pStyle w:val="TableTextLeft"/>
              <w:rPr>
                <w:b/>
                <w:bCs/>
              </w:rPr>
            </w:pPr>
            <w:r w:rsidRPr="009E7CA0">
              <w:rPr>
                <w:b/>
              </w:rPr>
              <w:lastRenderedPageBreak/>
              <w:t xml:space="preserve">RBA </w:t>
            </w:r>
          </w:p>
          <w:p w14:paraId="611F4588" w14:textId="77777777" w:rsidR="005330D3" w:rsidRPr="009E7CA0" w:rsidRDefault="005330D3" w:rsidP="00F30D3C">
            <w:pPr>
              <w:pStyle w:val="TableSecondaryAgency"/>
              <w:rPr>
                <w:b/>
              </w:rPr>
            </w:pPr>
            <w:r w:rsidRPr="009E7CA0">
              <w:t>Other</w:t>
            </w:r>
          </w:p>
        </w:tc>
        <w:tc>
          <w:tcPr>
            <w:tcW w:w="1332" w:type="dxa"/>
            <w:tcBorders>
              <w:top w:val="single" w:sz="4" w:space="0" w:color="5D779D" w:themeColor="accent3"/>
              <w:bottom w:val="single" w:sz="4" w:space="0" w:color="5D779D" w:themeColor="accent3"/>
            </w:tcBorders>
          </w:tcPr>
          <w:p w14:paraId="07BB4E7F" w14:textId="77777777" w:rsidR="005330D3" w:rsidRPr="009E7CA0" w:rsidDel="00AF3AA5" w:rsidRDefault="005330D3" w:rsidP="00F30D3C">
            <w:pPr>
              <w:pStyle w:val="TableTextLeft"/>
            </w:pPr>
            <w:r w:rsidRPr="009E7CA0" w:rsidDel="00AF3AA5">
              <w:t>Payment services and digital assets</w:t>
            </w:r>
          </w:p>
        </w:tc>
        <w:tc>
          <w:tcPr>
            <w:tcW w:w="3137" w:type="dxa"/>
            <w:tcBorders>
              <w:top w:val="single" w:sz="4" w:space="0" w:color="5D779D" w:themeColor="accent3"/>
              <w:bottom w:val="single" w:sz="4" w:space="0" w:color="5D779D" w:themeColor="accent3"/>
            </w:tcBorders>
          </w:tcPr>
          <w:p w14:paraId="37BF1AAE" w14:textId="77777777" w:rsidR="005330D3" w:rsidRPr="009E7CA0" w:rsidRDefault="005330D3" w:rsidP="00745808">
            <w:pPr>
              <w:pStyle w:val="TableLink"/>
            </w:pPr>
            <w:r w:rsidRPr="009E7CA0">
              <w:t>Receipt of Security of Critical Infrastructure (SOCI) Act 2018 annual attestations</w:t>
            </w:r>
          </w:p>
          <w:p w14:paraId="7A2A98F0" w14:textId="47ED875C" w:rsidR="0064075D" w:rsidRPr="009E7CA0" w:rsidRDefault="005330D3" w:rsidP="00745808">
            <w:pPr>
              <w:pStyle w:val="TableTextLeft"/>
            </w:pPr>
            <w:r w:rsidRPr="009E7CA0">
              <w:t xml:space="preserve">Under the SOCI Act, the RBA </w:t>
            </w:r>
            <w:r w:rsidR="00260864" w:rsidRPr="009E7CA0">
              <w:t>receives</w:t>
            </w:r>
            <w:r w:rsidRPr="009E7CA0">
              <w:t xml:space="preserve"> annual attestations of compliance with the Act </w:t>
            </w:r>
            <w:r w:rsidR="00260864" w:rsidRPr="009E7CA0">
              <w:t xml:space="preserve">from operators of critical payment system </w:t>
            </w:r>
          </w:p>
          <w:p w14:paraId="396F560F" w14:textId="47270F68" w:rsidR="005330D3" w:rsidRPr="009E7CA0" w:rsidRDefault="00260864" w:rsidP="00745808">
            <w:pPr>
              <w:pStyle w:val="TableTextLeft"/>
            </w:pPr>
            <w:r w:rsidRPr="009E7CA0">
              <w:t>assets.</w:t>
            </w:r>
            <w:r w:rsidR="005330D3" w:rsidRPr="009E7CA0">
              <w:t xml:space="preserve"> The RBA </w:t>
            </w:r>
            <w:r w:rsidRPr="009E7CA0">
              <w:t>and the DHA maintain an MOU to cooperate and collaborate to promote the effective management of risks in accordance with the SOCI Act’s critical infrastructure risk management obligations.</w:t>
            </w:r>
          </w:p>
        </w:tc>
        <w:tc>
          <w:tcPr>
            <w:tcW w:w="1257" w:type="dxa"/>
            <w:tcBorders>
              <w:top w:val="single" w:sz="4" w:space="0" w:color="5D779D" w:themeColor="accent3"/>
              <w:bottom w:val="single" w:sz="4" w:space="0" w:color="5D779D" w:themeColor="accent3"/>
            </w:tcBorders>
            <w:shd w:val="clear" w:color="auto" w:fill="DFE4EB"/>
          </w:tcPr>
          <w:p w14:paraId="5F8DA698" w14:textId="77777777" w:rsidR="005330D3" w:rsidRPr="009E7CA0" w:rsidDel="00612932" w:rsidRDefault="005330D3" w:rsidP="00BB3ED3">
            <w:pPr>
              <w:pStyle w:val="TableTextLeft"/>
            </w:pPr>
          </w:p>
        </w:tc>
        <w:tc>
          <w:tcPr>
            <w:tcW w:w="1417" w:type="dxa"/>
            <w:tcBorders>
              <w:top w:val="single" w:sz="4" w:space="0" w:color="5D779D" w:themeColor="accent3"/>
              <w:bottom w:val="single" w:sz="4" w:space="0" w:color="5D779D" w:themeColor="accent3"/>
            </w:tcBorders>
            <w:shd w:val="clear" w:color="auto" w:fill="DFE4EB"/>
          </w:tcPr>
          <w:p w14:paraId="583D0EE7" w14:textId="32339EAB" w:rsidR="005330D3" w:rsidRPr="009E7CA0" w:rsidRDefault="005330D3" w:rsidP="00745808">
            <w:pPr>
              <w:pStyle w:val="TableTextLeft"/>
              <w:rPr>
                <w:rStyle w:val="CommentReference"/>
                <w:sz w:val="18"/>
                <w:szCs w:val="20"/>
              </w:rPr>
            </w:pPr>
          </w:p>
        </w:tc>
        <w:tc>
          <w:tcPr>
            <w:tcW w:w="1559" w:type="dxa"/>
            <w:tcBorders>
              <w:top w:val="single" w:sz="4" w:space="0" w:color="5D779D" w:themeColor="accent3"/>
              <w:bottom w:val="single" w:sz="4" w:space="0" w:color="5D779D" w:themeColor="accent3"/>
            </w:tcBorders>
            <w:shd w:val="clear" w:color="auto" w:fill="DFE4EB"/>
          </w:tcPr>
          <w:p w14:paraId="39718D29" w14:textId="07DEF37B" w:rsidR="005330D3" w:rsidRPr="009E7CA0" w:rsidRDefault="005330D3" w:rsidP="00F30D3C">
            <w:pPr>
              <w:pStyle w:val="TableTextLeft"/>
              <w:rPr>
                <w:rStyle w:val="CommentReference"/>
                <w:sz w:val="18"/>
                <w:szCs w:val="18"/>
              </w:rPr>
            </w:pPr>
          </w:p>
        </w:tc>
        <w:tc>
          <w:tcPr>
            <w:tcW w:w="935" w:type="dxa"/>
            <w:tcBorders>
              <w:top w:val="single" w:sz="4" w:space="0" w:color="5D779D" w:themeColor="accent3"/>
              <w:bottom w:val="single" w:sz="4" w:space="0" w:color="5D779D" w:themeColor="accent3"/>
            </w:tcBorders>
            <w:shd w:val="clear" w:color="auto" w:fill="EFF1F5"/>
          </w:tcPr>
          <w:p w14:paraId="54411E2F" w14:textId="77777777" w:rsidR="005330D3" w:rsidRPr="009E7CA0" w:rsidRDefault="005330D3" w:rsidP="00F30D3C">
            <w:pPr>
              <w:pStyle w:val="TableTextLeft"/>
            </w:pPr>
          </w:p>
        </w:tc>
        <w:tc>
          <w:tcPr>
            <w:tcW w:w="1191" w:type="dxa"/>
            <w:tcBorders>
              <w:top w:val="single" w:sz="4" w:space="0" w:color="5D779D" w:themeColor="accent3"/>
              <w:bottom w:val="single" w:sz="4" w:space="0" w:color="5D779D" w:themeColor="accent3"/>
            </w:tcBorders>
            <w:shd w:val="clear" w:color="auto" w:fill="EFF1F5"/>
          </w:tcPr>
          <w:p w14:paraId="612FC511" w14:textId="77777777" w:rsidR="005330D3" w:rsidRPr="009E7CA0" w:rsidRDefault="005330D3" w:rsidP="00F30D3C">
            <w:pPr>
              <w:pStyle w:val="TableTextLeft"/>
            </w:pPr>
          </w:p>
        </w:tc>
        <w:tc>
          <w:tcPr>
            <w:tcW w:w="1247" w:type="dxa"/>
            <w:tcBorders>
              <w:top w:val="single" w:sz="4" w:space="0" w:color="5D779D" w:themeColor="accent3"/>
              <w:bottom w:val="single" w:sz="4" w:space="0" w:color="5D779D" w:themeColor="accent3"/>
            </w:tcBorders>
            <w:shd w:val="clear" w:color="auto" w:fill="EFF1F5"/>
          </w:tcPr>
          <w:p w14:paraId="162835CD" w14:textId="3E4F3D4B" w:rsidR="005330D3" w:rsidRPr="009E7CA0" w:rsidRDefault="005330D3" w:rsidP="00F30D3C">
            <w:pPr>
              <w:pStyle w:val="TableTextLeft"/>
            </w:pPr>
          </w:p>
        </w:tc>
        <w:tc>
          <w:tcPr>
            <w:tcW w:w="1134" w:type="dxa"/>
            <w:tcBorders>
              <w:top w:val="single" w:sz="4" w:space="0" w:color="5D779D" w:themeColor="accent3"/>
              <w:bottom w:val="single" w:sz="4" w:space="0" w:color="5D779D" w:themeColor="accent3"/>
            </w:tcBorders>
            <w:shd w:val="clear" w:color="auto" w:fill="EFF1F5"/>
          </w:tcPr>
          <w:p w14:paraId="65274FC0" w14:textId="77777777" w:rsidR="005330D3" w:rsidRPr="009E7CA0" w:rsidRDefault="005330D3" w:rsidP="00F30D3C">
            <w:pPr>
              <w:pStyle w:val="TableTextLeft"/>
            </w:pPr>
          </w:p>
        </w:tc>
      </w:tr>
      <w:tr w:rsidR="0037380B" w:rsidRPr="009E7CA0" w14:paraId="7D8B0B15" w14:textId="250C9CDB" w:rsidTr="00B96E7E">
        <w:trPr>
          <w:cantSplit/>
          <w:trHeight w:val="410"/>
        </w:trPr>
        <w:tc>
          <w:tcPr>
            <w:tcW w:w="795" w:type="dxa"/>
          </w:tcPr>
          <w:p w14:paraId="4A4B5D21" w14:textId="77777777" w:rsidR="005330D3" w:rsidRPr="009E7CA0" w:rsidRDefault="005330D3" w:rsidP="00B617F4">
            <w:pPr>
              <w:pStyle w:val="TableLeadAgency"/>
              <w:spacing w:before="0" w:after="0"/>
            </w:pPr>
            <w:r w:rsidRPr="009E7CA0">
              <w:t>DSS</w:t>
            </w:r>
          </w:p>
          <w:p w14:paraId="4840925B" w14:textId="77777777" w:rsidR="005330D3" w:rsidRPr="009E7CA0" w:rsidRDefault="005330D3" w:rsidP="00B617F4">
            <w:pPr>
              <w:pStyle w:val="TableSecondaryAgency"/>
              <w:spacing w:before="0" w:after="0"/>
            </w:pPr>
            <w:r w:rsidRPr="009E7CA0">
              <w:t>ATO</w:t>
            </w:r>
          </w:p>
          <w:p w14:paraId="703B8A6B" w14:textId="77777777" w:rsidR="005330D3" w:rsidRPr="009E7CA0" w:rsidRDefault="005330D3" w:rsidP="00BB722F">
            <w:pPr>
              <w:pStyle w:val="TableLeadAgency"/>
              <w:rPr>
                <w:b w:val="0"/>
                <w:i/>
                <w:lang w:val="en-US" w:eastAsia="ja-JP"/>
              </w:rPr>
            </w:pPr>
            <w:r w:rsidRPr="009E7CA0">
              <w:rPr>
                <w:b w:val="0"/>
                <w:i/>
              </w:rPr>
              <w:t>TSY</w:t>
            </w:r>
          </w:p>
        </w:tc>
        <w:tc>
          <w:tcPr>
            <w:tcW w:w="1332" w:type="dxa"/>
          </w:tcPr>
          <w:p w14:paraId="373A1126" w14:textId="77777777" w:rsidR="005330D3" w:rsidRPr="009E7CA0" w:rsidRDefault="005330D3" w:rsidP="00BB722F">
            <w:pPr>
              <w:pStyle w:val="TableTextLeft"/>
              <w:rPr>
                <w:lang w:val="en-US" w:eastAsia="ja-JP"/>
              </w:rPr>
            </w:pPr>
            <w:r w:rsidRPr="009E7CA0">
              <w:t>Superannuation and retirement income</w:t>
            </w:r>
          </w:p>
        </w:tc>
        <w:tc>
          <w:tcPr>
            <w:tcW w:w="3137" w:type="dxa"/>
          </w:tcPr>
          <w:p w14:paraId="49B0B665" w14:textId="329817F8" w:rsidR="005330D3" w:rsidRPr="009E7CA0" w:rsidRDefault="005330D3" w:rsidP="001B1F27">
            <w:pPr>
              <w:pStyle w:val="TableLink"/>
            </w:pPr>
            <w:hyperlink r:id="rId98">
              <w:r w:rsidRPr="009E7CA0">
                <w:rPr>
                  <w:rStyle w:val="Hyperlink"/>
                  <w:color w:val="5D779D" w:themeColor="accent3"/>
                  <w:u w:val="single"/>
                </w:rPr>
                <w:t>Superannuation on Paid Parental Leave</w:t>
              </w:r>
            </w:hyperlink>
            <w:r w:rsidRPr="009E7CA0">
              <w:rPr>
                <w:rStyle w:val="Hyperlink"/>
                <w:color w:val="5D779D" w:themeColor="accent3"/>
                <w:u w:val="single"/>
              </w:rPr>
              <w:t xml:space="preserve"> </w:t>
            </w:r>
          </w:p>
          <w:p w14:paraId="1B52277F" w14:textId="57350E4D" w:rsidR="005330D3" w:rsidRPr="009E7CA0" w:rsidRDefault="005330D3" w:rsidP="00745808">
            <w:pPr>
              <w:pStyle w:val="TableTextLeft"/>
            </w:pPr>
            <w:r w:rsidRPr="009E7CA0">
              <w:t>The government will make Superannuation Guarantee</w:t>
            </w:r>
            <w:r w:rsidR="00DC0F83" w:rsidRPr="009E7CA0">
              <w:t>-</w:t>
            </w:r>
            <w:r w:rsidRPr="009E7CA0">
              <w:t>equivalent payments to recipients of Commonwealth government</w:t>
            </w:r>
            <w:r w:rsidR="00DC0F83" w:rsidRPr="009E7CA0">
              <w:t>-</w:t>
            </w:r>
            <w:r w:rsidRPr="009E7CA0">
              <w:t>funded Paid Parental Leave, for parents of babies born or adopted on or after 1 July 2025.</w:t>
            </w:r>
          </w:p>
          <w:p w14:paraId="39C1EEB5" w14:textId="254A0E9B" w:rsidR="005330D3" w:rsidRPr="009E7CA0" w:rsidRDefault="005330D3" w:rsidP="00745808">
            <w:pPr>
              <w:pStyle w:val="TableTextLeft"/>
              <w:rPr>
                <w:lang w:val="en-US" w:eastAsia="ja-JP"/>
              </w:rPr>
            </w:pPr>
            <w:r w:rsidRPr="009E7CA0">
              <w:t xml:space="preserve">The </w:t>
            </w:r>
            <w:r w:rsidRPr="009E7CA0">
              <w:rPr>
                <w:i/>
                <w:iCs/>
              </w:rPr>
              <w:t xml:space="preserve">Paid Parental Leave Amendment (Adding Superannuation for a More Secure Retirement) Act 2024 </w:t>
            </w:r>
            <w:r w:rsidRPr="009E7CA0">
              <w:t xml:space="preserve">legislation commenced 1 July 2025, with payments commencing 1 July 2026. These payments will be made by the ATO directly into recipients’ superannuation accounts annually. </w:t>
            </w:r>
          </w:p>
        </w:tc>
        <w:tc>
          <w:tcPr>
            <w:tcW w:w="1257" w:type="dxa"/>
            <w:shd w:val="clear" w:color="auto" w:fill="DFE4EB"/>
          </w:tcPr>
          <w:p w14:paraId="46BA3A91" w14:textId="1D64EBDB" w:rsidR="005330D3" w:rsidRPr="009E7CA0" w:rsidDel="005C4CE7" w:rsidRDefault="005330D3" w:rsidP="00BB722F">
            <w:pPr>
              <w:pStyle w:val="TableTextLeft"/>
            </w:pPr>
          </w:p>
        </w:tc>
        <w:tc>
          <w:tcPr>
            <w:tcW w:w="1417" w:type="dxa"/>
            <w:shd w:val="clear" w:color="auto" w:fill="DFE4EB"/>
          </w:tcPr>
          <w:p w14:paraId="71659BB9" w14:textId="00816E16" w:rsidR="005330D3" w:rsidRPr="009E7CA0" w:rsidRDefault="005330D3" w:rsidP="00745808">
            <w:pPr>
              <w:pStyle w:val="TableTextLeft"/>
            </w:pPr>
            <w:r w:rsidRPr="009E7CA0">
              <w:t>Commencement of payments to eligible parents from 1 July 2026</w:t>
            </w:r>
            <w:r w:rsidR="00A07098">
              <w:t>.</w:t>
            </w:r>
          </w:p>
          <w:p w14:paraId="6213FA3F" w14:textId="77777777" w:rsidR="005330D3" w:rsidRPr="009E7CA0" w:rsidRDefault="005330D3" w:rsidP="00745808">
            <w:pPr>
              <w:pStyle w:val="TableTextLeft"/>
            </w:pPr>
          </w:p>
        </w:tc>
        <w:tc>
          <w:tcPr>
            <w:tcW w:w="1559" w:type="dxa"/>
            <w:shd w:val="clear" w:color="auto" w:fill="DFE4EB"/>
          </w:tcPr>
          <w:p w14:paraId="33742E69" w14:textId="77777777" w:rsidR="005330D3" w:rsidRPr="009E7CA0" w:rsidDel="005C4CE7" w:rsidRDefault="005330D3" w:rsidP="00BB722F">
            <w:pPr>
              <w:pStyle w:val="TableTextLeft"/>
            </w:pPr>
          </w:p>
        </w:tc>
        <w:tc>
          <w:tcPr>
            <w:tcW w:w="935" w:type="dxa"/>
            <w:shd w:val="clear" w:color="auto" w:fill="EFF1F5"/>
          </w:tcPr>
          <w:p w14:paraId="0B253EBA" w14:textId="77777777" w:rsidR="005330D3" w:rsidRPr="009E7CA0" w:rsidRDefault="005330D3" w:rsidP="00BB722F">
            <w:pPr>
              <w:pStyle w:val="TableTextLeft"/>
            </w:pPr>
          </w:p>
        </w:tc>
        <w:tc>
          <w:tcPr>
            <w:tcW w:w="1191" w:type="dxa"/>
            <w:shd w:val="clear" w:color="auto" w:fill="EFF1F5"/>
          </w:tcPr>
          <w:p w14:paraId="2EE40B1C" w14:textId="77777777" w:rsidR="005330D3" w:rsidRPr="009E7CA0" w:rsidRDefault="005330D3" w:rsidP="00BB722F">
            <w:pPr>
              <w:pStyle w:val="TableTextLeft"/>
            </w:pPr>
          </w:p>
        </w:tc>
        <w:tc>
          <w:tcPr>
            <w:tcW w:w="1247" w:type="dxa"/>
            <w:shd w:val="clear" w:color="auto" w:fill="EFF1F5"/>
          </w:tcPr>
          <w:p w14:paraId="3F99CE5B" w14:textId="77777777" w:rsidR="005330D3" w:rsidRPr="009E7CA0" w:rsidRDefault="005330D3" w:rsidP="00BB722F">
            <w:pPr>
              <w:pStyle w:val="TableTextLeft"/>
            </w:pPr>
          </w:p>
        </w:tc>
        <w:tc>
          <w:tcPr>
            <w:tcW w:w="1134" w:type="dxa"/>
            <w:shd w:val="clear" w:color="auto" w:fill="EFF1F5"/>
          </w:tcPr>
          <w:p w14:paraId="6FEA39F3" w14:textId="77777777" w:rsidR="005330D3" w:rsidRPr="009E7CA0" w:rsidRDefault="005330D3" w:rsidP="00BB722F">
            <w:pPr>
              <w:pStyle w:val="TableTextLeft"/>
            </w:pPr>
          </w:p>
        </w:tc>
      </w:tr>
      <w:tr w:rsidR="0037380B" w:rsidRPr="009E7CA0" w14:paraId="6FF903E5" w14:textId="5AF660C6" w:rsidTr="00B96E7E">
        <w:trPr>
          <w:cantSplit/>
          <w:trHeight w:val="410"/>
        </w:trPr>
        <w:tc>
          <w:tcPr>
            <w:tcW w:w="795" w:type="dxa"/>
            <w:tcBorders>
              <w:top w:val="single" w:sz="4" w:space="0" w:color="5D779D" w:themeColor="accent3"/>
              <w:bottom w:val="single" w:sz="4" w:space="0" w:color="5D779D" w:themeColor="accent3"/>
            </w:tcBorders>
          </w:tcPr>
          <w:p w14:paraId="5A3523A2" w14:textId="77777777" w:rsidR="005330D3" w:rsidRPr="009E7CA0" w:rsidRDefault="005330D3" w:rsidP="0025748A">
            <w:pPr>
              <w:pStyle w:val="TableLeadAgency"/>
            </w:pPr>
            <w:r w:rsidRPr="009E7CA0">
              <w:lastRenderedPageBreak/>
              <w:t>APRA</w:t>
            </w:r>
          </w:p>
        </w:tc>
        <w:tc>
          <w:tcPr>
            <w:tcW w:w="1332" w:type="dxa"/>
            <w:tcBorders>
              <w:top w:val="single" w:sz="4" w:space="0" w:color="5D779D" w:themeColor="accent3"/>
              <w:bottom w:val="single" w:sz="4" w:space="0" w:color="5D779D" w:themeColor="accent3"/>
            </w:tcBorders>
          </w:tcPr>
          <w:p w14:paraId="43A4D332" w14:textId="77777777" w:rsidR="005330D3" w:rsidRPr="009E7CA0" w:rsidRDefault="005330D3" w:rsidP="0025748A">
            <w:pPr>
              <w:pStyle w:val="TableTextLeft"/>
            </w:pPr>
            <w:r w:rsidRPr="009E7CA0">
              <w:t>Banking, credit and lending</w:t>
            </w:r>
          </w:p>
          <w:p w14:paraId="2546FABC" w14:textId="77777777" w:rsidR="005330D3" w:rsidRPr="009E7CA0" w:rsidRDefault="005330D3" w:rsidP="0025748A">
            <w:pPr>
              <w:pStyle w:val="TableTextLeft"/>
            </w:pPr>
            <w:r w:rsidRPr="009E7CA0">
              <w:t>Superannuation and retirement income</w:t>
            </w:r>
          </w:p>
        </w:tc>
        <w:tc>
          <w:tcPr>
            <w:tcW w:w="3137" w:type="dxa"/>
            <w:tcBorders>
              <w:top w:val="single" w:sz="4" w:space="0" w:color="5D779D" w:themeColor="accent3"/>
              <w:bottom w:val="single" w:sz="4" w:space="0" w:color="5D779D" w:themeColor="accent3"/>
            </w:tcBorders>
          </w:tcPr>
          <w:p w14:paraId="2F0DC268" w14:textId="24E7B2F4" w:rsidR="005330D3" w:rsidRPr="009E7CA0" w:rsidRDefault="005330D3" w:rsidP="003E26DC">
            <w:pPr>
              <w:pStyle w:val="TableLink"/>
            </w:pPr>
            <w:r w:rsidRPr="009E7CA0">
              <w:rPr>
                <w:rStyle w:val="Hyperlink"/>
                <w:color w:val="5D779D" w:themeColor="accent3"/>
                <w:u w:val="single"/>
              </w:rPr>
              <w:t>System stress test</w:t>
            </w:r>
          </w:p>
          <w:p w14:paraId="3DE7EDE4" w14:textId="72947786" w:rsidR="005330D3" w:rsidRPr="009E7CA0" w:rsidRDefault="005330D3" w:rsidP="003E26DC">
            <w:pPr>
              <w:pStyle w:val="TableTextLeft"/>
            </w:pPr>
            <w:r w:rsidRPr="009E7CA0">
              <w:t>APRA will undertake a system stress test to understand resilience and risk across the financial system.</w:t>
            </w:r>
            <w:r w:rsidR="00380326" w:rsidRPr="009E7CA0">
              <w:t xml:space="preserve"> A summary of findings from Phase 1 was published in November 2025. APRA expects to publish a final detailed report of the findings, incorporating Phase 2 in mid</w:t>
            </w:r>
            <w:r w:rsidR="00A07098">
              <w:noBreakHyphen/>
            </w:r>
            <w:r w:rsidR="00380326" w:rsidRPr="009E7CA0">
              <w:t>2026.</w:t>
            </w:r>
          </w:p>
        </w:tc>
        <w:tc>
          <w:tcPr>
            <w:tcW w:w="1257" w:type="dxa"/>
            <w:tcBorders>
              <w:top w:val="single" w:sz="4" w:space="0" w:color="5D779D" w:themeColor="accent3"/>
              <w:bottom w:val="single" w:sz="4" w:space="0" w:color="5D779D" w:themeColor="accent3"/>
            </w:tcBorders>
            <w:shd w:val="clear" w:color="auto" w:fill="DFE4EB"/>
          </w:tcPr>
          <w:p w14:paraId="7843DF43" w14:textId="784E511C" w:rsidR="005330D3" w:rsidRPr="009E7CA0" w:rsidRDefault="005330D3" w:rsidP="003E26DC">
            <w:pPr>
              <w:pStyle w:val="TableTextLeft"/>
            </w:pPr>
            <w:r w:rsidRPr="009E7CA0">
              <w:t>Entity engagement</w:t>
            </w:r>
            <w:r w:rsidR="00636E8C" w:rsidRPr="009E7CA0">
              <w:t xml:space="preserve"> and final report </w:t>
            </w:r>
            <w:r w:rsidR="007125C7" w:rsidRPr="009E7CA0">
              <w:t xml:space="preserve">published. </w:t>
            </w:r>
          </w:p>
        </w:tc>
        <w:tc>
          <w:tcPr>
            <w:tcW w:w="1417" w:type="dxa"/>
            <w:tcBorders>
              <w:top w:val="single" w:sz="4" w:space="0" w:color="5D779D" w:themeColor="accent3"/>
              <w:bottom w:val="single" w:sz="4" w:space="0" w:color="5D779D" w:themeColor="accent3"/>
            </w:tcBorders>
            <w:shd w:val="clear" w:color="auto" w:fill="DFE4EB"/>
          </w:tcPr>
          <w:p w14:paraId="5ED8F68A" w14:textId="7AF8F184" w:rsidR="005330D3" w:rsidRPr="009E7CA0" w:rsidRDefault="005330D3" w:rsidP="0025748A">
            <w:pPr>
              <w:pStyle w:val="TableTextLeft"/>
            </w:pPr>
          </w:p>
        </w:tc>
        <w:tc>
          <w:tcPr>
            <w:tcW w:w="1559" w:type="dxa"/>
            <w:tcBorders>
              <w:top w:val="single" w:sz="4" w:space="0" w:color="5D779D" w:themeColor="accent3"/>
              <w:bottom w:val="single" w:sz="4" w:space="0" w:color="5D779D" w:themeColor="accent3"/>
            </w:tcBorders>
            <w:shd w:val="clear" w:color="auto" w:fill="DFE4EB"/>
          </w:tcPr>
          <w:p w14:paraId="4476E6DF" w14:textId="77777777" w:rsidR="005330D3" w:rsidRPr="009E7CA0" w:rsidRDefault="005330D3" w:rsidP="0025748A">
            <w:pPr>
              <w:pStyle w:val="TableTextLeft"/>
            </w:pPr>
          </w:p>
        </w:tc>
        <w:tc>
          <w:tcPr>
            <w:tcW w:w="934" w:type="dxa"/>
            <w:tcBorders>
              <w:top w:val="single" w:sz="4" w:space="0" w:color="5D779D" w:themeColor="accent3"/>
              <w:bottom w:val="single" w:sz="4" w:space="0" w:color="5D779D" w:themeColor="accent3"/>
            </w:tcBorders>
            <w:shd w:val="clear" w:color="auto" w:fill="EFF1F5"/>
          </w:tcPr>
          <w:p w14:paraId="2083D194" w14:textId="77777777" w:rsidR="005330D3" w:rsidRPr="009E7CA0" w:rsidRDefault="005330D3" w:rsidP="0025748A">
            <w:pPr>
              <w:pStyle w:val="TableTextLeft"/>
            </w:pPr>
          </w:p>
        </w:tc>
        <w:tc>
          <w:tcPr>
            <w:tcW w:w="1191" w:type="dxa"/>
            <w:tcBorders>
              <w:top w:val="single" w:sz="4" w:space="0" w:color="5D779D" w:themeColor="accent3"/>
              <w:bottom w:val="single" w:sz="4" w:space="0" w:color="5D779D" w:themeColor="accent3"/>
            </w:tcBorders>
            <w:shd w:val="clear" w:color="auto" w:fill="EFF1F5"/>
          </w:tcPr>
          <w:p w14:paraId="7C0BE910" w14:textId="77777777" w:rsidR="005330D3" w:rsidRPr="009E7CA0" w:rsidRDefault="005330D3" w:rsidP="0025748A">
            <w:pPr>
              <w:pStyle w:val="TableTextLeft"/>
            </w:pPr>
          </w:p>
        </w:tc>
        <w:tc>
          <w:tcPr>
            <w:tcW w:w="1247" w:type="dxa"/>
            <w:tcBorders>
              <w:top w:val="single" w:sz="4" w:space="0" w:color="5D779D" w:themeColor="accent3"/>
              <w:bottom w:val="single" w:sz="4" w:space="0" w:color="5D779D" w:themeColor="accent3"/>
            </w:tcBorders>
            <w:shd w:val="clear" w:color="auto" w:fill="EFF1F5"/>
          </w:tcPr>
          <w:p w14:paraId="2DAAE746" w14:textId="77777777" w:rsidR="005330D3" w:rsidRPr="009E7CA0" w:rsidRDefault="005330D3" w:rsidP="0025748A">
            <w:pPr>
              <w:pStyle w:val="TableTextLeft"/>
            </w:pPr>
          </w:p>
        </w:tc>
        <w:tc>
          <w:tcPr>
            <w:tcW w:w="1134" w:type="dxa"/>
            <w:tcBorders>
              <w:top w:val="single" w:sz="4" w:space="0" w:color="5D779D" w:themeColor="accent3"/>
              <w:bottom w:val="single" w:sz="4" w:space="0" w:color="5D779D" w:themeColor="accent3"/>
            </w:tcBorders>
            <w:shd w:val="clear" w:color="auto" w:fill="EFF1F5"/>
          </w:tcPr>
          <w:p w14:paraId="38EB7CD9" w14:textId="77777777" w:rsidR="005330D3" w:rsidRPr="009E7CA0" w:rsidRDefault="005330D3" w:rsidP="0025748A">
            <w:pPr>
              <w:pStyle w:val="TableTextLeft"/>
            </w:pPr>
          </w:p>
        </w:tc>
      </w:tr>
      <w:tr w:rsidR="0037380B" w:rsidRPr="009E7CA0" w14:paraId="3EB6B52B" w14:textId="5649C7C5" w:rsidTr="00B96E7E">
        <w:trPr>
          <w:cantSplit/>
          <w:trHeight w:val="410"/>
        </w:trPr>
        <w:tc>
          <w:tcPr>
            <w:tcW w:w="795" w:type="dxa"/>
            <w:tcBorders>
              <w:bottom w:val="single" w:sz="4" w:space="0" w:color="5D779D" w:themeColor="accent3"/>
            </w:tcBorders>
          </w:tcPr>
          <w:p w14:paraId="3D249D8B" w14:textId="77777777" w:rsidR="005330D3" w:rsidRPr="009E7CA0" w:rsidRDefault="005330D3" w:rsidP="00F30D3C">
            <w:pPr>
              <w:pStyle w:val="TableLeadAgency"/>
            </w:pPr>
            <w:r w:rsidRPr="009E7CA0">
              <w:t>ASIC</w:t>
            </w:r>
          </w:p>
        </w:tc>
        <w:tc>
          <w:tcPr>
            <w:tcW w:w="1332" w:type="dxa"/>
            <w:tcBorders>
              <w:bottom w:val="single" w:sz="4" w:space="0" w:color="5D779D" w:themeColor="accent3"/>
            </w:tcBorders>
          </w:tcPr>
          <w:p w14:paraId="40BCA1AE" w14:textId="77777777" w:rsidR="005330D3" w:rsidRPr="009E7CA0" w:rsidRDefault="005330D3" w:rsidP="00F30D3C">
            <w:pPr>
              <w:pStyle w:val="TableTextLeft"/>
            </w:pPr>
            <w:r w:rsidRPr="009E7CA0">
              <w:t>Superannuation and retirement income</w:t>
            </w:r>
          </w:p>
        </w:tc>
        <w:tc>
          <w:tcPr>
            <w:tcW w:w="3137" w:type="dxa"/>
            <w:tcBorders>
              <w:bottom w:val="single" w:sz="4" w:space="0" w:color="5D779D" w:themeColor="accent3"/>
            </w:tcBorders>
          </w:tcPr>
          <w:p w14:paraId="1F93754B" w14:textId="644BEE99" w:rsidR="005330D3" w:rsidRPr="009E7CA0" w:rsidRDefault="005330D3" w:rsidP="001B1F27">
            <w:pPr>
              <w:pStyle w:val="TableLink"/>
            </w:pPr>
            <w:hyperlink r:id="rId99" w:history="1">
              <w:r w:rsidRPr="009E7CA0">
                <w:rPr>
                  <w:rStyle w:val="Hyperlink"/>
                  <w:color w:val="5D779D" w:themeColor="accent3"/>
                  <w:u w:val="single"/>
                </w:rPr>
                <w:t>Update of ASIC Regulatory Guidance – Financial reporting obligations</w:t>
              </w:r>
            </w:hyperlink>
          </w:p>
          <w:p w14:paraId="770772FE" w14:textId="0346EB6D" w:rsidR="005330D3" w:rsidRPr="009E7CA0" w:rsidRDefault="005330D3" w:rsidP="008051EF">
            <w:pPr>
              <w:pStyle w:val="TableTextLeft"/>
            </w:pPr>
            <w:r w:rsidRPr="009E7CA0">
              <w:t xml:space="preserve">ASIC will update its Regulatory Guides on financial reporting obligations to include registrable superannuation entities, including Regulatory Guide 43 </w:t>
            </w:r>
            <w:r w:rsidRPr="009E7CA0">
              <w:rPr>
                <w:i/>
                <w:iCs/>
              </w:rPr>
              <w:t>Financial reports and audit relief</w:t>
            </w:r>
            <w:r w:rsidRPr="009E7CA0">
              <w:t>.</w:t>
            </w:r>
          </w:p>
        </w:tc>
        <w:tc>
          <w:tcPr>
            <w:tcW w:w="1257" w:type="dxa"/>
            <w:tcBorders>
              <w:bottom w:val="single" w:sz="4" w:space="0" w:color="5D779D" w:themeColor="accent3"/>
            </w:tcBorders>
            <w:shd w:val="clear" w:color="auto" w:fill="DFE4EB"/>
          </w:tcPr>
          <w:p w14:paraId="16C12CC5" w14:textId="5606E350" w:rsidR="005330D3" w:rsidRPr="009E7CA0" w:rsidRDefault="00C51F0D" w:rsidP="003E26DC">
            <w:pPr>
              <w:pStyle w:val="TableTextLeft"/>
            </w:pPr>
            <w:r w:rsidRPr="009E7CA0">
              <w:t>Updated guidance published</w:t>
            </w:r>
            <w:r w:rsidR="007125C7" w:rsidRPr="009E7CA0">
              <w:t>.*</w:t>
            </w:r>
          </w:p>
        </w:tc>
        <w:tc>
          <w:tcPr>
            <w:tcW w:w="1417" w:type="dxa"/>
            <w:tcBorders>
              <w:bottom w:val="single" w:sz="4" w:space="0" w:color="5D779D" w:themeColor="accent3"/>
            </w:tcBorders>
            <w:shd w:val="clear" w:color="auto" w:fill="DFE4EB"/>
          </w:tcPr>
          <w:p w14:paraId="0BDF44C8" w14:textId="680CFBDC" w:rsidR="005330D3" w:rsidRPr="009E7CA0" w:rsidRDefault="005330D3" w:rsidP="00F30D3C">
            <w:pPr>
              <w:pStyle w:val="TableTextLeft"/>
            </w:pPr>
          </w:p>
        </w:tc>
        <w:tc>
          <w:tcPr>
            <w:tcW w:w="1559" w:type="dxa"/>
            <w:tcBorders>
              <w:bottom w:val="single" w:sz="4" w:space="0" w:color="5D779D" w:themeColor="accent3"/>
            </w:tcBorders>
            <w:shd w:val="clear" w:color="auto" w:fill="DFE4EB"/>
          </w:tcPr>
          <w:p w14:paraId="0F5E5D83" w14:textId="77777777" w:rsidR="005330D3" w:rsidRPr="009E7CA0" w:rsidRDefault="005330D3" w:rsidP="00F30D3C">
            <w:pPr>
              <w:pStyle w:val="TableTextLeft"/>
            </w:pPr>
          </w:p>
        </w:tc>
        <w:tc>
          <w:tcPr>
            <w:tcW w:w="934" w:type="dxa"/>
            <w:tcBorders>
              <w:bottom w:val="single" w:sz="4" w:space="0" w:color="5D779D" w:themeColor="accent3"/>
            </w:tcBorders>
            <w:shd w:val="clear" w:color="auto" w:fill="EFF1F5"/>
          </w:tcPr>
          <w:p w14:paraId="32362E8D" w14:textId="77777777" w:rsidR="005330D3" w:rsidRPr="009E7CA0" w:rsidRDefault="005330D3" w:rsidP="00F30D3C">
            <w:pPr>
              <w:pStyle w:val="TableTextLeft"/>
            </w:pPr>
          </w:p>
        </w:tc>
        <w:tc>
          <w:tcPr>
            <w:tcW w:w="1191" w:type="dxa"/>
            <w:tcBorders>
              <w:bottom w:val="single" w:sz="4" w:space="0" w:color="5D779D" w:themeColor="accent3"/>
            </w:tcBorders>
            <w:shd w:val="clear" w:color="auto" w:fill="EFF1F5"/>
          </w:tcPr>
          <w:p w14:paraId="63A4A765" w14:textId="77777777" w:rsidR="005330D3" w:rsidRPr="009E7CA0" w:rsidRDefault="005330D3" w:rsidP="00F30D3C">
            <w:pPr>
              <w:pStyle w:val="TableTextLeft"/>
            </w:pPr>
          </w:p>
        </w:tc>
        <w:tc>
          <w:tcPr>
            <w:tcW w:w="1247" w:type="dxa"/>
            <w:tcBorders>
              <w:bottom w:val="single" w:sz="4" w:space="0" w:color="5D779D" w:themeColor="accent3"/>
            </w:tcBorders>
            <w:shd w:val="clear" w:color="auto" w:fill="EFF1F5"/>
          </w:tcPr>
          <w:p w14:paraId="7EC6374F" w14:textId="77777777" w:rsidR="005330D3" w:rsidRPr="009E7CA0" w:rsidRDefault="005330D3" w:rsidP="00F30D3C">
            <w:pPr>
              <w:pStyle w:val="TableTextLeft"/>
            </w:pPr>
          </w:p>
        </w:tc>
        <w:tc>
          <w:tcPr>
            <w:tcW w:w="1134" w:type="dxa"/>
            <w:tcBorders>
              <w:bottom w:val="single" w:sz="4" w:space="0" w:color="5D779D" w:themeColor="accent3"/>
            </w:tcBorders>
            <w:shd w:val="clear" w:color="auto" w:fill="EFF1F5"/>
          </w:tcPr>
          <w:p w14:paraId="6781C753" w14:textId="77777777" w:rsidR="005330D3" w:rsidRPr="009E7CA0" w:rsidRDefault="005330D3" w:rsidP="00F30D3C">
            <w:pPr>
              <w:pStyle w:val="TableTextLeft"/>
            </w:pPr>
          </w:p>
        </w:tc>
      </w:tr>
      <w:tr w:rsidR="0037380B" w:rsidRPr="009E7CA0" w14:paraId="4B77FCDF" w14:textId="5B5AA437" w:rsidTr="00B96E7E">
        <w:trPr>
          <w:cantSplit/>
          <w:trHeight w:val="410"/>
        </w:trPr>
        <w:tc>
          <w:tcPr>
            <w:tcW w:w="795" w:type="dxa"/>
          </w:tcPr>
          <w:p w14:paraId="58B617D9" w14:textId="77777777" w:rsidR="005330D3" w:rsidRPr="009E7CA0" w:rsidRDefault="005330D3" w:rsidP="00F30D3C">
            <w:pPr>
              <w:pStyle w:val="TableLeadAgency"/>
            </w:pPr>
            <w:r w:rsidRPr="009E7CA0">
              <w:rPr>
                <w:lang w:val="en-US" w:eastAsia="ja-JP"/>
              </w:rPr>
              <w:t>ASIC</w:t>
            </w:r>
          </w:p>
        </w:tc>
        <w:tc>
          <w:tcPr>
            <w:tcW w:w="1332" w:type="dxa"/>
          </w:tcPr>
          <w:p w14:paraId="5CBDC270" w14:textId="77777777" w:rsidR="005330D3" w:rsidRPr="009E7CA0" w:rsidRDefault="005330D3" w:rsidP="00F30D3C">
            <w:pPr>
              <w:pStyle w:val="TableTextLeft"/>
            </w:pPr>
            <w:r w:rsidRPr="009E7CA0">
              <w:rPr>
                <w:lang w:val="en-US" w:eastAsia="ja-JP"/>
              </w:rPr>
              <w:t>Financial Markets</w:t>
            </w:r>
          </w:p>
        </w:tc>
        <w:tc>
          <w:tcPr>
            <w:tcW w:w="3137" w:type="dxa"/>
          </w:tcPr>
          <w:p w14:paraId="76D91E06" w14:textId="60026B4E" w:rsidR="005330D3" w:rsidRPr="009E7CA0" w:rsidRDefault="005330D3" w:rsidP="003E26DC">
            <w:pPr>
              <w:pStyle w:val="TableLink"/>
            </w:pPr>
            <w:r w:rsidRPr="009E7CA0">
              <w:rPr>
                <w:rStyle w:val="Hyperlink"/>
                <w:color w:val="5D779D" w:themeColor="accent3"/>
                <w:u w:val="single"/>
              </w:rPr>
              <w:t xml:space="preserve">Update of Regulatory Guide 254 </w:t>
            </w:r>
            <w:r w:rsidRPr="009E7CA0">
              <w:t>Offering securities under a disclosure document</w:t>
            </w:r>
          </w:p>
          <w:p w14:paraId="0261B622" w14:textId="1460E4BA" w:rsidR="005330D3" w:rsidRPr="009E7CA0" w:rsidRDefault="005330D3" w:rsidP="008051EF">
            <w:pPr>
              <w:pStyle w:val="TableTextLeft"/>
              <w:rPr>
                <w:b/>
                <w:szCs w:val="16"/>
                <w:lang w:val="en-US" w:eastAsia="ja-JP"/>
              </w:rPr>
            </w:pPr>
            <w:r w:rsidRPr="009E7CA0">
              <w:rPr>
                <w:lang w:val="en-US" w:eastAsia="ja-JP"/>
              </w:rPr>
              <w:t xml:space="preserve">ASIC will update its Regulatory Guide 254 </w:t>
            </w:r>
            <w:r w:rsidRPr="009E7CA0">
              <w:rPr>
                <w:i/>
                <w:iCs/>
                <w:lang w:val="en-US" w:eastAsia="ja-JP"/>
              </w:rPr>
              <w:t xml:space="preserve">Offering securities under a disclosure document </w:t>
            </w:r>
            <w:r w:rsidRPr="009E7CA0">
              <w:rPr>
                <w:lang w:val="en-US" w:eastAsia="ja-JP"/>
              </w:rPr>
              <w:t>to reflect the relevant sunsetting instruments that will be remade to assist with the procedural aspects of preparing and lodging a disclosure document under Ch</w:t>
            </w:r>
            <w:r w:rsidR="008F528E" w:rsidRPr="009E7CA0">
              <w:rPr>
                <w:lang w:val="en-US" w:eastAsia="ja-JP"/>
              </w:rPr>
              <w:t>apter</w:t>
            </w:r>
            <w:r w:rsidRPr="009E7CA0">
              <w:rPr>
                <w:lang w:val="en-US" w:eastAsia="ja-JP"/>
              </w:rPr>
              <w:t xml:space="preserve"> 6D of the Corporations Act 2001. </w:t>
            </w:r>
          </w:p>
        </w:tc>
        <w:tc>
          <w:tcPr>
            <w:tcW w:w="1257" w:type="dxa"/>
            <w:shd w:val="clear" w:color="auto" w:fill="DFE4EB"/>
          </w:tcPr>
          <w:p w14:paraId="5F8CA826" w14:textId="1C8F7A1A" w:rsidR="005330D3" w:rsidRPr="009E7CA0" w:rsidDel="005C4CE7" w:rsidRDefault="009C72EC" w:rsidP="003E26DC">
            <w:pPr>
              <w:pStyle w:val="TableTextLeft"/>
            </w:pPr>
            <w:r w:rsidRPr="009E7CA0">
              <w:t>Updated guidance published</w:t>
            </w:r>
            <w:r w:rsidR="00A07098">
              <w:t>.</w:t>
            </w:r>
            <w:r w:rsidR="008C09D4" w:rsidRPr="009E7CA0">
              <w:t>^</w:t>
            </w:r>
          </w:p>
        </w:tc>
        <w:tc>
          <w:tcPr>
            <w:tcW w:w="1417" w:type="dxa"/>
            <w:shd w:val="clear" w:color="auto" w:fill="DFE4EB"/>
          </w:tcPr>
          <w:p w14:paraId="321BB4B0" w14:textId="048B9A2E" w:rsidR="005330D3" w:rsidRPr="009E7CA0" w:rsidRDefault="005330D3" w:rsidP="00F30D3C">
            <w:pPr>
              <w:pStyle w:val="TableTextLeft"/>
            </w:pPr>
          </w:p>
        </w:tc>
        <w:tc>
          <w:tcPr>
            <w:tcW w:w="1559" w:type="dxa"/>
            <w:shd w:val="clear" w:color="auto" w:fill="DFE4EB"/>
          </w:tcPr>
          <w:p w14:paraId="6BEF9994" w14:textId="77777777" w:rsidR="005330D3" w:rsidRPr="009E7CA0" w:rsidDel="005C4CE7" w:rsidRDefault="005330D3" w:rsidP="00F30D3C">
            <w:pPr>
              <w:pStyle w:val="TableTextLeft"/>
            </w:pPr>
          </w:p>
        </w:tc>
        <w:tc>
          <w:tcPr>
            <w:tcW w:w="934" w:type="dxa"/>
            <w:shd w:val="clear" w:color="auto" w:fill="EFF1F5"/>
          </w:tcPr>
          <w:p w14:paraId="61E3B435" w14:textId="77777777" w:rsidR="005330D3" w:rsidRPr="009E7CA0" w:rsidRDefault="005330D3" w:rsidP="00F30D3C">
            <w:pPr>
              <w:pStyle w:val="TableTextLeft"/>
            </w:pPr>
          </w:p>
        </w:tc>
        <w:tc>
          <w:tcPr>
            <w:tcW w:w="1191" w:type="dxa"/>
            <w:shd w:val="clear" w:color="auto" w:fill="EFF1F5"/>
          </w:tcPr>
          <w:p w14:paraId="77852F64" w14:textId="77777777" w:rsidR="005330D3" w:rsidRPr="009E7CA0" w:rsidRDefault="005330D3" w:rsidP="00F30D3C">
            <w:pPr>
              <w:pStyle w:val="TableTextLeft"/>
            </w:pPr>
          </w:p>
        </w:tc>
        <w:tc>
          <w:tcPr>
            <w:tcW w:w="1247" w:type="dxa"/>
            <w:shd w:val="clear" w:color="auto" w:fill="EFF1F5"/>
          </w:tcPr>
          <w:p w14:paraId="32FC1162" w14:textId="77777777" w:rsidR="005330D3" w:rsidRPr="009E7CA0" w:rsidRDefault="005330D3" w:rsidP="00F30D3C">
            <w:pPr>
              <w:pStyle w:val="TableTextLeft"/>
            </w:pPr>
          </w:p>
        </w:tc>
        <w:tc>
          <w:tcPr>
            <w:tcW w:w="1134" w:type="dxa"/>
            <w:shd w:val="clear" w:color="auto" w:fill="EFF1F5"/>
          </w:tcPr>
          <w:p w14:paraId="3F5AAA19" w14:textId="77777777" w:rsidR="005330D3" w:rsidRPr="009E7CA0" w:rsidRDefault="005330D3" w:rsidP="00F30D3C">
            <w:pPr>
              <w:pStyle w:val="TableTextLeft"/>
            </w:pPr>
          </w:p>
        </w:tc>
      </w:tr>
      <w:tr w:rsidR="0037380B" w:rsidRPr="009E7CA0" w14:paraId="562A493A" w14:textId="7B7EBB4E" w:rsidTr="00B96E7E">
        <w:trPr>
          <w:cantSplit/>
          <w:trHeight w:val="410"/>
        </w:trPr>
        <w:tc>
          <w:tcPr>
            <w:tcW w:w="795" w:type="dxa"/>
          </w:tcPr>
          <w:p w14:paraId="552CE66E" w14:textId="77777777" w:rsidR="005330D3" w:rsidRPr="009E7CA0" w:rsidRDefault="005330D3" w:rsidP="0025748A">
            <w:pPr>
              <w:pStyle w:val="TableLeadAgency"/>
            </w:pPr>
            <w:r w:rsidRPr="009E7CA0">
              <w:rPr>
                <w:lang w:eastAsia="en-US"/>
              </w:rPr>
              <w:lastRenderedPageBreak/>
              <w:t>ASIC</w:t>
            </w:r>
          </w:p>
        </w:tc>
        <w:tc>
          <w:tcPr>
            <w:tcW w:w="1332" w:type="dxa"/>
          </w:tcPr>
          <w:p w14:paraId="3690E79F" w14:textId="77777777" w:rsidR="005330D3" w:rsidRPr="009E7CA0" w:rsidRDefault="005330D3" w:rsidP="0025748A">
            <w:pPr>
              <w:pStyle w:val="TableTextLeft"/>
            </w:pPr>
            <w:r w:rsidRPr="009E7CA0">
              <w:rPr>
                <w:lang w:eastAsia="en-US"/>
              </w:rPr>
              <w:t>All</w:t>
            </w:r>
          </w:p>
        </w:tc>
        <w:tc>
          <w:tcPr>
            <w:tcW w:w="3137" w:type="dxa"/>
          </w:tcPr>
          <w:p w14:paraId="70129A8C" w14:textId="77777777" w:rsidR="005330D3" w:rsidRPr="009E7CA0" w:rsidRDefault="005330D3" w:rsidP="007D0F9B">
            <w:pPr>
              <w:pStyle w:val="TableLink"/>
              <w:rPr>
                <w:rStyle w:val="Hyperlink"/>
                <w:color w:val="5D779D" w:themeColor="accent3"/>
                <w:u w:val="single"/>
              </w:rPr>
            </w:pPr>
            <w:r w:rsidRPr="009E7CA0">
              <w:rPr>
                <w:rStyle w:val="Hyperlink"/>
                <w:color w:val="5D779D" w:themeColor="accent3"/>
                <w:u w:val="single"/>
              </w:rPr>
              <w:t xml:space="preserve">Update of Regulatory Guide 53 </w:t>
            </w:r>
            <w:r w:rsidRPr="009E7CA0">
              <w:t>The use of past performance in promotional material and Regulatory Guide 234 Advertising financial products and services (including credit</w:t>
            </w:r>
            <w:r w:rsidRPr="009E7CA0">
              <w:rPr>
                <w:rStyle w:val="Hyperlink"/>
                <w:color w:val="5D779D" w:themeColor="accent3"/>
                <w:u w:val="single"/>
              </w:rPr>
              <w:t xml:space="preserve">) </w:t>
            </w:r>
          </w:p>
          <w:p w14:paraId="14BFDA42" w14:textId="297281FB" w:rsidR="005330D3" w:rsidRPr="009E7CA0" w:rsidRDefault="005330D3" w:rsidP="007D0F9B">
            <w:pPr>
              <w:pStyle w:val="TableTextLeft"/>
              <w:rPr>
                <w:lang w:eastAsia="en-US"/>
              </w:rPr>
            </w:pPr>
            <w:r w:rsidRPr="009E7CA0">
              <w:rPr>
                <w:lang w:eastAsia="en-US"/>
              </w:rPr>
              <w:t xml:space="preserve">ASIC </w:t>
            </w:r>
            <w:r w:rsidRPr="009E7CA0">
              <w:t>will</w:t>
            </w:r>
            <w:r w:rsidRPr="009E7CA0">
              <w:rPr>
                <w:lang w:eastAsia="en-US"/>
              </w:rPr>
              <w:t xml:space="preserve"> update 2 disclosure</w:t>
            </w:r>
            <w:r w:rsidR="006A0EAA" w:rsidRPr="009E7CA0">
              <w:rPr>
                <w:lang w:eastAsia="en-US"/>
              </w:rPr>
              <w:t>-</w:t>
            </w:r>
            <w:r w:rsidRPr="009E7CA0">
              <w:rPr>
                <w:lang w:eastAsia="en-US"/>
              </w:rPr>
              <w:t>related guidance documents, following consultation:</w:t>
            </w:r>
          </w:p>
          <w:p w14:paraId="1F24D0F3" w14:textId="77777777" w:rsidR="005330D3" w:rsidRPr="009E7CA0" w:rsidRDefault="005330D3" w:rsidP="007D0F9B">
            <w:pPr>
              <w:pStyle w:val="TableTextLeft"/>
              <w:rPr>
                <w:lang w:eastAsia="en-US"/>
              </w:rPr>
            </w:pPr>
            <w:r w:rsidRPr="009E7CA0">
              <w:rPr>
                <w:lang w:eastAsia="en-US"/>
              </w:rPr>
              <w:t xml:space="preserve">Regulatory Guide 53 The use of past performance in promotional material </w:t>
            </w:r>
          </w:p>
          <w:p w14:paraId="6270ABE1" w14:textId="77777777" w:rsidR="005330D3" w:rsidRPr="009E7CA0" w:rsidRDefault="005330D3" w:rsidP="007D0F9B">
            <w:pPr>
              <w:pStyle w:val="TableTextLeft"/>
              <w:rPr>
                <w:lang w:eastAsia="en-US"/>
              </w:rPr>
            </w:pPr>
            <w:r w:rsidRPr="009E7CA0">
              <w:rPr>
                <w:lang w:eastAsia="en-US"/>
              </w:rPr>
              <w:t>Regulatory Guide 234 Advertising financial products and services (including credit): Good practice guidance.</w:t>
            </w:r>
          </w:p>
        </w:tc>
        <w:tc>
          <w:tcPr>
            <w:tcW w:w="1257" w:type="dxa"/>
            <w:shd w:val="clear" w:color="auto" w:fill="DFE4EB"/>
          </w:tcPr>
          <w:p w14:paraId="39BE934D" w14:textId="5535E9B6" w:rsidR="005330D3" w:rsidRPr="009E7CA0" w:rsidDel="00B43AD7" w:rsidRDefault="005330D3" w:rsidP="00753D22">
            <w:pPr>
              <w:pStyle w:val="TableTextLeft"/>
            </w:pPr>
            <w:r w:rsidRPr="009E7CA0">
              <w:rPr>
                <w:lang w:eastAsia="en-US"/>
              </w:rPr>
              <w:t xml:space="preserve">Updated guidance </w:t>
            </w:r>
            <w:r w:rsidRPr="009E7CA0">
              <w:t>published</w:t>
            </w:r>
            <w:r w:rsidR="00A07098">
              <w:t>.</w:t>
            </w:r>
          </w:p>
        </w:tc>
        <w:tc>
          <w:tcPr>
            <w:tcW w:w="1417" w:type="dxa"/>
            <w:shd w:val="clear" w:color="auto" w:fill="DFE4EB"/>
          </w:tcPr>
          <w:p w14:paraId="5F25C81D" w14:textId="68E819D7" w:rsidR="005330D3" w:rsidRPr="009E7CA0" w:rsidRDefault="005330D3" w:rsidP="0025748A">
            <w:pPr>
              <w:pStyle w:val="TableTextLeft"/>
            </w:pPr>
          </w:p>
        </w:tc>
        <w:tc>
          <w:tcPr>
            <w:tcW w:w="1559" w:type="dxa"/>
            <w:shd w:val="clear" w:color="auto" w:fill="DFE4EB"/>
          </w:tcPr>
          <w:p w14:paraId="477AE3E4" w14:textId="77777777" w:rsidR="005330D3" w:rsidRPr="009E7CA0" w:rsidRDefault="005330D3" w:rsidP="0025748A">
            <w:pPr>
              <w:pStyle w:val="TableTextLeft"/>
            </w:pPr>
          </w:p>
        </w:tc>
        <w:tc>
          <w:tcPr>
            <w:tcW w:w="934" w:type="dxa"/>
            <w:shd w:val="clear" w:color="auto" w:fill="EFF1F5"/>
          </w:tcPr>
          <w:p w14:paraId="5085761F" w14:textId="77777777" w:rsidR="005330D3" w:rsidRPr="009E7CA0" w:rsidRDefault="005330D3" w:rsidP="0025748A">
            <w:pPr>
              <w:pStyle w:val="TableTextLeft"/>
            </w:pPr>
          </w:p>
        </w:tc>
        <w:tc>
          <w:tcPr>
            <w:tcW w:w="1191" w:type="dxa"/>
            <w:shd w:val="clear" w:color="auto" w:fill="EFF1F5"/>
          </w:tcPr>
          <w:p w14:paraId="2B116A5D" w14:textId="77777777" w:rsidR="005330D3" w:rsidRPr="009E7CA0" w:rsidRDefault="005330D3" w:rsidP="0025748A">
            <w:pPr>
              <w:pStyle w:val="TableTextLeft"/>
            </w:pPr>
          </w:p>
        </w:tc>
        <w:tc>
          <w:tcPr>
            <w:tcW w:w="1247" w:type="dxa"/>
            <w:shd w:val="clear" w:color="auto" w:fill="EFF1F5"/>
          </w:tcPr>
          <w:p w14:paraId="3DB51E4C" w14:textId="77777777" w:rsidR="005330D3" w:rsidRPr="009E7CA0" w:rsidRDefault="005330D3" w:rsidP="0025748A">
            <w:pPr>
              <w:pStyle w:val="TableTextLeft"/>
            </w:pPr>
          </w:p>
        </w:tc>
        <w:tc>
          <w:tcPr>
            <w:tcW w:w="1134" w:type="dxa"/>
            <w:shd w:val="clear" w:color="auto" w:fill="EFF1F5"/>
          </w:tcPr>
          <w:p w14:paraId="47E4A8AE" w14:textId="77777777" w:rsidR="005330D3" w:rsidRPr="009E7CA0" w:rsidRDefault="005330D3" w:rsidP="0025748A">
            <w:pPr>
              <w:pStyle w:val="TableTextLeft"/>
            </w:pPr>
          </w:p>
        </w:tc>
      </w:tr>
      <w:tr w:rsidR="00487290" w:rsidRPr="009E7CA0" w14:paraId="43D9C171" w14:textId="77777777" w:rsidTr="00B96E7E">
        <w:trPr>
          <w:cantSplit/>
          <w:trHeight w:val="410"/>
        </w:trPr>
        <w:tc>
          <w:tcPr>
            <w:tcW w:w="795" w:type="dxa"/>
          </w:tcPr>
          <w:p w14:paraId="5E9DE614" w14:textId="77777777" w:rsidR="001D4112" w:rsidRPr="009E7CA0" w:rsidRDefault="001D4112" w:rsidP="00753D22">
            <w:pPr>
              <w:pStyle w:val="TableLeadAgency"/>
            </w:pPr>
            <w:r w:rsidRPr="009E7CA0">
              <w:lastRenderedPageBreak/>
              <w:t>TSY</w:t>
            </w:r>
          </w:p>
          <w:p w14:paraId="0B475133" w14:textId="6A907CE8" w:rsidR="001D4112" w:rsidRPr="009E7CA0" w:rsidRDefault="001D4112" w:rsidP="00753D22">
            <w:pPr>
              <w:pStyle w:val="TableSecondaryAgency"/>
              <w:rPr>
                <w:lang w:eastAsia="en-US"/>
              </w:rPr>
            </w:pPr>
            <w:r w:rsidRPr="009E7CA0" w:rsidDel="000D593D">
              <w:t>ASIC</w:t>
            </w:r>
          </w:p>
        </w:tc>
        <w:tc>
          <w:tcPr>
            <w:tcW w:w="1332" w:type="dxa"/>
          </w:tcPr>
          <w:p w14:paraId="4A02D99C" w14:textId="4414C2D9" w:rsidR="001D4112" w:rsidRPr="009E7CA0" w:rsidRDefault="001D4112" w:rsidP="001D4112">
            <w:pPr>
              <w:pStyle w:val="TableTextLeft"/>
              <w:rPr>
                <w:color w:val="auto"/>
              </w:rPr>
            </w:pPr>
            <w:r w:rsidRPr="009E7CA0">
              <w:rPr>
                <w:color w:val="auto"/>
              </w:rPr>
              <w:t>Financial markets</w:t>
            </w:r>
          </w:p>
        </w:tc>
        <w:tc>
          <w:tcPr>
            <w:tcW w:w="3137" w:type="dxa"/>
          </w:tcPr>
          <w:p w14:paraId="6B83CE41" w14:textId="77777777" w:rsidR="001D4112" w:rsidRPr="009E7CA0" w:rsidRDefault="001D4112" w:rsidP="004E19C7">
            <w:pPr>
              <w:pStyle w:val="TableLink"/>
              <w:rPr>
                <w:color w:val="auto"/>
                <w:u w:val="none"/>
                <w:lang w:eastAsia="ja-JP"/>
              </w:rPr>
            </w:pPr>
            <w:hyperlink r:id="rId100" w:history="1">
              <w:r w:rsidRPr="009E7CA0">
                <w:rPr>
                  <w:lang w:eastAsia="ja-JP"/>
                </w:rPr>
                <w:t>Enhanced beneficial ownership disclosure for listed entities</w:t>
              </w:r>
            </w:hyperlink>
            <w:r w:rsidRPr="009E7CA0">
              <w:rPr>
                <w:lang w:eastAsia="ja-JP"/>
              </w:rPr>
              <w:t xml:space="preserve"> </w:t>
            </w:r>
          </w:p>
          <w:p w14:paraId="3A8C8222" w14:textId="30F8688D" w:rsidR="001D4112" w:rsidRPr="009E7CA0" w:rsidRDefault="00BE175F" w:rsidP="00753D22">
            <w:pPr>
              <w:pStyle w:val="TableTextLeft"/>
            </w:pPr>
            <w:r w:rsidRPr="009E7CA0">
              <w:t>Legislation to</w:t>
            </w:r>
            <w:r w:rsidR="001D4112" w:rsidRPr="009E7CA0">
              <w:t xml:space="preserve"> strengthen the substantial holding and tracing notice regimes under the Corporations Act 2001</w:t>
            </w:r>
            <w:r w:rsidR="00B4549C">
              <w:t xml:space="preserve"> have</w:t>
            </w:r>
            <w:r w:rsidR="002D7DCA" w:rsidRPr="009E7CA0">
              <w:t xml:space="preserve"> </w:t>
            </w:r>
            <w:r w:rsidR="00845996" w:rsidRPr="009E7CA0">
              <w:t xml:space="preserve">received </w:t>
            </w:r>
            <w:r w:rsidR="00B24C59" w:rsidRPr="009E7CA0">
              <w:t>Royal Assent</w:t>
            </w:r>
            <w:r w:rsidR="002D7DCA" w:rsidRPr="009E7CA0">
              <w:t xml:space="preserve"> and will </w:t>
            </w:r>
            <w:r w:rsidR="00B24C59" w:rsidRPr="009E7CA0">
              <w:t xml:space="preserve">commence on </w:t>
            </w:r>
            <w:r w:rsidR="006F5697" w:rsidRPr="009E7CA0">
              <w:t>4 December 2026</w:t>
            </w:r>
            <w:r w:rsidR="001D4112" w:rsidRPr="009E7CA0">
              <w:t xml:space="preserve">. Enhancements include extending substantial holding disclosures to cover </w:t>
            </w:r>
            <w:r w:rsidR="0055238A" w:rsidRPr="009E7CA0">
              <w:t>additional</w:t>
            </w:r>
            <w:r w:rsidR="001D4112" w:rsidRPr="009E7CA0">
              <w:t xml:space="preserve"> interests arising from equity derivatives, facilitating simpler disclosures, bringing certain foreign entities into scope </w:t>
            </w:r>
            <w:r w:rsidR="009E6444" w:rsidRPr="009E7CA0">
              <w:t>of the</w:t>
            </w:r>
            <w:r w:rsidR="00FC6514" w:rsidRPr="009E7CA0">
              <w:t xml:space="preserve"> disclosure</w:t>
            </w:r>
            <w:r w:rsidR="009E6444" w:rsidRPr="009E7CA0">
              <w:t xml:space="preserve"> regime</w:t>
            </w:r>
            <w:r w:rsidR="00D14CDB" w:rsidRPr="009E7CA0">
              <w:t>,</w:t>
            </w:r>
            <w:r w:rsidR="001D4112" w:rsidRPr="009E7CA0">
              <w:t xml:space="preserve"> improving ASIC’s enforcement toolkit</w:t>
            </w:r>
            <w:r w:rsidR="00D14CDB" w:rsidRPr="009E7CA0">
              <w:t xml:space="preserve"> and increasing penalties</w:t>
            </w:r>
            <w:r w:rsidR="001D4112" w:rsidRPr="009E7CA0">
              <w:t xml:space="preserve">. </w:t>
            </w:r>
          </w:p>
          <w:p w14:paraId="0DB87776" w14:textId="3120C775" w:rsidR="007C7664" w:rsidRPr="009E7CA0" w:rsidRDefault="001D4112" w:rsidP="007C7664">
            <w:pPr>
              <w:pStyle w:val="TableTextLeft"/>
              <w:rPr>
                <w:bCs/>
                <w:color w:val="auto"/>
              </w:rPr>
            </w:pPr>
            <w:r w:rsidRPr="009E7CA0">
              <w:rPr>
                <w:bCs/>
                <w:color w:val="auto"/>
              </w:rPr>
              <w:t xml:space="preserve">ASIC </w:t>
            </w:r>
            <w:r w:rsidR="005007D4" w:rsidRPr="009E7CA0">
              <w:rPr>
                <w:bCs/>
                <w:color w:val="auto"/>
              </w:rPr>
              <w:t xml:space="preserve">is consulting </w:t>
            </w:r>
            <w:r w:rsidR="001C24DC" w:rsidRPr="009E7CA0">
              <w:rPr>
                <w:bCs/>
                <w:color w:val="auto"/>
              </w:rPr>
              <w:t xml:space="preserve">on </w:t>
            </w:r>
            <w:r w:rsidRPr="009E7CA0">
              <w:rPr>
                <w:bCs/>
                <w:color w:val="auto"/>
              </w:rPr>
              <w:t xml:space="preserve">updated regulatory guidance and legislative instruments </w:t>
            </w:r>
            <w:r w:rsidR="00755D9D" w:rsidRPr="009E7CA0">
              <w:rPr>
                <w:bCs/>
                <w:color w:val="auto"/>
              </w:rPr>
              <w:t xml:space="preserve">in preparation </w:t>
            </w:r>
            <w:r w:rsidR="000A5F35" w:rsidRPr="009E7CA0">
              <w:rPr>
                <w:bCs/>
                <w:color w:val="auto"/>
              </w:rPr>
              <w:t>for</w:t>
            </w:r>
            <w:r w:rsidRPr="009E7CA0">
              <w:rPr>
                <w:bCs/>
                <w:color w:val="auto"/>
              </w:rPr>
              <w:t xml:space="preserve"> implementation</w:t>
            </w:r>
            <w:r w:rsidR="007C7664" w:rsidRPr="009E7CA0">
              <w:rPr>
                <w:bCs/>
                <w:color w:val="auto"/>
              </w:rPr>
              <w:t xml:space="preserve">. </w:t>
            </w:r>
          </w:p>
          <w:p w14:paraId="6A630578" w14:textId="77424B92" w:rsidR="001D4112" w:rsidRPr="009E7CA0" w:rsidRDefault="007C7664" w:rsidP="001D4112">
            <w:pPr>
              <w:pStyle w:val="TableTextLeft"/>
              <w:rPr>
                <w:color w:val="auto"/>
              </w:rPr>
            </w:pPr>
            <w:r w:rsidRPr="009E7CA0">
              <w:rPr>
                <w:bCs/>
              </w:rPr>
              <w:t>The Government will continue policy development work to establish a beneficial ownership register</w:t>
            </w:r>
            <w:r w:rsidRPr="009E7CA0">
              <w:rPr>
                <w:bCs/>
                <w:color w:val="auto"/>
              </w:rPr>
              <w:t xml:space="preserve"> for unlisted companies,</w:t>
            </w:r>
            <w:r w:rsidRPr="009E7CA0">
              <w:rPr>
                <w:bCs/>
              </w:rPr>
              <w:t xml:space="preserve"> aligned with ASIC’s work to stabilise the companies register, and</w:t>
            </w:r>
            <w:r w:rsidR="00A07098">
              <w:rPr>
                <w:bCs/>
              </w:rPr>
              <w:t> </w:t>
            </w:r>
            <w:r w:rsidRPr="009E7CA0">
              <w:rPr>
                <w:bCs/>
              </w:rPr>
              <w:t>trusts</w:t>
            </w:r>
            <w:r w:rsidR="001D4112" w:rsidRPr="009E7CA0">
              <w:rPr>
                <w:bCs/>
                <w:color w:val="auto"/>
              </w:rPr>
              <w:t>.</w:t>
            </w:r>
            <w:r w:rsidR="00040C43" w:rsidRPr="009E7CA0">
              <w:rPr>
                <w:bCs/>
                <w:color w:val="auto"/>
              </w:rPr>
              <w:t xml:space="preserve"> </w:t>
            </w:r>
          </w:p>
        </w:tc>
        <w:tc>
          <w:tcPr>
            <w:tcW w:w="1257" w:type="dxa"/>
            <w:shd w:val="clear" w:color="auto" w:fill="DFE4EB"/>
          </w:tcPr>
          <w:p w14:paraId="73D5B797" w14:textId="17DA19FE" w:rsidR="001D4112" w:rsidRPr="009E7CA0" w:rsidRDefault="001D4112" w:rsidP="001D4112">
            <w:pPr>
              <w:pStyle w:val="TableTextLeft"/>
              <w:rPr>
                <w:lang w:eastAsia="en-US"/>
              </w:rPr>
            </w:pPr>
          </w:p>
        </w:tc>
        <w:tc>
          <w:tcPr>
            <w:tcW w:w="1417" w:type="dxa"/>
            <w:shd w:val="clear" w:color="auto" w:fill="DFE4EB"/>
          </w:tcPr>
          <w:p w14:paraId="076EC8A5" w14:textId="6E934683" w:rsidR="3BB05647" w:rsidRPr="009E7CA0" w:rsidRDefault="3BB05647" w:rsidP="00753D22">
            <w:pPr>
              <w:pStyle w:val="TableTextLeft"/>
            </w:pPr>
            <w:r w:rsidRPr="009E7CA0">
              <w:t>Final ASIC instrument and updated guidance published</w:t>
            </w:r>
            <w:r w:rsidR="00A07098">
              <w:t>.</w:t>
            </w:r>
            <w:r w:rsidR="2568D275" w:rsidRPr="009E7CA0">
              <w:t>*</w:t>
            </w:r>
          </w:p>
        </w:tc>
        <w:tc>
          <w:tcPr>
            <w:tcW w:w="1559" w:type="dxa"/>
            <w:shd w:val="clear" w:color="auto" w:fill="DFE4EB"/>
          </w:tcPr>
          <w:p w14:paraId="0141E611" w14:textId="25EC552F" w:rsidR="001D4112" w:rsidRPr="009E7CA0" w:rsidRDefault="001D4112" w:rsidP="00753D22">
            <w:pPr>
              <w:pStyle w:val="TableTextLeft"/>
            </w:pPr>
            <w:r w:rsidRPr="009E7CA0">
              <w:t>The reforms commence</w:t>
            </w:r>
            <w:r w:rsidR="00596820" w:rsidRPr="009E7CA0">
              <w:t xml:space="preserve"> on 4</w:t>
            </w:r>
            <w:r w:rsidR="00F22819" w:rsidRPr="009E7CA0">
              <w:t> </w:t>
            </w:r>
            <w:r w:rsidR="00596820" w:rsidRPr="009E7CA0">
              <w:t>December</w:t>
            </w:r>
            <w:r w:rsidR="00F22819" w:rsidRPr="009E7CA0">
              <w:t> </w:t>
            </w:r>
            <w:r w:rsidR="00596820" w:rsidRPr="009E7CA0">
              <w:t>2026 (being</w:t>
            </w:r>
            <w:r w:rsidRPr="009E7CA0">
              <w:t xml:space="preserve"> 12 months after royal assent</w:t>
            </w:r>
            <w:r w:rsidR="00596820" w:rsidRPr="009E7CA0">
              <w:t>)</w:t>
            </w:r>
            <w:r w:rsidRPr="009E7CA0">
              <w:t>.</w:t>
            </w:r>
            <w:r w:rsidR="006B5FE9" w:rsidRPr="009E7CA0">
              <w:t>*</w:t>
            </w:r>
          </w:p>
        </w:tc>
        <w:tc>
          <w:tcPr>
            <w:tcW w:w="934" w:type="dxa"/>
            <w:shd w:val="clear" w:color="auto" w:fill="EFF1F5"/>
          </w:tcPr>
          <w:p w14:paraId="5823D212" w14:textId="77777777" w:rsidR="001D4112" w:rsidRPr="009E7CA0" w:rsidRDefault="001D4112" w:rsidP="001D4112">
            <w:pPr>
              <w:pStyle w:val="TableTextLeft"/>
            </w:pPr>
          </w:p>
        </w:tc>
        <w:tc>
          <w:tcPr>
            <w:tcW w:w="1191" w:type="dxa"/>
            <w:shd w:val="clear" w:color="auto" w:fill="EFF1F5"/>
          </w:tcPr>
          <w:p w14:paraId="713EE9B5" w14:textId="77777777" w:rsidR="001D4112" w:rsidRPr="009E7CA0" w:rsidRDefault="001D4112" w:rsidP="001D4112">
            <w:pPr>
              <w:pStyle w:val="TableTextLeft"/>
            </w:pPr>
          </w:p>
        </w:tc>
        <w:tc>
          <w:tcPr>
            <w:tcW w:w="1247" w:type="dxa"/>
            <w:shd w:val="clear" w:color="auto" w:fill="EFF1F5"/>
          </w:tcPr>
          <w:p w14:paraId="1598C303" w14:textId="77777777" w:rsidR="001D4112" w:rsidRPr="009E7CA0" w:rsidRDefault="001D4112" w:rsidP="001D4112">
            <w:pPr>
              <w:pStyle w:val="TableTextLeft"/>
            </w:pPr>
          </w:p>
        </w:tc>
        <w:tc>
          <w:tcPr>
            <w:tcW w:w="1134" w:type="dxa"/>
            <w:shd w:val="clear" w:color="auto" w:fill="EFF1F5"/>
          </w:tcPr>
          <w:p w14:paraId="207E001E" w14:textId="77777777" w:rsidR="001D4112" w:rsidRPr="009E7CA0" w:rsidRDefault="001D4112" w:rsidP="001D4112">
            <w:pPr>
              <w:pStyle w:val="TableTextLeft"/>
            </w:pPr>
          </w:p>
        </w:tc>
      </w:tr>
      <w:tr w:rsidR="0077226B" w:rsidRPr="009E7CA0" w14:paraId="7B42DBB7" w14:textId="77777777" w:rsidTr="00B96E7E">
        <w:trPr>
          <w:cantSplit/>
          <w:trHeight w:val="410"/>
        </w:trPr>
        <w:tc>
          <w:tcPr>
            <w:tcW w:w="795" w:type="dxa"/>
          </w:tcPr>
          <w:p w14:paraId="06F93145" w14:textId="7B63E469" w:rsidR="00195892" w:rsidRPr="009E7CA0" w:rsidRDefault="00195892" w:rsidP="00195892">
            <w:pPr>
              <w:pStyle w:val="TableLeadAgency"/>
              <w:spacing w:before="0" w:after="0"/>
              <w:rPr>
                <w:b w:val="0"/>
                <w:bCs w:val="0"/>
              </w:rPr>
            </w:pPr>
            <w:r w:rsidRPr="009E7CA0">
              <w:rPr>
                <w:lang w:eastAsia="en-US"/>
              </w:rPr>
              <w:lastRenderedPageBreak/>
              <w:t>ATO</w:t>
            </w:r>
          </w:p>
        </w:tc>
        <w:tc>
          <w:tcPr>
            <w:tcW w:w="1332" w:type="dxa"/>
          </w:tcPr>
          <w:p w14:paraId="20E3C87C" w14:textId="423E8927" w:rsidR="00195892" w:rsidRPr="009E7CA0" w:rsidRDefault="00195892" w:rsidP="00195892">
            <w:pPr>
              <w:pStyle w:val="TableTextLeft"/>
            </w:pPr>
            <w:r w:rsidRPr="009E7CA0">
              <w:rPr>
                <w:lang w:eastAsia="en-US"/>
              </w:rPr>
              <w:t>Superannuation and retirement income</w:t>
            </w:r>
          </w:p>
        </w:tc>
        <w:tc>
          <w:tcPr>
            <w:tcW w:w="3137" w:type="dxa"/>
          </w:tcPr>
          <w:p w14:paraId="7420847E" w14:textId="31718E2E" w:rsidR="00195892" w:rsidRPr="009E7CA0" w:rsidRDefault="00195892" w:rsidP="00FD4B35">
            <w:pPr>
              <w:pStyle w:val="TableLink"/>
              <w:rPr>
                <w:rStyle w:val="Hyperlink"/>
                <w:color w:val="5D779D" w:themeColor="accent3"/>
                <w:u w:val="single"/>
              </w:rPr>
            </w:pPr>
            <w:hyperlink r:id="rId101" w:anchor="ato-4242Superannuationreformtransferbalancecapnew" w:history="1">
              <w:r w:rsidRPr="009E7CA0">
                <w:rPr>
                  <w:rStyle w:val="Hyperlink"/>
                  <w:color w:val="5D779D" w:themeColor="accent3"/>
                  <w:u w:val="single"/>
                </w:rPr>
                <w:t>Update of Law Companion Ruling 2016/9, relating to the transfer balance cap</w:t>
              </w:r>
            </w:hyperlink>
            <w:r w:rsidRPr="009E7CA0">
              <w:rPr>
                <w:rStyle w:val="Hyperlink"/>
                <w:color w:val="5D779D" w:themeColor="accent3"/>
                <w:u w:val="single"/>
              </w:rPr>
              <w:t xml:space="preserve"> (ATO guidance reference number 4242)</w:t>
            </w:r>
            <w:r w:rsidR="00466421" w:rsidRPr="009E7CA0">
              <w:rPr>
                <w:rStyle w:val="Hyperlink"/>
                <w:color w:val="5D779D" w:themeColor="accent3"/>
                <w:u w:val="single"/>
              </w:rPr>
              <w:t xml:space="preserve"> </w:t>
            </w:r>
            <w:r w:rsidR="00466421" w:rsidRPr="009E7CA0">
              <w:rPr>
                <w:rStyle w:val="Hyperlink"/>
                <w:color w:val="4D7861" w:themeColor="accent2"/>
                <w:u w:val="single"/>
              </w:rPr>
              <w:t>(new)</w:t>
            </w:r>
          </w:p>
          <w:p w14:paraId="5D8EFB29" w14:textId="24CADF4E" w:rsidR="00195892" w:rsidRPr="009E7CA0" w:rsidRDefault="00195892" w:rsidP="00FD4B35">
            <w:pPr>
              <w:pStyle w:val="TableTextLeft"/>
            </w:pPr>
            <w:r w:rsidRPr="009E7CA0">
              <w:t>Th</w:t>
            </w:r>
            <w:r w:rsidR="00DE50F5" w:rsidRPr="009E7CA0">
              <w:t>e draft</w:t>
            </w:r>
            <w:r w:rsidRPr="009E7CA0">
              <w:t xml:space="preserve"> update to Law Companion Ruling </w:t>
            </w:r>
            <w:hyperlink r:id="rId102" w:history="1">
              <w:r w:rsidR="00F019DD" w:rsidRPr="009E7CA0">
                <w:rPr>
                  <w:rStyle w:val="Hyperlink"/>
                  <w:color w:val="auto"/>
                </w:rPr>
                <w:t>LCR 2016/9</w:t>
              </w:r>
            </w:hyperlink>
            <w:r w:rsidR="00F019DD" w:rsidRPr="009E7CA0">
              <w:t xml:space="preserve"> </w:t>
            </w:r>
            <w:r w:rsidR="00F019DD" w:rsidRPr="009E7CA0">
              <w:rPr>
                <w:i/>
                <w:iCs/>
              </w:rPr>
              <w:t xml:space="preserve">Superannuation reform: transfer balance cap </w:t>
            </w:r>
            <w:r w:rsidR="00EC285C" w:rsidRPr="00EC285C">
              <w:t>was</w:t>
            </w:r>
            <w:r w:rsidR="00EC285C">
              <w:rPr>
                <w:i/>
                <w:iCs/>
              </w:rPr>
              <w:t xml:space="preserve"> </w:t>
            </w:r>
            <w:r w:rsidR="00F019DD" w:rsidRPr="009E7CA0">
              <w:t>published on 25</w:t>
            </w:r>
            <w:r w:rsidR="00037FCC" w:rsidRPr="009E7CA0">
              <w:t> </w:t>
            </w:r>
            <w:r w:rsidR="00F019DD" w:rsidRPr="009E7CA0">
              <w:t>March</w:t>
            </w:r>
            <w:r w:rsidR="00037FCC" w:rsidRPr="009E7CA0">
              <w:t> </w:t>
            </w:r>
            <w:r w:rsidR="00F019DD" w:rsidRPr="009E7CA0">
              <w:t>2026. It</w:t>
            </w:r>
            <w:r w:rsidRPr="009E7CA0">
              <w:t xml:space="preserve"> further explain</w:t>
            </w:r>
            <w:r w:rsidR="0055752E" w:rsidRPr="009E7CA0">
              <w:t>s</w:t>
            </w:r>
            <w:r w:rsidRPr="009E7CA0">
              <w:t xml:space="preserve"> proportional indexation of the transfer balance cap and clarif</w:t>
            </w:r>
            <w:r w:rsidR="003C0ED6" w:rsidRPr="009E7CA0">
              <w:t>ies</w:t>
            </w:r>
            <w:r w:rsidRPr="009E7CA0">
              <w:t xml:space="preserve"> the status of superannuation income streams subject to a commutation authority. The update also clarif</w:t>
            </w:r>
            <w:r w:rsidR="006C4322" w:rsidRPr="009E7CA0">
              <w:t>ies</w:t>
            </w:r>
            <w:r w:rsidRPr="009E7CA0">
              <w:t xml:space="preserve"> how the general principles in this Ruling apply in the context of successor fund transfers and reflect</w:t>
            </w:r>
            <w:r w:rsidR="006C4322" w:rsidRPr="009E7CA0">
              <w:t>s</w:t>
            </w:r>
            <w:r w:rsidRPr="009E7CA0">
              <w:t xml:space="preserve"> the increase in the maximum allowable members made under </w:t>
            </w:r>
            <w:r w:rsidR="00534C72" w:rsidRPr="009E7CA0">
              <w:t>the</w:t>
            </w:r>
            <w:r w:rsidR="00534C72" w:rsidRPr="009E7CA0">
              <w:rPr>
                <w:i/>
              </w:rPr>
              <w:t xml:space="preserve"> Treasury</w:t>
            </w:r>
            <w:r w:rsidRPr="009E7CA0">
              <w:rPr>
                <w:i/>
              </w:rPr>
              <w:t xml:space="preserve"> Law Amendment (Self-Managed Superannuation Funds) Act 2021</w:t>
            </w:r>
            <w:r w:rsidRPr="009E7CA0">
              <w:t>.</w:t>
            </w:r>
          </w:p>
        </w:tc>
        <w:tc>
          <w:tcPr>
            <w:tcW w:w="1257" w:type="dxa"/>
            <w:shd w:val="clear" w:color="auto" w:fill="DFE4EB"/>
          </w:tcPr>
          <w:p w14:paraId="514643FD" w14:textId="599A8E1E" w:rsidR="00195892" w:rsidRPr="009E7CA0" w:rsidRDefault="00977C08" w:rsidP="00FD4B35">
            <w:pPr>
              <w:pStyle w:val="TableTextLeft"/>
              <w:rPr>
                <w:lang w:eastAsia="en-US"/>
              </w:rPr>
            </w:pPr>
            <w:r w:rsidRPr="009E7CA0">
              <w:rPr>
                <w:lang w:val="en-US" w:eastAsia="ja-JP"/>
              </w:rPr>
              <w:t>Public c</w:t>
            </w:r>
            <w:r w:rsidR="001A3CFE" w:rsidRPr="009E7CA0">
              <w:rPr>
                <w:lang w:val="en-US" w:eastAsia="ja-JP"/>
              </w:rPr>
              <w:t xml:space="preserve">onsultation on </w:t>
            </w:r>
            <w:r w:rsidR="001A3CFE" w:rsidRPr="009E7CA0">
              <w:t>draft</w:t>
            </w:r>
            <w:r w:rsidR="001A3CFE" w:rsidRPr="009E7CA0">
              <w:rPr>
                <w:lang w:val="en-US" w:eastAsia="ja-JP"/>
              </w:rPr>
              <w:t xml:space="preserve"> public advice and guidance</w:t>
            </w:r>
            <w:r w:rsidR="00A07098">
              <w:rPr>
                <w:lang w:val="en-US" w:eastAsia="ja-JP"/>
              </w:rPr>
              <w:t>.</w:t>
            </w:r>
          </w:p>
        </w:tc>
        <w:tc>
          <w:tcPr>
            <w:tcW w:w="1417" w:type="dxa"/>
            <w:shd w:val="clear" w:color="auto" w:fill="DFE4EB"/>
          </w:tcPr>
          <w:p w14:paraId="0FAB1090" w14:textId="6F5CDFCB" w:rsidR="00195892" w:rsidRPr="009E7CA0" w:rsidRDefault="00195892" w:rsidP="00195892">
            <w:pPr>
              <w:pStyle w:val="TableTextLeft"/>
            </w:pPr>
          </w:p>
        </w:tc>
        <w:tc>
          <w:tcPr>
            <w:tcW w:w="1559" w:type="dxa"/>
            <w:shd w:val="clear" w:color="auto" w:fill="DFE4EB"/>
          </w:tcPr>
          <w:p w14:paraId="30A71B03" w14:textId="77777777" w:rsidR="00195892" w:rsidRPr="009E7CA0" w:rsidRDefault="00195892" w:rsidP="00195892">
            <w:pPr>
              <w:pStyle w:val="TableTextLeft"/>
            </w:pPr>
          </w:p>
        </w:tc>
        <w:tc>
          <w:tcPr>
            <w:tcW w:w="934" w:type="dxa"/>
            <w:shd w:val="clear" w:color="auto" w:fill="EFF1F5"/>
          </w:tcPr>
          <w:p w14:paraId="15C40C7F" w14:textId="77777777" w:rsidR="00195892" w:rsidRPr="009E7CA0" w:rsidRDefault="00195892" w:rsidP="00195892">
            <w:pPr>
              <w:pStyle w:val="TableTextLeft"/>
            </w:pPr>
          </w:p>
        </w:tc>
        <w:tc>
          <w:tcPr>
            <w:tcW w:w="1191" w:type="dxa"/>
            <w:shd w:val="clear" w:color="auto" w:fill="EFF1F5"/>
          </w:tcPr>
          <w:p w14:paraId="1D2025C7" w14:textId="77777777" w:rsidR="00195892" w:rsidRPr="009E7CA0" w:rsidRDefault="00195892" w:rsidP="00195892">
            <w:pPr>
              <w:pStyle w:val="TableTextLeft"/>
            </w:pPr>
          </w:p>
        </w:tc>
        <w:tc>
          <w:tcPr>
            <w:tcW w:w="1247" w:type="dxa"/>
            <w:shd w:val="clear" w:color="auto" w:fill="EFF1F5"/>
          </w:tcPr>
          <w:p w14:paraId="7555FB43" w14:textId="77777777" w:rsidR="00195892" w:rsidRPr="009E7CA0" w:rsidRDefault="00195892" w:rsidP="00195892">
            <w:pPr>
              <w:pStyle w:val="TableTextLeft"/>
            </w:pPr>
          </w:p>
        </w:tc>
        <w:tc>
          <w:tcPr>
            <w:tcW w:w="1134" w:type="dxa"/>
            <w:shd w:val="clear" w:color="auto" w:fill="EFF1F5"/>
          </w:tcPr>
          <w:p w14:paraId="7E952D7A" w14:textId="77777777" w:rsidR="00195892" w:rsidRPr="009E7CA0" w:rsidRDefault="00195892" w:rsidP="00195892">
            <w:pPr>
              <w:pStyle w:val="TableTextLeft"/>
            </w:pPr>
          </w:p>
        </w:tc>
      </w:tr>
      <w:tr w:rsidR="0077226B" w:rsidRPr="009E7CA0" w14:paraId="6686EEE1" w14:textId="77777777" w:rsidTr="00B96E7E">
        <w:trPr>
          <w:cantSplit/>
          <w:trHeight w:val="410"/>
        </w:trPr>
        <w:tc>
          <w:tcPr>
            <w:tcW w:w="795" w:type="dxa"/>
          </w:tcPr>
          <w:p w14:paraId="76A5AF94" w14:textId="0C1A0AB3" w:rsidR="00A762EA" w:rsidRPr="009E7CA0" w:rsidRDefault="00A762EA" w:rsidP="00A762EA">
            <w:pPr>
              <w:pStyle w:val="TableLeadAgency"/>
              <w:spacing w:before="0" w:after="0"/>
              <w:rPr>
                <w:lang w:eastAsia="en-US"/>
              </w:rPr>
            </w:pPr>
            <w:r w:rsidRPr="009E7CA0">
              <w:rPr>
                <w:lang w:eastAsia="en-US"/>
              </w:rPr>
              <w:t>ASIC</w:t>
            </w:r>
          </w:p>
        </w:tc>
        <w:tc>
          <w:tcPr>
            <w:tcW w:w="1332" w:type="dxa"/>
          </w:tcPr>
          <w:p w14:paraId="4D4DC96F" w14:textId="74CA879B" w:rsidR="00A762EA" w:rsidRPr="009E7CA0" w:rsidRDefault="00A762EA" w:rsidP="00332C64">
            <w:pPr>
              <w:pStyle w:val="TableTextLeft"/>
              <w:rPr>
                <w:lang w:eastAsia="en-US"/>
              </w:rPr>
            </w:pPr>
            <w:r w:rsidRPr="009E7CA0">
              <w:rPr>
                <w:lang w:val="en-US" w:eastAsia="ja-JP"/>
              </w:rPr>
              <w:t xml:space="preserve">Collective </w:t>
            </w:r>
            <w:r w:rsidR="00324EF4">
              <w:t>management</w:t>
            </w:r>
            <w:r w:rsidR="00324EF4" w:rsidRPr="009E7CA0">
              <w:rPr>
                <w:lang w:val="en-US" w:eastAsia="ja-JP"/>
              </w:rPr>
              <w:t> </w:t>
            </w:r>
            <w:r w:rsidRPr="009E7CA0">
              <w:rPr>
                <w:lang w:val="en-US" w:eastAsia="ja-JP"/>
              </w:rPr>
              <w:t xml:space="preserve">and investment </w:t>
            </w:r>
            <w:r w:rsidRPr="009E7CA0">
              <w:t>management</w:t>
            </w:r>
            <w:r w:rsidRPr="009E7CA0">
              <w:rPr>
                <w:szCs w:val="18"/>
              </w:rPr>
              <w:t> </w:t>
            </w:r>
          </w:p>
        </w:tc>
        <w:tc>
          <w:tcPr>
            <w:tcW w:w="3137" w:type="dxa"/>
          </w:tcPr>
          <w:p w14:paraId="056D5776" w14:textId="42E7C8B7" w:rsidR="00A762EA" w:rsidRPr="009E7CA0" w:rsidRDefault="00A762EA" w:rsidP="00FD4B35">
            <w:pPr>
              <w:pStyle w:val="TableLink"/>
              <w:rPr>
                <w:lang w:eastAsia="ja-JP"/>
              </w:rPr>
            </w:pPr>
            <w:r w:rsidRPr="009E7CA0">
              <w:rPr>
                <w:lang w:eastAsia="ja-JP"/>
              </w:rPr>
              <w:t>Review of funds management regulatory guidance</w:t>
            </w:r>
            <w:r w:rsidR="00D847F4" w:rsidRPr="009E7CA0">
              <w:rPr>
                <w:lang w:eastAsia="ja-JP"/>
              </w:rPr>
              <w:t xml:space="preserve"> </w:t>
            </w:r>
            <w:r w:rsidR="00D847F4" w:rsidRPr="009E7CA0">
              <w:rPr>
                <w:color w:val="4D7861" w:themeColor="accent2"/>
                <w:lang w:eastAsia="ja-JP"/>
              </w:rPr>
              <w:t>(new)</w:t>
            </w:r>
          </w:p>
          <w:p w14:paraId="4EC10CB4" w14:textId="3CB5F75F" w:rsidR="00A762EA" w:rsidRPr="009E7CA0" w:rsidRDefault="00A762EA" w:rsidP="00F72B89">
            <w:pPr>
              <w:pStyle w:val="TableTextLeft"/>
              <w:rPr>
                <w:lang w:val="en-US" w:eastAsia="ja-JP"/>
              </w:rPr>
            </w:pPr>
            <w:r w:rsidRPr="009E7CA0">
              <w:rPr>
                <w:lang w:val="en-US" w:eastAsia="ja-JP"/>
              </w:rPr>
              <w:t xml:space="preserve">ASIC will review </w:t>
            </w:r>
            <w:r w:rsidR="00FB5656" w:rsidRPr="009E7CA0">
              <w:rPr>
                <w:lang w:val="en-US" w:eastAsia="ja-JP"/>
              </w:rPr>
              <w:t>key</w:t>
            </w:r>
            <w:r w:rsidRPr="009E7CA0">
              <w:rPr>
                <w:lang w:val="en-US" w:eastAsia="ja-JP"/>
              </w:rPr>
              <w:t xml:space="preserve"> funds management regulatory guides to reflect the findings of ASIC’s recent private credit surveillance.</w:t>
            </w:r>
          </w:p>
          <w:p w14:paraId="3C358D27" w14:textId="5F113021" w:rsidR="00A762EA" w:rsidRPr="009E7CA0" w:rsidRDefault="00A762EA" w:rsidP="00F72B89">
            <w:pPr>
              <w:pStyle w:val="TableTextLeft"/>
              <w:rPr>
                <w:b/>
                <w:bCs/>
              </w:rPr>
            </w:pPr>
            <w:r w:rsidRPr="009E7CA0">
              <w:rPr>
                <w:lang w:val="en-US" w:eastAsia="ja-JP"/>
              </w:rPr>
              <w:t xml:space="preserve">This work will be </w:t>
            </w:r>
            <w:r w:rsidRPr="009E7CA0">
              <w:t>completed</w:t>
            </w:r>
            <w:r w:rsidRPr="009E7CA0">
              <w:rPr>
                <w:lang w:val="en-US" w:eastAsia="ja-JP"/>
              </w:rPr>
              <w:t xml:space="preserve"> in stages. The scope and timing of the work will be announced in the coming months. ASIC will consult on substantive changes to guidance prior to publication.</w:t>
            </w:r>
          </w:p>
        </w:tc>
        <w:tc>
          <w:tcPr>
            <w:tcW w:w="1257" w:type="dxa"/>
            <w:shd w:val="clear" w:color="auto" w:fill="DFE4EB"/>
          </w:tcPr>
          <w:p w14:paraId="6D74E53C" w14:textId="77777777" w:rsidR="00A762EA" w:rsidRPr="009E7CA0" w:rsidRDefault="00A762EA" w:rsidP="00A762EA">
            <w:pPr>
              <w:pStyle w:val="TableTextLeft"/>
              <w:rPr>
                <w:lang w:eastAsia="en-US"/>
              </w:rPr>
            </w:pPr>
          </w:p>
        </w:tc>
        <w:tc>
          <w:tcPr>
            <w:tcW w:w="1417" w:type="dxa"/>
            <w:shd w:val="clear" w:color="auto" w:fill="DFE4EB"/>
          </w:tcPr>
          <w:p w14:paraId="388B275B" w14:textId="35A0E721" w:rsidR="00A762EA" w:rsidRPr="009E7CA0" w:rsidRDefault="00A762EA" w:rsidP="00A762EA">
            <w:pPr>
              <w:pStyle w:val="TableTextLeft"/>
            </w:pPr>
          </w:p>
        </w:tc>
        <w:tc>
          <w:tcPr>
            <w:tcW w:w="1559" w:type="dxa"/>
            <w:shd w:val="clear" w:color="auto" w:fill="DFE4EB"/>
          </w:tcPr>
          <w:p w14:paraId="4D71B1F0" w14:textId="77777777" w:rsidR="00A762EA" w:rsidRPr="009E7CA0" w:rsidRDefault="00A762EA" w:rsidP="00A762EA">
            <w:pPr>
              <w:pStyle w:val="TableTextLeft"/>
            </w:pPr>
          </w:p>
        </w:tc>
        <w:tc>
          <w:tcPr>
            <w:tcW w:w="934" w:type="dxa"/>
            <w:shd w:val="clear" w:color="auto" w:fill="EFF1F5"/>
          </w:tcPr>
          <w:p w14:paraId="1DC422E6" w14:textId="77777777" w:rsidR="00A762EA" w:rsidRPr="009E7CA0" w:rsidRDefault="00A762EA" w:rsidP="00A762EA">
            <w:pPr>
              <w:pStyle w:val="TableTextLeft"/>
            </w:pPr>
          </w:p>
        </w:tc>
        <w:tc>
          <w:tcPr>
            <w:tcW w:w="1191" w:type="dxa"/>
            <w:shd w:val="clear" w:color="auto" w:fill="EFF1F5"/>
          </w:tcPr>
          <w:p w14:paraId="087B9BD0" w14:textId="77777777" w:rsidR="00A762EA" w:rsidRPr="009E7CA0" w:rsidRDefault="00A762EA" w:rsidP="00A762EA">
            <w:pPr>
              <w:pStyle w:val="TableTextLeft"/>
            </w:pPr>
          </w:p>
        </w:tc>
        <w:tc>
          <w:tcPr>
            <w:tcW w:w="1247" w:type="dxa"/>
            <w:shd w:val="clear" w:color="auto" w:fill="EFF1F5"/>
          </w:tcPr>
          <w:p w14:paraId="09152E44" w14:textId="77777777" w:rsidR="00A762EA" w:rsidRPr="009E7CA0" w:rsidRDefault="00A762EA" w:rsidP="00A762EA">
            <w:pPr>
              <w:pStyle w:val="TableTextLeft"/>
            </w:pPr>
          </w:p>
        </w:tc>
        <w:tc>
          <w:tcPr>
            <w:tcW w:w="1134" w:type="dxa"/>
            <w:shd w:val="clear" w:color="auto" w:fill="EFF1F5"/>
          </w:tcPr>
          <w:p w14:paraId="0C9CA6EC" w14:textId="77777777" w:rsidR="00A762EA" w:rsidRPr="009E7CA0" w:rsidRDefault="00A762EA" w:rsidP="00A762EA">
            <w:pPr>
              <w:pStyle w:val="TableTextLeft"/>
            </w:pPr>
          </w:p>
        </w:tc>
      </w:tr>
      <w:tr w:rsidR="0077226B" w:rsidRPr="009E7CA0" w14:paraId="218A1D9A" w14:textId="77777777" w:rsidTr="00B96E7E">
        <w:trPr>
          <w:cantSplit/>
          <w:trHeight w:val="410"/>
        </w:trPr>
        <w:tc>
          <w:tcPr>
            <w:tcW w:w="795" w:type="dxa"/>
          </w:tcPr>
          <w:p w14:paraId="4D59D431" w14:textId="2E142D6E" w:rsidR="00D847F4" w:rsidRPr="009E7CA0" w:rsidRDefault="00D847F4" w:rsidP="00D847F4">
            <w:pPr>
              <w:pStyle w:val="TableLeadAgency"/>
              <w:spacing w:before="0" w:after="0"/>
              <w:rPr>
                <w:lang w:eastAsia="en-US"/>
              </w:rPr>
            </w:pPr>
            <w:r w:rsidRPr="009E7CA0">
              <w:rPr>
                <w:lang w:val="en-US" w:eastAsia="ja-JP"/>
              </w:rPr>
              <w:lastRenderedPageBreak/>
              <w:t xml:space="preserve">ASIC </w:t>
            </w:r>
          </w:p>
        </w:tc>
        <w:tc>
          <w:tcPr>
            <w:tcW w:w="1332" w:type="dxa"/>
          </w:tcPr>
          <w:p w14:paraId="0A2E326C" w14:textId="6F90D369" w:rsidR="00D847F4" w:rsidRPr="009E7CA0" w:rsidRDefault="00D847F4" w:rsidP="00D847F4">
            <w:pPr>
              <w:pStyle w:val="TableTextLeft"/>
              <w:rPr>
                <w:lang w:eastAsia="en-US"/>
              </w:rPr>
            </w:pPr>
            <w:r w:rsidRPr="009E7CA0">
              <w:rPr>
                <w:lang w:val="en-US" w:eastAsia="ja-JP"/>
              </w:rPr>
              <w:t>Financial markets</w:t>
            </w:r>
          </w:p>
        </w:tc>
        <w:tc>
          <w:tcPr>
            <w:tcW w:w="3137" w:type="dxa"/>
          </w:tcPr>
          <w:p w14:paraId="220B43A8" w14:textId="419ADBF5" w:rsidR="00D847F4" w:rsidRPr="009E7CA0" w:rsidRDefault="00D847F4" w:rsidP="00CF027E">
            <w:pPr>
              <w:pStyle w:val="TableLink"/>
              <w:rPr>
                <w:lang w:eastAsia="ja-JP"/>
              </w:rPr>
            </w:pPr>
            <w:r w:rsidRPr="009E7CA0">
              <w:rPr>
                <w:lang w:eastAsia="ja-JP"/>
              </w:rPr>
              <w:t>F</w:t>
            </w:r>
            <w:r w:rsidR="00C63ABF" w:rsidRPr="009E7CA0">
              <w:rPr>
                <w:lang w:eastAsia="ja-JP"/>
              </w:rPr>
              <w:t>inancial market infrastructure (FMI)</w:t>
            </w:r>
            <w:r w:rsidRPr="009E7CA0">
              <w:rPr>
                <w:lang w:eastAsia="ja-JP"/>
              </w:rPr>
              <w:t xml:space="preserve"> </w:t>
            </w:r>
            <w:r w:rsidR="00C63ABF" w:rsidRPr="009E7CA0">
              <w:rPr>
                <w:lang w:eastAsia="ja-JP"/>
              </w:rPr>
              <w:t>r</w:t>
            </w:r>
            <w:r w:rsidRPr="009E7CA0">
              <w:rPr>
                <w:lang w:eastAsia="ja-JP"/>
              </w:rPr>
              <w:t xml:space="preserve">eforms </w:t>
            </w:r>
            <w:r w:rsidRPr="009E7CA0">
              <w:rPr>
                <w:color w:val="4D7861" w:themeColor="accent2"/>
                <w:lang w:eastAsia="ja-JP"/>
              </w:rPr>
              <w:t>(new)</w:t>
            </w:r>
          </w:p>
          <w:p w14:paraId="252F35B6" w14:textId="77777777" w:rsidR="00D847F4" w:rsidRPr="009E7CA0" w:rsidRDefault="00D847F4" w:rsidP="00CF027E">
            <w:pPr>
              <w:pStyle w:val="TableTextLeft"/>
              <w:rPr>
                <w:lang w:val="en-US" w:eastAsia="ja-JP"/>
              </w:rPr>
            </w:pPr>
            <w:r w:rsidRPr="009E7CA0">
              <w:rPr>
                <w:lang w:val="en-US" w:eastAsia="ja-JP"/>
              </w:rPr>
              <w:t xml:space="preserve">To implement the FMI Reforms, ASIC will update: </w:t>
            </w:r>
          </w:p>
          <w:p w14:paraId="1F2C4B01" w14:textId="77777777" w:rsidR="00D847F4" w:rsidRPr="009E7CA0" w:rsidRDefault="00D847F4" w:rsidP="00CF027E">
            <w:pPr>
              <w:pStyle w:val="TableTextLeft"/>
              <w:numPr>
                <w:ilvl w:val="0"/>
                <w:numId w:val="26"/>
              </w:numPr>
              <w:ind w:left="284" w:hanging="284"/>
              <w:rPr>
                <w:rStyle w:val="Hyperlink"/>
                <w:i/>
                <w:iCs/>
                <w:color w:val="auto"/>
              </w:rPr>
            </w:pPr>
            <w:r w:rsidRPr="009E7CA0">
              <w:rPr>
                <w:rStyle w:val="Hyperlink"/>
                <w:color w:val="auto"/>
              </w:rPr>
              <w:t xml:space="preserve">Regulatory Guide 172 </w:t>
            </w:r>
            <w:r w:rsidRPr="009E7CA0">
              <w:rPr>
                <w:rStyle w:val="Hyperlink"/>
                <w:i/>
                <w:iCs/>
                <w:color w:val="auto"/>
              </w:rPr>
              <w:t>Financial markets: domestic and overseas operators</w:t>
            </w:r>
          </w:p>
          <w:p w14:paraId="01462E93" w14:textId="77777777" w:rsidR="00D847F4" w:rsidRPr="009E7CA0" w:rsidRDefault="00D847F4" w:rsidP="00CF027E">
            <w:pPr>
              <w:pStyle w:val="TableTextLeft"/>
              <w:numPr>
                <w:ilvl w:val="0"/>
                <w:numId w:val="26"/>
              </w:numPr>
              <w:ind w:left="284" w:hanging="284"/>
              <w:rPr>
                <w:rStyle w:val="Hyperlink"/>
                <w:i/>
                <w:iCs/>
                <w:color w:val="auto"/>
              </w:rPr>
            </w:pPr>
            <w:r w:rsidRPr="009E7CA0">
              <w:rPr>
                <w:rStyle w:val="Hyperlink"/>
                <w:color w:val="auto"/>
              </w:rPr>
              <w:t xml:space="preserve">Regulatory Guide 268 </w:t>
            </w:r>
            <w:r w:rsidRPr="009E7CA0">
              <w:rPr>
                <w:rStyle w:val="Hyperlink"/>
                <w:i/>
                <w:iCs/>
                <w:color w:val="auto"/>
              </w:rPr>
              <w:t>Licensing regime for financial benchmark administrators</w:t>
            </w:r>
          </w:p>
          <w:p w14:paraId="29510BD0" w14:textId="5ACBBB39" w:rsidR="00D847F4" w:rsidRPr="009E7CA0" w:rsidRDefault="00D847F4" w:rsidP="00CF027E">
            <w:pPr>
              <w:pStyle w:val="TableTextLeft"/>
              <w:numPr>
                <w:ilvl w:val="0"/>
                <w:numId w:val="26"/>
              </w:numPr>
              <w:ind w:left="284" w:hanging="284"/>
              <w:rPr>
                <w:b/>
                <w:bCs/>
              </w:rPr>
            </w:pPr>
            <w:r w:rsidRPr="009E7CA0">
              <w:rPr>
                <w:rStyle w:val="Hyperlink"/>
                <w:color w:val="auto"/>
              </w:rPr>
              <w:t xml:space="preserve">Regulatory Guide 249 </w:t>
            </w:r>
            <w:r w:rsidRPr="009E7CA0">
              <w:rPr>
                <w:rStyle w:val="Hyperlink"/>
                <w:i/>
                <w:iCs/>
                <w:color w:val="auto"/>
              </w:rPr>
              <w:t>Derivative trade repositories</w:t>
            </w:r>
          </w:p>
        </w:tc>
        <w:tc>
          <w:tcPr>
            <w:tcW w:w="1257" w:type="dxa"/>
            <w:shd w:val="clear" w:color="auto" w:fill="DFE4EB"/>
          </w:tcPr>
          <w:p w14:paraId="253EF558" w14:textId="08D829E8" w:rsidR="00D847F4" w:rsidRPr="009E7CA0" w:rsidRDefault="009F3EC6" w:rsidP="00A40814">
            <w:pPr>
              <w:pStyle w:val="TableTextLeft"/>
              <w:rPr>
                <w:lang w:eastAsia="en-US"/>
              </w:rPr>
            </w:pPr>
            <w:r w:rsidRPr="009E7CA0">
              <w:t>Updated guidance published</w:t>
            </w:r>
            <w:r w:rsidR="00A07098">
              <w:t>.</w:t>
            </w:r>
          </w:p>
        </w:tc>
        <w:tc>
          <w:tcPr>
            <w:tcW w:w="1417" w:type="dxa"/>
            <w:shd w:val="clear" w:color="auto" w:fill="DFE4EB"/>
          </w:tcPr>
          <w:p w14:paraId="7B56EF15" w14:textId="2DB8D441" w:rsidR="00D847F4" w:rsidRPr="009E7CA0" w:rsidRDefault="00D847F4" w:rsidP="00D847F4">
            <w:pPr>
              <w:pStyle w:val="TableTextLeft"/>
            </w:pPr>
          </w:p>
        </w:tc>
        <w:tc>
          <w:tcPr>
            <w:tcW w:w="1559" w:type="dxa"/>
            <w:shd w:val="clear" w:color="auto" w:fill="DFE4EB"/>
          </w:tcPr>
          <w:p w14:paraId="511EE8B9" w14:textId="77777777" w:rsidR="00D847F4" w:rsidRPr="009E7CA0" w:rsidRDefault="00D847F4" w:rsidP="00D847F4">
            <w:pPr>
              <w:pStyle w:val="TableTextLeft"/>
            </w:pPr>
          </w:p>
        </w:tc>
        <w:tc>
          <w:tcPr>
            <w:tcW w:w="934" w:type="dxa"/>
            <w:shd w:val="clear" w:color="auto" w:fill="EFF1F5"/>
          </w:tcPr>
          <w:p w14:paraId="29D2D0DC" w14:textId="77777777" w:rsidR="00D847F4" w:rsidRPr="009E7CA0" w:rsidRDefault="00D847F4" w:rsidP="00D847F4">
            <w:pPr>
              <w:pStyle w:val="TableTextLeft"/>
            </w:pPr>
          </w:p>
        </w:tc>
        <w:tc>
          <w:tcPr>
            <w:tcW w:w="1191" w:type="dxa"/>
            <w:shd w:val="clear" w:color="auto" w:fill="EFF1F5"/>
          </w:tcPr>
          <w:p w14:paraId="17A33E9F" w14:textId="77777777" w:rsidR="00D847F4" w:rsidRPr="009E7CA0" w:rsidRDefault="00D847F4" w:rsidP="00D847F4">
            <w:pPr>
              <w:pStyle w:val="TableTextLeft"/>
            </w:pPr>
          </w:p>
        </w:tc>
        <w:tc>
          <w:tcPr>
            <w:tcW w:w="1247" w:type="dxa"/>
            <w:shd w:val="clear" w:color="auto" w:fill="EFF1F5"/>
          </w:tcPr>
          <w:p w14:paraId="6CA6242A" w14:textId="77777777" w:rsidR="00D847F4" w:rsidRPr="009E7CA0" w:rsidRDefault="00D847F4" w:rsidP="00D847F4">
            <w:pPr>
              <w:pStyle w:val="TableTextLeft"/>
            </w:pPr>
          </w:p>
        </w:tc>
        <w:tc>
          <w:tcPr>
            <w:tcW w:w="1134" w:type="dxa"/>
            <w:shd w:val="clear" w:color="auto" w:fill="EFF1F5"/>
          </w:tcPr>
          <w:p w14:paraId="3CC64742" w14:textId="77777777" w:rsidR="00D847F4" w:rsidRPr="009E7CA0" w:rsidRDefault="00D847F4" w:rsidP="00D847F4">
            <w:pPr>
              <w:pStyle w:val="TableTextLeft"/>
            </w:pPr>
          </w:p>
        </w:tc>
      </w:tr>
      <w:tr w:rsidR="00416D00" w:rsidRPr="009E7CA0" w:rsidDel="00790C13" w14:paraId="323C609F" w14:textId="77777777" w:rsidTr="00B96E7E">
        <w:trPr>
          <w:cantSplit/>
          <w:trHeight w:val="410"/>
        </w:trPr>
        <w:tc>
          <w:tcPr>
            <w:tcW w:w="795" w:type="dxa"/>
            <w:tcBorders>
              <w:bottom w:val="single" w:sz="4" w:space="0" w:color="90B6F0" w:themeColor="accent5"/>
            </w:tcBorders>
          </w:tcPr>
          <w:p w14:paraId="2218B4D3" w14:textId="68D666E7" w:rsidR="00524B66" w:rsidRPr="009E7CA0" w:rsidDel="00790C13" w:rsidRDefault="00EC7159" w:rsidP="00EF7F67">
            <w:pPr>
              <w:pStyle w:val="TableLeadAgency"/>
              <w:spacing w:before="0" w:after="0"/>
              <w:rPr>
                <w:lang w:val="en-US" w:eastAsia="ja-JP"/>
              </w:rPr>
            </w:pPr>
            <w:r w:rsidRPr="009E7CA0">
              <w:rPr>
                <w:lang w:val="en-US" w:eastAsia="ja-JP"/>
              </w:rPr>
              <w:t>ASIC</w:t>
            </w:r>
          </w:p>
        </w:tc>
        <w:tc>
          <w:tcPr>
            <w:tcW w:w="1332" w:type="dxa"/>
            <w:tcBorders>
              <w:bottom w:val="single" w:sz="4" w:space="0" w:color="90B6F0" w:themeColor="accent5"/>
            </w:tcBorders>
          </w:tcPr>
          <w:p w14:paraId="28DDBAB3" w14:textId="18C12B97" w:rsidR="00524B66" w:rsidRPr="009E7CA0" w:rsidDel="00790C13" w:rsidRDefault="00EC7159" w:rsidP="00EF7F67">
            <w:pPr>
              <w:pStyle w:val="TableTextLeft"/>
              <w:rPr>
                <w:lang w:val="en-US" w:eastAsia="ja-JP"/>
              </w:rPr>
            </w:pPr>
            <w:r w:rsidRPr="009E7CA0">
              <w:rPr>
                <w:lang w:val="en-US" w:eastAsia="ja-JP"/>
              </w:rPr>
              <w:t xml:space="preserve">Collective </w:t>
            </w:r>
            <w:r w:rsidR="00324EF4">
              <w:rPr>
                <w:lang w:val="en-US" w:eastAsia="ja-JP"/>
              </w:rPr>
              <w:t>management</w:t>
            </w:r>
            <w:r w:rsidR="00324EF4" w:rsidRPr="009E7CA0">
              <w:rPr>
                <w:lang w:val="en-US" w:eastAsia="ja-JP"/>
              </w:rPr>
              <w:t xml:space="preserve"> </w:t>
            </w:r>
            <w:r w:rsidRPr="009E7CA0">
              <w:rPr>
                <w:lang w:val="en-US" w:eastAsia="ja-JP"/>
              </w:rPr>
              <w:t>and investment management</w:t>
            </w:r>
          </w:p>
        </w:tc>
        <w:tc>
          <w:tcPr>
            <w:tcW w:w="3137" w:type="dxa"/>
            <w:tcBorders>
              <w:bottom w:val="single" w:sz="4" w:space="0" w:color="90B6F0" w:themeColor="accent5"/>
            </w:tcBorders>
          </w:tcPr>
          <w:p w14:paraId="3E39ECAB" w14:textId="77777777" w:rsidR="00EC7159" w:rsidRPr="009E7CA0" w:rsidRDefault="00EC7159" w:rsidP="00A40814">
            <w:pPr>
              <w:pStyle w:val="TableLink"/>
              <w:rPr>
                <w:lang w:eastAsia="ja-JP"/>
              </w:rPr>
            </w:pPr>
            <w:r w:rsidRPr="009E7CA0">
              <w:rPr>
                <w:lang w:eastAsia="ja-JP"/>
              </w:rPr>
              <w:t xml:space="preserve">Review of net tangible assets requirement (NTA) for responsible entities of registered managed investment schemes </w:t>
            </w:r>
            <w:r w:rsidRPr="0015307D">
              <w:rPr>
                <w:color w:val="4D7861" w:themeColor="accent2"/>
                <w:lang w:eastAsia="ja-JP"/>
              </w:rPr>
              <w:t>(new)</w:t>
            </w:r>
          </w:p>
          <w:p w14:paraId="4F3943F9" w14:textId="77777777" w:rsidR="00EC7159" w:rsidRDefault="00EC7159" w:rsidP="00A40814">
            <w:pPr>
              <w:pStyle w:val="TableTextLeft"/>
              <w:rPr>
                <w:lang w:val="en-US" w:eastAsia="ja-JP"/>
              </w:rPr>
            </w:pPr>
            <w:r w:rsidRPr="009E7CA0">
              <w:rPr>
                <w:lang w:val="en-US" w:eastAsia="ja-JP"/>
              </w:rPr>
              <w:t xml:space="preserve">ASIC is reviewing the NTA requirement in </w:t>
            </w:r>
            <w:hyperlink r:id="rId103" w:tgtFrame="_blank" w:history="1">
              <w:r w:rsidRPr="009E7CA0">
                <w:rPr>
                  <w:rStyle w:val="Hyperlink"/>
                  <w:i/>
                  <w:iCs/>
                  <w:color w:val="auto"/>
                  <w:lang w:val="en-US" w:eastAsia="ja-JP"/>
                </w:rPr>
                <w:t>ASIC Corporations (Financial Requirements for Responsible Entities, IDPS Operators and Corporate Directors of Retail CCIVs) Instrument 2023/647</w:t>
              </w:r>
            </w:hyperlink>
            <w:r w:rsidRPr="009E7CA0">
              <w:rPr>
                <w:lang w:val="en-US" w:eastAsia="ja-JP"/>
              </w:rPr>
              <w:t>.</w:t>
            </w:r>
          </w:p>
          <w:p w14:paraId="62E303BD" w14:textId="77777777" w:rsidR="00C24FCF" w:rsidRPr="009E7CA0" w:rsidRDefault="00C24FCF" w:rsidP="00A40814">
            <w:pPr>
              <w:pStyle w:val="TableTextLeft"/>
              <w:rPr>
                <w:lang w:val="en-US" w:eastAsia="ja-JP"/>
              </w:rPr>
            </w:pPr>
          </w:p>
          <w:p w14:paraId="5D5039C5" w14:textId="3B46F7DC" w:rsidR="00524B66" w:rsidRPr="00A07098" w:rsidDel="00790C13" w:rsidRDefault="0022045F" w:rsidP="00A07098">
            <w:pPr>
              <w:pStyle w:val="TableTextLeft"/>
            </w:pPr>
            <w:r>
              <w:t>In March 2026, ASIC released</w:t>
            </w:r>
            <w:r w:rsidR="00313E52">
              <w:t xml:space="preserve"> </w:t>
            </w:r>
            <w:hyperlink r:id="rId104" w:tooltip="CP 388 Net tangible assets requirement for responsible entities" w:history="1">
              <w:r w:rsidR="00146FB1" w:rsidRPr="00C24FCF">
                <w:rPr>
                  <w:rFonts w:eastAsiaTheme="minorHAnsi"/>
                </w:rPr>
                <w:t>Consultation Paper 388 Net tangible assets requirement for responsible entities</w:t>
              </w:r>
            </w:hyperlink>
            <w:r w:rsidR="00146FB1" w:rsidRPr="00A07098">
              <w:t>. The paper seeks feedback on increasing the NTA requirements that apply to responsible entities and other fund operators i.e. operators of investor directed portfolio services and corporate directors of retail corporate collective investment schemes. The paper also seeks feedback on the NTA requirements for other categories of licensees as this will inform future ASIC</w:t>
            </w:r>
            <w:r w:rsidR="00A07098">
              <w:t> </w:t>
            </w:r>
            <w:r w:rsidR="00146FB1" w:rsidRPr="00A07098">
              <w:t>work.</w:t>
            </w:r>
          </w:p>
        </w:tc>
        <w:tc>
          <w:tcPr>
            <w:tcW w:w="1257" w:type="dxa"/>
            <w:tcBorders>
              <w:bottom w:val="single" w:sz="4" w:space="0" w:color="90B6F0" w:themeColor="accent5"/>
            </w:tcBorders>
            <w:shd w:val="clear" w:color="auto" w:fill="DFE4EB"/>
          </w:tcPr>
          <w:p w14:paraId="69C5251D" w14:textId="77777777" w:rsidR="00BC6409" w:rsidRPr="009E7CA0" w:rsidDel="00790C13" w:rsidRDefault="00BC6409" w:rsidP="001742B6">
            <w:pPr>
              <w:pStyle w:val="TableTextLeft"/>
              <w:rPr>
                <w:lang w:eastAsia="en-US"/>
              </w:rPr>
            </w:pPr>
          </w:p>
        </w:tc>
        <w:tc>
          <w:tcPr>
            <w:tcW w:w="1417" w:type="dxa"/>
            <w:tcBorders>
              <w:bottom w:val="single" w:sz="4" w:space="0" w:color="90B6F0" w:themeColor="accent5"/>
            </w:tcBorders>
            <w:shd w:val="clear" w:color="auto" w:fill="DFE4EB"/>
          </w:tcPr>
          <w:p w14:paraId="4849C2C3" w14:textId="0E3A118A" w:rsidR="00FB3C30" w:rsidRPr="009E7CA0" w:rsidRDefault="00FB3C30" w:rsidP="00A40814">
            <w:pPr>
              <w:pStyle w:val="TableTextLeft"/>
            </w:pPr>
            <w:r w:rsidRPr="009E7CA0">
              <w:t>ASIC will announce its final position on the NTA requirements for responsible entities and other fund operators</w:t>
            </w:r>
            <w:r w:rsidR="00A07098">
              <w:t>.</w:t>
            </w:r>
          </w:p>
          <w:p w14:paraId="4B2DAE9D" w14:textId="32EB20F8" w:rsidR="00524B66" w:rsidRPr="009E7CA0" w:rsidDel="00790C13" w:rsidRDefault="00524B66" w:rsidP="00EF7F67">
            <w:pPr>
              <w:pStyle w:val="TableTextLeft"/>
            </w:pPr>
          </w:p>
        </w:tc>
        <w:tc>
          <w:tcPr>
            <w:tcW w:w="1559" w:type="dxa"/>
            <w:tcBorders>
              <w:bottom w:val="single" w:sz="4" w:space="0" w:color="90B6F0" w:themeColor="accent5"/>
            </w:tcBorders>
            <w:shd w:val="clear" w:color="auto" w:fill="DFE4EB"/>
          </w:tcPr>
          <w:p w14:paraId="32909826" w14:textId="6B179163" w:rsidR="00524B66" w:rsidRPr="009E7CA0" w:rsidDel="00790C13" w:rsidRDefault="00524B66" w:rsidP="00EF7F67">
            <w:pPr>
              <w:pStyle w:val="TableTextLeft"/>
            </w:pPr>
          </w:p>
        </w:tc>
        <w:tc>
          <w:tcPr>
            <w:tcW w:w="934" w:type="dxa"/>
            <w:tcBorders>
              <w:bottom w:val="single" w:sz="4" w:space="0" w:color="90B6F0" w:themeColor="accent5"/>
            </w:tcBorders>
            <w:shd w:val="clear" w:color="auto" w:fill="EFF1F5"/>
          </w:tcPr>
          <w:p w14:paraId="7029BED8" w14:textId="77777777" w:rsidR="00524B66" w:rsidRPr="009E7CA0" w:rsidDel="00790C13" w:rsidRDefault="00524B66" w:rsidP="00EF7F67">
            <w:pPr>
              <w:pStyle w:val="TableTextLeft"/>
            </w:pPr>
          </w:p>
        </w:tc>
        <w:tc>
          <w:tcPr>
            <w:tcW w:w="1191" w:type="dxa"/>
            <w:tcBorders>
              <w:bottom w:val="single" w:sz="4" w:space="0" w:color="90B6F0" w:themeColor="accent5"/>
            </w:tcBorders>
            <w:shd w:val="clear" w:color="auto" w:fill="EFF1F5"/>
          </w:tcPr>
          <w:p w14:paraId="0C8B6AE5" w14:textId="77777777" w:rsidR="00524B66" w:rsidRPr="009E7CA0" w:rsidDel="00790C13" w:rsidRDefault="00524B66" w:rsidP="00EF7F67">
            <w:pPr>
              <w:pStyle w:val="TableTextLeft"/>
            </w:pPr>
          </w:p>
        </w:tc>
        <w:tc>
          <w:tcPr>
            <w:tcW w:w="1247" w:type="dxa"/>
            <w:tcBorders>
              <w:bottom w:val="single" w:sz="4" w:space="0" w:color="90B6F0" w:themeColor="accent5"/>
            </w:tcBorders>
            <w:shd w:val="clear" w:color="auto" w:fill="EFF1F5"/>
          </w:tcPr>
          <w:p w14:paraId="5B908192" w14:textId="77777777" w:rsidR="00524B66" w:rsidRPr="009E7CA0" w:rsidDel="00790C13" w:rsidRDefault="00524B66" w:rsidP="00EF7F67">
            <w:pPr>
              <w:pStyle w:val="TableTextLeft"/>
            </w:pPr>
          </w:p>
        </w:tc>
        <w:tc>
          <w:tcPr>
            <w:tcW w:w="1134" w:type="dxa"/>
            <w:tcBorders>
              <w:bottom w:val="single" w:sz="4" w:space="0" w:color="90B6F0" w:themeColor="accent5"/>
            </w:tcBorders>
            <w:shd w:val="clear" w:color="auto" w:fill="EFF1F5"/>
          </w:tcPr>
          <w:p w14:paraId="51C7A896" w14:textId="77777777" w:rsidR="00524B66" w:rsidRPr="009E7CA0" w:rsidDel="00790C13" w:rsidRDefault="00524B66" w:rsidP="00EF7F67">
            <w:pPr>
              <w:pStyle w:val="TableTextLeft"/>
            </w:pPr>
          </w:p>
        </w:tc>
      </w:tr>
      <w:tr w:rsidR="00627119" w:rsidRPr="009E7CA0" w:rsidDel="00790C13" w14:paraId="1A6E8C8E" w14:textId="77777777" w:rsidTr="00B96E7E">
        <w:trPr>
          <w:cantSplit/>
          <w:trHeight w:val="410"/>
        </w:trPr>
        <w:tc>
          <w:tcPr>
            <w:tcW w:w="795" w:type="dxa"/>
            <w:tcBorders>
              <w:bottom w:val="single" w:sz="4" w:space="0" w:color="90B6F0" w:themeColor="accent5"/>
            </w:tcBorders>
          </w:tcPr>
          <w:p w14:paraId="521D881B" w14:textId="73FCA888" w:rsidR="00EC7159" w:rsidRPr="009E7CA0" w:rsidDel="00790C13" w:rsidRDefault="00EC7159" w:rsidP="00EC7159">
            <w:pPr>
              <w:pStyle w:val="TableLeadAgency"/>
              <w:spacing w:before="0" w:after="0"/>
              <w:rPr>
                <w:lang w:val="en-US" w:eastAsia="ja-JP"/>
              </w:rPr>
            </w:pPr>
            <w:r w:rsidRPr="009E7CA0">
              <w:rPr>
                <w:lang w:val="en-US" w:eastAsia="ja-JP"/>
              </w:rPr>
              <w:lastRenderedPageBreak/>
              <w:t>ASIC</w:t>
            </w:r>
          </w:p>
        </w:tc>
        <w:tc>
          <w:tcPr>
            <w:tcW w:w="1332" w:type="dxa"/>
            <w:tcBorders>
              <w:bottom w:val="single" w:sz="4" w:space="0" w:color="90B6F0" w:themeColor="accent5"/>
            </w:tcBorders>
          </w:tcPr>
          <w:p w14:paraId="3EDA7167" w14:textId="77777777" w:rsidR="00EC7159" w:rsidRPr="009E7CA0" w:rsidRDefault="00EC7159" w:rsidP="00EC7159">
            <w:pPr>
              <w:pStyle w:val="TableTextLeft"/>
            </w:pPr>
            <w:r w:rsidRPr="009E7CA0">
              <w:t>Superannuation and retirement income</w:t>
            </w:r>
          </w:p>
          <w:p w14:paraId="51FB470E" w14:textId="5D3D49F8" w:rsidR="00EC7159" w:rsidRPr="009E7CA0" w:rsidDel="00790C13" w:rsidRDefault="00EC7159" w:rsidP="008602C0">
            <w:pPr>
              <w:pStyle w:val="TableTextLeft"/>
              <w:rPr>
                <w:lang w:val="en-US" w:eastAsia="ja-JP"/>
              </w:rPr>
            </w:pPr>
            <w:r w:rsidRPr="009E7CA0">
              <w:t>Collective management and investment management</w:t>
            </w:r>
          </w:p>
        </w:tc>
        <w:tc>
          <w:tcPr>
            <w:tcW w:w="3137" w:type="dxa"/>
            <w:tcBorders>
              <w:bottom w:val="single" w:sz="4" w:space="0" w:color="90B6F0" w:themeColor="accent5"/>
            </w:tcBorders>
          </w:tcPr>
          <w:p w14:paraId="134B88DC" w14:textId="2A340E87" w:rsidR="00EC7159" w:rsidRPr="009E7CA0" w:rsidRDefault="00EC7159" w:rsidP="001742B6">
            <w:pPr>
              <w:pStyle w:val="TableLink"/>
              <w:rPr>
                <w:lang w:eastAsia="ja-JP"/>
              </w:rPr>
            </w:pPr>
            <w:hyperlink r:id="rId105">
              <w:r w:rsidRPr="009E7CA0">
                <w:rPr>
                  <w:lang w:eastAsia="ja-JP"/>
                </w:rPr>
                <w:t>Review and update of Regulatory Guide 97 Disclosing fees and costs in PDSs and periodic statements</w:t>
              </w:r>
            </w:hyperlink>
            <w:r w:rsidR="009831B2" w:rsidRPr="009E7CA0">
              <w:rPr>
                <w:lang w:eastAsia="ja-JP"/>
              </w:rPr>
              <w:t xml:space="preserve"> </w:t>
            </w:r>
            <w:r w:rsidR="009831B2" w:rsidRPr="009E7CA0">
              <w:rPr>
                <w:color w:val="4D7861" w:themeColor="accent2"/>
                <w:lang w:eastAsia="ja-JP"/>
              </w:rPr>
              <w:t>(new)</w:t>
            </w:r>
          </w:p>
          <w:p w14:paraId="5DA0220A" w14:textId="77777777" w:rsidR="00EC7159" w:rsidRPr="009E7CA0" w:rsidRDefault="00EC7159" w:rsidP="00833FDA">
            <w:pPr>
              <w:pStyle w:val="TableTextLeft"/>
              <w:rPr>
                <w:i/>
                <w:iCs/>
              </w:rPr>
            </w:pPr>
            <w:r w:rsidRPr="009E7CA0">
              <w:t xml:space="preserve">ASIC will review and consult on potential changes to Regulatory Guide 97 </w:t>
            </w:r>
            <w:r w:rsidRPr="009E7CA0">
              <w:rPr>
                <w:i/>
                <w:iCs/>
              </w:rPr>
              <w:t>Disclosing fees and costs in PDSs and periodic statements.</w:t>
            </w:r>
          </w:p>
          <w:p w14:paraId="2FE1B65C" w14:textId="31277244" w:rsidR="00EC7159" w:rsidRPr="009E7CA0" w:rsidDel="00790C13" w:rsidRDefault="00595121" w:rsidP="00893073">
            <w:pPr>
              <w:pStyle w:val="TableTextLeft"/>
            </w:pPr>
            <w:r w:rsidRPr="009E7CA0">
              <w:t>Initial consultations will commence in Q4</w:t>
            </w:r>
            <w:r w:rsidR="001742B6" w:rsidRPr="009E7CA0">
              <w:t> </w:t>
            </w:r>
            <w:r w:rsidRPr="009E7CA0">
              <w:t>2026, with the timing of further phases of consultation still to be determined.</w:t>
            </w:r>
          </w:p>
        </w:tc>
        <w:tc>
          <w:tcPr>
            <w:tcW w:w="1257" w:type="dxa"/>
            <w:tcBorders>
              <w:bottom w:val="single" w:sz="4" w:space="0" w:color="90B6F0" w:themeColor="accent5"/>
            </w:tcBorders>
            <w:shd w:val="clear" w:color="auto" w:fill="DFE4EB"/>
          </w:tcPr>
          <w:p w14:paraId="011DABD6" w14:textId="77777777" w:rsidR="00EC7159" w:rsidRPr="009E7CA0" w:rsidDel="00790C13" w:rsidRDefault="00EC7159" w:rsidP="000542F2">
            <w:pPr>
              <w:pStyle w:val="TableTextLeft"/>
            </w:pPr>
          </w:p>
        </w:tc>
        <w:tc>
          <w:tcPr>
            <w:tcW w:w="1417" w:type="dxa"/>
            <w:tcBorders>
              <w:bottom w:val="single" w:sz="4" w:space="0" w:color="90B6F0" w:themeColor="accent5"/>
            </w:tcBorders>
            <w:shd w:val="clear" w:color="auto" w:fill="DFE4EB"/>
          </w:tcPr>
          <w:p w14:paraId="6A55DDFF" w14:textId="685F99C2" w:rsidR="00EC7159" w:rsidRPr="009E7CA0" w:rsidDel="00790C13" w:rsidRDefault="00EC7159" w:rsidP="000542F2">
            <w:pPr>
              <w:pStyle w:val="TableTextLeft"/>
            </w:pPr>
          </w:p>
        </w:tc>
        <w:tc>
          <w:tcPr>
            <w:tcW w:w="1559" w:type="dxa"/>
            <w:tcBorders>
              <w:bottom w:val="single" w:sz="4" w:space="0" w:color="90B6F0" w:themeColor="accent5"/>
            </w:tcBorders>
            <w:shd w:val="clear" w:color="auto" w:fill="DFE4EB"/>
          </w:tcPr>
          <w:p w14:paraId="3C09F600" w14:textId="77777777" w:rsidR="001A6846" w:rsidRPr="009E7CA0" w:rsidRDefault="001A6846" w:rsidP="000542F2">
            <w:pPr>
              <w:pStyle w:val="TableTextLeft"/>
            </w:pPr>
            <w:r w:rsidRPr="009E7CA0">
              <w:t xml:space="preserve">ASIC to commence initial consultation on updates to its guidance. </w:t>
            </w:r>
          </w:p>
          <w:p w14:paraId="7B3274BF" w14:textId="77777777" w:rsidR="00EC7159" w:rsidRPr="009E7CA0" w:rsidDel="00790C13" w:rsidRDefault="00EC7159" w:rsidP="000542F2">
            <w:pPr>
              <w:pStyle w:val="TableTextLeft"/>
            </w:pPr>
          </w:p>
        </w:tc>
        <w:tc>
          <w:tcPr>
            <w:tcW w:w="934" w:type="dxa"/>
            <w:tcBorders>
              <w:bottom w:val="single" w:sz="4" w:space="0" w:color="90B6F0" w:themeColor="accent5"/>
            </w:tcBorders>
            <w:shd w:val="clear" w:color="auto" w:fill="EFF1F5"/>
          </w:tcPr>
          <w:p w14:paraId="59B5CB61" w14:textId="77777777" w:rsidR="00EC7159" w:rsidRPr="009E7CA0" w:rsidDel="00790C13" w:rsidRDefault="00EC7159" w:rsidP="00EC7159">
            <w:pPr>
              <w:pStyle w:val="TableTextLeft"/>
            </w:pPr>
          </w:p>
        </w:tc>
        <w:tc>
          <w:tcPr>
            <w:tcW w:w="1191" w:type="dxa"/>
            <w:tcBorders>
              <w:bottom w:val="single" w:sz="4" w:space="0" w:color="90B6F0" w:themeColor="accent5"/>
            </w:tcBorders>
            <w:shd w:val="clear" w:color="auto" w:fill="EFF1F5"/>
          </w:tcPr>
          <w:p w14:paraId="2E483C27" w14:textId="77777777" w:rsidR="00EC7159" w:rsidRPr="009E7CA0" w:rsidDel="00790C13" w:rsidRDefault="00EC7159" w:rsidP="00EC7159">
            <w:pPr>
              <w:pStyle w:val="TableTextLeft"/>
            </w:pPr>
          </w:p>
        </w:tc>
        <w:tc>
          <w:tcPr>
            <w:tcW w:w="1247" w:type="dxa"/>
            <w:tcBorders>
              <w:bottom w:val="single" w:sz="4" w:space="0" w:color="90B6F0" w:themeColor="accent5"/>
            </w:tcBorders>
            <w:shd w:val="clear" w:color="auto" w:fill="EFF1F5"/>
          </w:tcPr>
          <w:p w14:paraId="24387DEF" w14:textId="77777777" w:rsidR="00EC7159" w:rsidRPr="009E7CA0" w:rsidDel="00790C13" w:rsidRDefault="00EC7159" w:rsidP="00EC7159">
            <w:pPr>
              <w:pStyle w:val="TableTextLeft"/>
            </w:pPr>
          </w:p>
        </w:tc>
        <w:tc>
          <w:tcPr>
            <w:tcW w:w="1134" w:type="dxa"/>
            <w:tcBorders>
              <w:bottom w:val="single" w:sz="4" w:space="0" w:color="90B6F0" w:themeColor="accent5"/>
            </w:tcBorders>
            <w:shd w:val="clear" w:color="auto" w:fill="EFF1F5"/>
          </w:tcPr>
          <w:p w14:paraId="26440488" w14:textId="77777777" w:rsidR="00EC7159" w:rsidRPr="009E7CA0" w:rsidDel="00790C13" w:rsidRDefault="00EC7159" w:rsidP="00EC7159">
            <w:pPr>
              <w:pStyle w:val="TableTextLeft"/>
            </w:pPr>
          </w:p>
        </w:tc>
      </w:tr>
      <w:tr w:rsidR="00416D00" w:rsidRPr="009E7CA0" w:rsidDel="00790C13" w14:paraId="19583DED" w14:textId="77777777" w:rsidTr="00B96E7E">
        <w:trPr>
          <w:cantSplit/>
          <w:trHeight w:val="410"/>
        </w:trPr>
        <w:tc>
          <w:tcPr>
            <w:tcW w:w="795" w:type="dxa"/>
            <w:tcBorders>
              <w:bottom w:val="single" w:sz="4" w:space="0" w:color="5D779D" w:themeColor="accent3"/>
            </w:tcBorders>
          </w:tcPr>
          <w:p w14:paraId="6E453F0C" w14:textId="394035BA" w:rsidR="00416D00" w:rsidRPr="009E7CA0" w:rsidRDefault="00416D00" w:rsidP="00EF7F67">
            <w:pPr>
              <w:pStyle w:val="TableLeadAgency"/>
              <w:spacing w:before="0" w:after="0"/>
              <w:rPr>
                <w:lang w:val="en-US" w:eastAsia="ja-JP"/>
              </w:rPr>
            </w:pPr>
            <w:r w:rsidRPr="009E7CA0">
              <w:rPr>
                <w:lang w:val="en-US" w:eastAsia="ja-JP"/>
              </w:rPr>
              <w:t>ASIC</w:t>
            </w:r>
          </w:p>
        </w:tc>
        <w:tc>
          <w:tcPr>
            <w:tcW w:w="1332" w:type="dxa"/>
            <w:tcBorders>
              <w:bottom w:val="single" w:sz="4" w:space="0" w:color="5D779D" w:themeColor="accent3"/>
            </w:tcBorders>
          </w:tcPr>
          <w:p w14:paraId="7190A8D1" w14:textId="0F6BE7F0" w:rsidR="00416D00" w:rsidRPr="009E7CA0" w:rsidRDefault="00B032EF" w:rsidP="00EC7159">
            <w:pPr>
              <w:pStyle w:val="TableTextLeft"/>
            </w:pPr>
            <w:r w:rsidRPr="009E7CA0">
              <w:t>Financial markets</w:t>
            </w:r>
          </w:p>
        </w:tc>
        <w:tc>
          <w:tcPr>
            <w:tcW w:w="3137" w:type="dxa"/>
            <w:tcBorders>
              <w:bottom w:val="single" w:sz="4" w:space="0" w:color="5D779D" w:themeColor="accent3"/>
            </w:tcBorders>
          </w:tcPr>
          <w:p w14:paraId="4D98235B" w14:textId="34B764D5" w:rsidR="00416D00" w:rsidRPr="009E7CA0" w:rsidRDefault="00B032EF" w:rsidP="008602C0">
            <w:pPr>
              <w:pStyle w:val="TableLink"/>
            </w:pPr>
            <w:r w:rsidRPr="009E7CA0">
              <w:t xml:space="preserve">New Regulatory Guide – Pre-hedging </w:t>
            </w:r>
            <w:r w:rsidR="00D04F2B" w:rsidRPr="009E7CA0">
              <w:rPr>
                <w:color w:val="4D7861" w:themeColor="accent2"/>
              </w:rPr>
              <w:t>(new)</w:t>
            </w:r>
          </w:p>
          <w:p w14:paraId="55A944B3" w14:textId="1658E7FF" w:rsidR="00416D00" w:rsidRPr="009E7CA0" w:rsidRDefault="000D078F" w:rsidP="000542F2">
            <w:pPr>
              <w:pStyle w:val="TableTextLeft"/>
            </w:pPr>
            <w:r w:rsidRPr="009E7CA0">
              <w:t>ASIC will consult on a new Regulatory Guide on Pre-hedging to replace guidance in ASIC’s February</w:t>
            </w:r>
            <w:r w:rsidR="001203C6" w:rsidRPr="009E7CA0">
              <w:t> </w:t>
            </w:r>
            <w:r w:rsidRPr="009E7CA0">
              <w:t xml:space="preserve">2024 </w:t>
            </w:r>
            <w:hyperlink r:id="rId106" w:history="1">
              <w:r w:rsidRPr="009E7CA0">
                <w:rPr>
                  <w:rStyle w:val="Hyperlink"/>
                  <w:u w:val="single"/>
                </w:rPr>
                <w:t>open</w:t>
              </w:r>
              <w:r w:rsidR="00B57460" w:rsidRPr="009E7CA0">
                <w:rPr>
                  <w:rStyle w:val="Hyperlink"/>
                  <w:u w:val="single"/>
                </w:rPr>
                <w:t> </w:t>
              </w:r>
              <w:r w:rsidRPr="009E7CA0">
                <w:rPr>
                  <w:rStyle w:val="Hyperlink"/>
                  <w:u w:val="single"/>
                </w:rPr>
                <w:t>letter</w:t>
              </w:r>
            </w:hyperlink>
            <w:r w:rsidRPr="009E7CA0">
              <w:t xml:space="preserve"> to participants. This initiative follows the release of </w:t>
            </w:r>
            <w:hyperlink r:id="rId107" w:history="1">
              <w:r w:rsidRPr="009E7CA0">
                <w:rPr>
                  <w:rStyle w:val="Hyperlink"/>
                  <w:u w:val="single"/>
                </w:rPr>
                <w:t>IOSCO’s Final Report on Pre-hedging</w:t>
              </w:r>
            </w:hyperlink>
            <w:r w:rsidRPr="009E7CA0">
              <w:t xml:space="preserve"> in November</w:t>
            </w:r>
            <w:r w:rsidR="001203C6" w:rsidRPr="009E7CA0">
              <w:t> </w:t>
            </w:r>
            <w:r w:rsidRPr="009E7CA0">
              <w:t>2025.</w:t>
            </w:r>
          </w:p>
        </w:tc>
        <w:tc>
          <w:tcPr>
            <w:tcW w:w="1257" w:type="dxa"/>
            <w:tcBorders>
              <w:bottom w:val="single" w:sz="4" w:space="0" w:color="5D779D" w:themeColor="accent3"/>
            </w:tcBorders>
            <w:shd w:val="clear" w:color="auto" w:fill="DFE4EB"/>
          </w:tcPr>
          <w:p w14:paraId="56ABD338" w14:textId="3B0CA33E" w:rsidR="00416D00" w:rsidRPr="009E7CA0" w:rsidRDefault="005D36BC" w:rsidP="000542F2">
            <w:pPr>
              <w:pStyle w:val="TableTextLeft"/>
            </w:pPr>
            <w:r w:rsidRPr="009E7CA0">
              <w:t>ASIC to consult on new guidance.</w:t>
            </w:r>
          </w:p>
          <w:p w14:paraId="59BD5AB9" w14:textId="77777777" w:rsidR="00416D00" w:rsidRPr="009E7CA0" w:rsidRDefault="00416D00" w:rsidP="000542F2">
            <w:pPr>
              <w:pStyle w:val="TableTextLeft"/>
            </w:pPr>
          </w:p>
        </w:tc>
        <w:tc>
          <w:tcPr>
            <w:tcW w:w="1417" w:type="dxa"/>
            <w:tcBorders>
              <w:bottom w:val="single" w:sz="4" w:space="0" w:color="5D779D" w:themeColor="accent3"/>
            </w:tcBorders>
            <w:shd w:val="clear" w:color="auto" w:fill="DFE4EB"/>
          </w:tcPr>
          <w:p w14:paraId="504E40ED" w14:textId="613353A6" w:rsidR="00416D00" w:rsidRPr="009E7CA0" w:rsidDel="00790C13" w:rsidRDefault="005D36BC" w:rsidP="000542F2">
            <w:pPr>
              <w:pStyle w:val="TableTextLeft"/>
            </w:pPr>
            <w:r w:rsidRPr="009E7CA0">
              <w:t>New guidance published</w:t>
            </w:r>
            <w:r w:rsidR="00A07098">
              <w:t>.</w:t>
            </w:r>
          </w:p>
        </w:tc>
        <w:tc>
          <w:tcPr>
            <w:tcW w:w="1559" w:type="dxa"/>
            <w:tcBorders>
              <w:bottom w:val="single" w:sz="4" w:space="0" w:color="5D779D" w:themeColor="accent3"/>
            </w:tcBorders>
            <w:shd w:val="clear" w:color="auto" w:fill="DFE4EB"/>
          </w:tcPr>
          <w:p w14:paraId="651D9624" w14:textId="7D0BDC34" w:rsidR="00416D00" w:rsidRPr="009E7CA0" w:rsidDel="00790C13" w:rsidRDefault="00416D00" w:rsidP="000542F2">
            <w:pPr>
              <w:pStyle w:val="TableTextLeft"/>
            </w:pPr>
          </w:p>
        </w:tc>
        <w:tc>
          <w:tcPr>
            <w:tcW w:w="934" w:type="dxa"/>
            <w:tcBorders>
              <w:bottom w:val="single" w:sz="4" w:space="0" w:color="5D779D" w:themeColor="accent3"/>
            </w:tcBorders>
            <w:shd w:val="clear" w:color="auto" w:fill="EFF1F5"/>
          </w:tcPr>
          <w:p w14:paraId="3B15DF4F" w14:textId="77777777" w:rsidR="00416D00" w:rsidRPr="009E7CA0" w:rsidDel="00790C13" w:rsidRDefault="00416D00" w:rsidP="00EF7F67">
            <w:pPr>
              <w:pStyle w:val="TableTextLeft"/>
            </w:pPr>
          </w:p>
        </w:tc>
        <w:tc>
          <w:tcPr>
            <w:tcW w:w="1191" w:type="dxa"/>
            <w:tcBorders>
              <w:bottom w:val="single" w:sz="4" w:space="0" w:color="5D779D" w:themeColor="accent3"/>
            </w:tcBorders>
            <w:shd w:val="clear" w:color="auto" w:fill="EFF1F5"/>
          </w:tcPr>
          <w:p w14:paraId="5124B9AE" w14:textId="77777777" w:rsidR="00416D00" w:rsidRPr="009E7CA0" w:rsidDel="00790C13" w:rsidRDefault="00416D00" w:rsidP="00EF7F67">
            <w:pPr>
              <w:pStyle w:val="TableTextLeft"/>
            </w:pPr>
          </w:p>
        </w:tc>
        <w:tc>
          <w:tcPr>
            <w:tcW w:w="1247" w:type="dxa"/>
            <w:tcBorders>
              <w:bottom w:val="single" w:sz="4" w:space="0" w:color="5D779D" w:themeColor="accent3"/>
            </w:tcBorders>
            <w:shd w:val="clear" w:color="auto" w:fill="EFF1F5"/>
          </w:tcPr>
          <w:p w14:paraId="08F43C34" w14:textId="77777777" w:rsidR="00416D00" w:rsidRPr="009E7CA0" w:rsidDel="00790C13" w:rsidRDefault="00416D00" w:rsidP="00EF7F67">
            <w:pPr>
              <w:pStyle w:val="TableTextLeft"/>
            </w:pPr>
          </w:p>
        </w:tc>
        <w:tc>
          <w:tcPr>
            <w:tcW w:w="1134" w:type="dxa"/>
            <w:tcBorders>
              <w:bottom w:val="single" w:sz="4" w:space="0" w:color="5D779D" w:themeColor="accent3"/>
            </w:tcBorders>
            <w:shd w:val="clear" w:color="auto" w:fill="EFF1F5"/>
          </w:tcPr>
          <w:p w14:paraId="1CB65143" w14:textId="77777777" w:rsidR="00416D00" w:rsidRPr="009E7CA0" w:rsidDel="00790C13" w:rsidRDefault="00416D00" w:rsidP="00EF7F67">
            <w:pPr>
              <w:pStyle w:val="TableTextLeft"/>
            </w:pPr>
          </w:p>
        </w:tc>
      </w:tr>
    </w:tbl>
    <w:p w14:paraId="2A9BCE02" w14:textId="77777777" w:rsidR="00A42B14" w:rsidRPr="00474645" w:rsidRDefault="00A42B14" w:rsidP="00474645">
      <w:r>
        <w:br w:type="page"/>
      </w:r>
    </w:p>
    <w:p w14:paraId="693D857F" w14:textId="6D21E692" w:rsidR="00B54CF6" w:rsidRPr="009831FF" w:rsidRDefault="00B54CF6" w:rsidP="009831FF">
      <w:pPr>
        <w:pStyle w:val="Heading1Numbered"/>
      </w:pPr>
      <w:bookmarkStart w:id="47" w:name="_Toc209785819"/>
      <w:r w:rsidRPr="009831FF">
        <w:lastRenderedPageBreak/>
        <w:t xml:space="preserve">Review and </w:t>
      </w:r>
      <w:r w:rsidR="00AE5232" w:rsidRPr="009831FF">
        <w:t>e</w:t>
      </w:r>
      <w:r w:rsidRPr="009831FF">
        <w:t>valuation</w:t>
      </w:r>
      <w:bookmarkEnd w:id="47"/>
    </w:p>
    <w:p w14:paraId="125E849D" w14:textId="087CEBE2" w:rsidR="00D723F0" w:rsidRPr="00CD695A" w:rsidRDefault="00B54CF6" w:rsidP="00CD695A">
      <w:r w:rsidRPr="00CD695A">
        <w:t xml:space="preserve">This </w:t>
      </w:r>
      <w:r w:rsidR="00C734E8" w:rsidRPr="00CD695A">
        <w:t xml:space="preserve">category </w:t>
      </w:r>
      <w:r w:rsidRPr="00CD695A">
        <w:t xml:space="preserve">includes </w:t>
      </w:r>
      <w:r w:rsidR="00704127" w:rsidRPr="00CD695A">
        <w:rPr>
          <w:rStyle w:val="Strong"/>
        </w:rPr>
        <w:t>21</w:t>
      </w:r>
      <w:r w:rsidR="00E95034" w:rsidRPr="00CD695A">
        <w:t xml:space="preserve"> </w:t>
      </w:r>
      <w:r w:rsidRPr="00CD695A">
        <w:t>initiatives</w:t>
      </w:r>
      <w:r w:rsidR="00F6016A" w:rsidRPr="00CD695A">
        <w:t>. The initiatives in this section</w:t>
      </w:r>
      <w:r w:rsidRPr="00CD695A">
        <w:t xml:space="preserve"> </w:t>
      </w:r>
      <w:r w:rsidR="00F6016A" w:rsidRPr="00CD695A">
        <w:t xml:space="preserve">cover those </w:t>
      </w:r>
      <w:r w:rsidR="007F2998" w:rsidRPr="00CD695A">
        <w:t xml:space="preserve">that relate to </w:t>
      </w:r>
      <w:r w:rsidRPr="00CD695A">
        <w:t xml:space="preserve">the final stage of </w:t>
      </w:r>
      <w:r w:rsidR="00CC1A2D" w:rsidRPr="00CD695A">
        <w:t xml:space="preserve">the </w:t>
      </w:r>
      <w:r w:rsidRPr="00CD695A">
        <w:t>policy</w:t>
      </w:r>
      <w:r w:rsidR="00CC1A2D" w:rsidRPr="00CD695A">
        <w:t xml:space="preserve"> </w:t>
      </w:r>
      <w:r w:rsidR="00463A7B" w:rsidRPr="00CD695A">
        <w:t xml:space="preserve">development </w:t>
      </w:r>
      <w:r w:rsidR="00CC1A2D" w:rsidRPr="00CD695A">
        <w:t>cycle</w:t>
      </w:r>
      <w:r w:rsidRPr="00CD695A">
        <w:t xml:space="preserve">, </w:t>
      </w:r>
      <w:r w:rsidR="00CC1A2D" w:rsidRPr="00CD695A">
        <w:t xml:space="preserve">including </w:t>
      </w:r>
      <w:r w:rsidRPr="00CD695A">
        <w:t xml:space="preserve">legislative reviews, policy reviews, </w:t>
      </w:r>
      <w:r w:rsidR="00133E6E" w:rsidRPr="00CD695A">
        <w:t xml:space="preserve">reviews of </w:t>
      </w:r>
      <w:r w:rsidR="007333F8" w:rsidRPr="00CD695A">
        <w:t xml:space="preserve">existing </w:t>
      </w:r>
      <w:r w:rsidR="00133E6E" w:rsidRPr="00CD695A">
        <w:t xml:space="preserve">prudential standards, </w:t>
      </w:r>
      <w:r w:rsidRPr="00CD695A">
        <w:t>government</w:t>
      </w:r>
      <w:r w:rsidR="009E7CA0">
        <w:noBreakHyphen/>
      </w:r>
      <w:r w:rsidR="009E7CA0">
        <w:noBreakHyphen/>
      </w:r>
      <w:r w:rsidRPr="00CD695A">
        <w:t>directed inquiries, audits and reports.</w:t>
      </w:r>
    </w:p>
    <w:p w14:paraId="5514A9EE" w14:textId="6F8A9003" w:rsidR="00776E56" w:rsidRPr="00CD695A" w:rsidRDefault="00776E56" w:rsidP="00CD695A">
      <w:pPr>
        <w:rPr>
          <w:rStyle w:val="Strong"/>
        </w:rPr>
      </w:pPr>
      <w:r w:rsidRPr="00CD695A">
        <w:rPr>
          <w:rStyle w:val="Strong"/>
        </w:rPr>
        <w:t xml:space="preserve">A * indicates a new milestone for an initiative that was included in Edition </w:t>
      </w:r>
      <w:r w:rsidR="003D66F9" w:rsidRPr="00CD695A">
        <w:rPr>
          <w:rStyle w:val="Strong"/>
        </w:rPr>
        <w:t>2</w:t>
      </w:r>
      <w:r w:rsidRPr="00CD695A">
        <w:rPr>
          <w:rStyle w:val="Strong"/>
        </w:rPr>
        <w:t xml:space="preserve"> where progress on the work has occurred. </w:t>
      </w:r>
    </w:p>
    <w:p w14:paraId="78B43BF6" w14:textId="31C3B236" w:rsidR="00776E56" w:rsidRPr="00CD695A" w:rsidRDefault="00776E56" w:rsidP="00CD695A">
      <w:pPr>
        <w:rPr>
          <w:rStyle w:val="Strong"/>
        </w:rPr>
      </w:pPr>
      <w:r w:rsidRPr="00CD695A">
        <w:rPr>
          <w:rStyle w:val="Strong"/>
        </w:rPr>
        <w:t xml:space="preserve">A ^ indicates where a milestone has changed from Edition </w:t>
      </w:r>
      <w:r w:rsidR="003D66F9" w:rsidRPr="00CD695A">
        <w:rPr>
          <w:rStyle w:val="Strong"/>
        </w:rPr>
        <w:t>2</w:t>
      </w:r>
      <w:r w:rsidRPr="00CD695A">
        <w:rPr>
          <w:rStyle w:val="Strong"/>
        </w:rPr>
        <w:t xml:space="preserve"> to this Edition. A changes table at the end of this document explains the change.</w:t>
      </w:r>
    </w:p>
    <w:p w14:paraId="26F87867" w14:textId="12A11CE9" w:rsidR="00D56AA2" w:rsidRPr="0098521C" w:rsidRDefault="00D56AA2" w:rsidP="001B1F27">
      <w:pPr>
        <w:pStyle w:val="TableMainHeading"/>
        <w:rPr>
          <w:rStyle w:val="Strong"/>
        </w:rPr>
      </w:pPr>
      <w:r w:rsidRPr="0098521C">
        <w:rPr>
          <w:rStyle w:val="Strong"/>
        </w:rPr>
        <w:t>Forward calendar</w:t>
      </w:r>
    </w:p>
    <w:tbl>
      <w:tblPr>
        <w:tblW w:w="5000" w:type="pct"/>
        <w:tblInd w:w="-1" w:type="dxa"/>
        <w:tblBorders>
          <w:bottom w:val="single" w:sz="4" w:space="0" w:color="90B6F0" w:themeColor="accent5"/>
          <w:insideH w:val="single" w:sz="4" w:space="0" w:color="4D7861" w:themeColor="accent2"/>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794"/>
        <w:gridCol w:w="1304"/>
        <w:gridCol w:w="30"/>
        <w:gridCol w:w="3145"/>
        <w:gridCol w:w="1391"/>
        <w:gridCol w:w="1103"/>
        <w:gridCol w:w="1247"/>
        <w:gridCol w:w="1417"/>
        <w:gridCol w:w="1247"/>
        <w:gridCol w:w="1247"/>
        <w:gridCol w:w="1077"/>
      </w:tblGrid>
      <w:tr w:rsidR="00426F08" w:rsidRPr="009E7CA0" w14:paraId="63F51188" w14:textId="57F99529" w:rsidTr="00C62CAD">
        <w:trPr>
          <w:cantSplit/>
          <w:trHeight w:val="567"/>
          <w:tblHeader/>
        </w:trPr>
        <w:tc>
          <w:tcPr>
            <w:tcW w:w="794" w:type="dxa"/>
            <w:shd w:val="clear" w:color="auto" w:fill="B8C9C0"/>
            <w:vAlign w:val="center"/>
            <w:hideMark/>
          </w:tcPr>
          <w:p w14:paraId="4D21FF2D" w14:textId="77777777" w:rsidR="00426F08" w:rsidRPr="009E7CA0" w:rsidRDefault="00426F08" w:rsidP="005E5C59">
            <w:pPr>
              <w:pStyle w:val="TableColumnHeadingLeft"/>
            </w:pPr>
            <w:r w:rsidRPr="009E7CA0">
              <w:t>Agency</w:t>
            </w:r>
          </w:p>
        </w:tc>
        <w:tc>
          <w:tcPr>
            <w:tcW w:w="1304" w:type="dxa"/>
            <w:shd w:val="clear" w:color="auto" w:fill="B8C9C0"/>
            <w:vAlign w:val="center"/>
          </w:tcPr>
          <w:p w14:paraId="2C4734AB" w14:textId="77777777" w:rsidR="00426F08" w:rsidRPr="009E7CA0" w:rsidRDefault="00426F08" w:rsidP="005E5C59">
            <w:pPr>
              <w:pStyle w:val="TableColumnHeadingLeft"/>
            </w:pPr>
            <w:r w:rsidRPr="009E7CA0">
              <w:t>Sector</w:t>
            </w:r>
          </w:p>
        </w:tc>
        <w:tc>
          <w:tcPr>
            <w:tcW w:w="3175" w:type="dxa"/>
            <w:gridSpan w:val="2"/>
            <w:shd w:val="clear" w:color="auto" w:fill="B8C9C0"/>
            <w:vAlign w:val="center"/>
          </w:tcPr>
          <w:p w14:paraId="42BC5D5C" w14:textId="77777777" w:rsidR="00426F08" w:rsidRPr="009E7CA0" w:rsidRDefault="00426F08" w:rsidP="006A0F34">
            <w:pPr>
              <w:pStyle w:val="TableColumnHeadingLeft"/>
            </w:pPr>
            <w:r w:rsidRPr="009E7CA0">
              <w:t>Initiative</w:t>
            </w:r>
          </w:p>
        </w:tc>
        <w:tc>
          <w:tcPr>
            <w:tcW w:w="1391" w:type="dxa"/>
            <w:shd w:val="clear" w:color="auto" w:fill="B8C9C0"/>
            <w:vAlign w:val="center"/>
          </w:tcPr>
          <w:p w14:paraId="2CA2BFC9" w14:textId="77777777" w:rsidR="00426F08" w:rsidRPr="009E7CA0" w:rsidRDefault="00426F08" w:rsidP="005E5C59">
            <w:pPr>
              <w:pStyle w:val="TableColumnHeadingLeft"/>
            </w:pPr>
            <w:r w:rsidRPr="009E7CA0">
              <w:t xml:space="preserve">Q2 2026 </w:t>
            </w:r>
            <w:r w:rsidRPr="009E7CA0" w:rsidDel="00973AC5">
              <w:t>activity</w:t>
            </w:r>
          </w:p>
        </w:tc>
        <w:tc>
          <w:tcPr>
            <w:tcW w:w="1103" w:type="dxa"/>
            <w:shd w:val="clear" w:color="auto" w:fill="B8C9C0"/>
            <w:vAlign w:val="center"/>
          </w:tcPr>
          <w:p w14:paraId="7AA44394" w14:textId="77777777" w:rsidR="00426F08" w:rsidRPr="009E7CA0" w:rsidRDefault="00426F08" w:rsidP="005E5C59">
            <w:pPr>
              <w:pStyle w:val="TableColumnHeadingLeft"/>
            </w:pPr>
            <w:r w:rsidRPr="009E7CA0">
              <w:t>Q3 2026 activity</w:t>
            </w:r>
          </w:p>
        </w:tc>
        <w:tc>
          <w:tcPr>
            <w:tcW w:w="1247" w:type="dxa"/>
            <w:shd w:val="clear" w:color="auto" w:fill="B8C9C0"/>
            <w:vAlign w:val="center"/>
          </w:tcPr>
          <w:p w14:paraId="0AC18280" w14:textId="77777777" w:rsidR="00426F08" w:rsidRPr="009E7CA0" w:rsidRDefault="00426F08" w:rsidP="005E5C59">
            <w:pPr>
              <w:pStyle w:val="TableColumnHeadingLeft"/>
            </w:pPr>
            <w:r w:rsidRPr="009E7CA0">
              <w:t xml:space="preserve">Q4 2026 </w:t>
            </w:r>
            <w:r w:rsidRPr="009E7CA0" w:rsidDel="00973AC5">
              <w:t>activity</w:t>
            </w:r>
          </w:p>
        </w:tc>
        <w:tc>
          <w:tcPr>
            <w:tcW w:w="1417" w:type="dxa"/>
            <w:shd w:val="clear" w:color="auto" w:fill="B8C9C0"/>
            <w:vAlign w:val="center"/>
          </w:tcPr>
          <w:p w14:paraId="3CB8142F" w14:textId="77777777" w:rsidR="00426F08" w:rsidRPr="009E7CA0" w:rsidRDefault="00426F08" w:rsidP="005E5C59">
            <w:pPr>
              <w:pStyle w:val="TableColumnHeadingLeft"/>
            </w:pPr>
            <w:r w:rsidRPr="009E7CA0">
              <w:t xml:space="preserve">Q1 2027 </w:t>
            </w:r>
            <w:r w:rsidRPr="009E7CA0" w:rsidDel="00973AC5">
              <w:t>activity</w:t>
            </w:r>
          </w:p>
        </w:tc>
        <w:tc>
          <w:tcPr>
            <w:tcW w:w="1247" w:type="dxa"/>
            <w:shd w:val="clear" w:color="auto" w:fill="B8C9C0"/>
            <w:vAlign w:val="center"/>
          </w:tcPr>
          <w:p w14:paraId="7CEB24F0" w14:textId="78395D03" w:rsidR="00426F08" w:rsidRPr="009E7CA0" w:rsidRDefault="00426F08" w:rsidP="005E5C59">
            <w:pPr>
              <w:pStyle w:val="TableColumnHeadingLeft"/>
            </w:pPr>
            <w:r w:rsidRPr="009E7CA0">
              <w:t xml:space="preserve">Q2 2027 </w:t>
            </w:r>
            <w:r w:rsidRPr="009E7CA0" w:rsidDel="00973AC5">
              <w:t>activity</w:t>
            </w:r>
          </w:p>
        </w:tc>
        <w:tc>
          <w:tcPr>
            <w:tcW w:w="1247" w:type="dxa"/>
            <w:shd w:val="clear" w:color="auto" w:fill="B8C9C0"/>
          </w:tcPr>
          <w:p w14:paraId="4BAD8588" w14:textId="659C196B" w:rsidR="00426F08" w:rsidRPr="009E7CA0" w:rsidRDefault="00426F08" w:rsidP="005E5C59">
            <w:pPr>
              <w:pStyle w:val="TableColumnHeadingLeft"/>
            </w:pPr>
            <w:r w:rsidRPr="009E7CA0">
              <w:t>H2 2027</w:t>
            </w:r>
            <w:r w:rsidR="00B45F8C">
              <w:t xml:space="preserve"> </w:t>
            </w:r>
            <w:r w:rsidRPr="009E7CA0">
              <w:t>activity</w:t>
            </w:r>
          </w:p>
        </w:tc>
        <w:tc>
          <w:tcPr>
            <w:tcW w:w="1077" w:type="dxa"/>
            <w:shd w:val="clear" w:color="auto" w:fill="B8C9C0"/>
          </w:tcPr>
          <w:p w14:paraId="1CDC1D90" w14:textId="3F9531FF" w:rsidR="00426F08" w:rsidRPr="009E7CA0" w:rsidRDefault="00426F08" w:rsidP="005E5C59">
            <w:pPr>
              <w:pStyle w:val="TableColumnHeadingLeft"/>
            </w:pPr>
            <w:r w:rsidRPr="009E7CA0">
              <w:t>H1 2028</w:t>
            </w:r>
            <w:r w:rsidR="00B45F8C">
              <w:t xml:space="preserve"> </w:t>
            </w:r>
            <w:r w:rsidRPr="009E7CA0">
              <w:t>activity</w:t>
            </w:r>
          </w:p>
        </w:tc>
      </w:tr>
      <w:tr w:rsidR="00426F08" w:rsidRPr="009E7CA0" w14:paraId="44AC1001" w14:textId="7793A464" w:rsidTr="00C62CAD">
        <w:trPr>
          <w:cantSplit/>
          <w:trHeight w:val="410"/>
        </w:trPr>
        <w:tc>
          <w:tcPr>
            <w:tcW w:w="794" w:type="dxa"/>
            <w:tcBorders>
              <w:top w:val="single" w:sz="4" w:space="0" w:color="4D7861" w:themeColor="accent2"/>
              <w:bottom w:val="single" w:sz="4" w:space="0" w:color="4D7861" w:themeColor="accent2"/>
            </w:tcBorders>
          </w:tcPr>
          <w:p w14:paraId="4BAE8278" w14:textId="77777777" w:rsidR="00426F08" w:rsidRPr="009E7CA0" w:rsidRDefault="00426F08" w:rsidP="00195B9B">
            <w:pPr>
              <w:pStyle w:val="TableLeadAgency"/>
            </w:pPr>
            <w:r w:rsidRPr="009E7CA0">
              <w:t>APRA</w:t>
            </w:r>
          </w:p>
        </w:tc>
        <w:tc>
          <w:tcPr>
            <w:tcW w:w="1304" w:type="dxa"/>
            <w:tcBorders>
              <w:top w:val="single" w:sz="4" w:space="0" w:color="4D7861" w:themeColor="accent2"/>
              <w:bottom w:val="single" w:sz="4" w:space="0" w:color="4D7861" w:themeColor="accent2"/>
            </w:tcBorders>
          </w:tcPr>
          <w:p w14:paraId="00D01D4C" w14:textId="77777777" w:rsidR="00426F08" w:rsidRPr="009E7CA0" w:rsidRDefault="00426F08" w:rsidP="00195B9B">
            <w:pPr>
              <w:pStyle w:val="TableTextLeft"/>
            </w:pPr>
            <w:r w:rsidRPr="009E7CA0">
              <w:t>Banking, credit and lending</w:t>
            </w:r>
          </w:p>
          <w:p w14:paraId="4B00AF12" w14:textId="77777777" w:rsidR="00426F08" w:rsidRPr="009E7CA0" w:rsidRDefault="00426F08" w:rsidP="00195B9B">
            <w:pPr>
              <w:pStyle w:val="TableTextLeft"/>
            </w:pPr>
            <w:r w:rsidRPr="009E7CA0">
              <w:t>Insurance and reinsurance</w:t>
            </w:r>
          </w:p>
        </w:tc>
        <w:tc>
          <w:tcPr>
            <w:tcW w:w="3175" w:type="dxa"/>
            <w:gridSpan w:val="2"/>
            <w:tcBorders>
              <w:top w:val="single" w:sz="4" w:space="0" w:color="4D7861" w:themeColor="accent2"/>
              <w:bottom w:val="single" w:sz="4" w:space="0" w:color="4D7861" w:themeColor="accent2"/>
            </w:tcBorders>
          </w:tcPr>
          <w:p w14:paraId="62337354" w14:textId="06565FC4" w:rsidR="00426F08" w:rsidRPr="009E7CA0" w:rsidRDefault="00426F08" w:rsidP="006A0F34">
            <w:pPr>
              <w:pStyle w:val="TableTextLeft"/>
              <w:rPr>
                <w:rStyle w:val="Strong"/>
              </w:rPr>
            </w:pPr>
            <w:r w:rsidRPr="009E7CA0">
              <w:rPr>
                <w:rStyle w:val="Strong"/>
              </w:rPr>
              <w:t>Additional Tier 1 (AT1) capital</w:t>
            </w:r>
          </w:p>
          <w:p w14:paraId="34EF41BF" w14:textId="07D4EA88" w:rsidR="00426F08" w:rsidRPr="009E7CA0" w:rsidRDefault="00426F08" w:rsidP="006A0F34">
            <w:pPr>
              <w:pStyle w:val="TableTextLeft"/>
            </w:pPr>
            <w:r w:rsidRPr="009E7CA0">
              <w:t xml:space="preserve">APRA </w:t>
            </w:r>
            <w:r w:rsidR="003E7AF8" w:rsidRPr="009E7CA0">
              <w:t>announced it would</w:t>
            </w:r>
            <w:r w:rsidRPr="009E7CA0">
              <w:t xml:space="preserve"> review and adjust the capital prudential standards to reflect lessons learned from the global banking instability in 2023 to ensure the prudential framework remains fit for purpose. </w:t>
            </w:r>
            <w:r w:rsidR="003E7AF8" w:rsidRPr="009E7CA0">
              <w:t>In December 2025, APRA finalised amendments to its bank prudential framework to phase out AT1 capital. Continued engagement with industry will support the transition to the new framework, which will commence on 1 January 2027.</w:t>
            </w:r>
          </w:p>
        </w:tc>
        <w:tc>
          <w:tcPr>
            <w:tcW w:w="1391" w:type="dxa"/>
            <w:tcBorders>
              <w:top w:val="single" w:sz="4" w:space="0" w:color="4D7861" w:themeColor="accent2"/>
              <w:bottom w:val="single" w:sz="4" w:space="0" w:color="4D7861" w:themeColor="accent2"/>
            </w:tcBorders>
            <w:shd w:val="clear" w:color="auto" w:fill="DBE4DF"/>
          </w:tcPr>
          <w:p w14:paraId="0C815978" w14:textId="1D07C3FF" w:rsidR="00426F08" w:rsidRPr="009E7CA0" w:rsidRDefault="00426F08" w:rsidP="00195B9B">
            <w:pPr>
              <w:pStyle w:val="TableTextLeft"/>
            </w:pPr>
          </w:p>
        </w:tc>
        <w:tc>
          <w:tcPr>
            <w:tcW w:w="1103" w:type="dxa"/>
            <w:tcBorders>
              <w:top w:val="single" w:sz="4" w:space="0" w:color="4D7861" w:themeColor="accent2"/>
              <w:bottom w:val="single" w:sz="4" w:space="0" w:color="4D7861" w:themeColor="accent2"/>
            </w:tcBorders>
            <w:shd w:val="clear" w:color="auto" w:fill="DBE4DF"/>
          </w:tcPr>
          <w:p w14:paraId="59520125" w14:textId="77777777" w:rsidR="00426F08" w:rsidRPr="009E7CA0" w:rsidRDefault="00426F08"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3A02DD41" w14:textId="77777777" w:rsidR="00426F08" w:rsidRPr="009E7CA0" w:rsidRDefault="00426F08" w:rsidP="00195B9B">
            <w:pPr>
              <w:pStyle w:val="TableTextLeft"/>
            </w:pPr>
          </w:p>
        </w:tc>
        <w:tc>
          <w:tcPr>
            <w:tcW w:w="1417" w:type="dxa"/>
            <w:tcBorders>
              <w:top w:val="single" w:sz="4" w:space="0" w:color="4D7861" w:themeColor="accent2"/>
              <w:bottom w:val="single" w:sz="4" w:space="0" w:color="4D7861" w:themeColor="accent2"/>
            </w:tcBorders>
            <w:shd w:val="clear" w:color="auto" w:fill="EDF2EF"/>
          </w:tcPr>
          <w:p w14:paraId="1AEEE746" w14:textId="452D469D" w:rsidR="00426F08" w:rsidRPr="009E7CA0" w:rsidRDefault="00426F08" w:rsidP="00195B9B">
            <w:pPr>
              <w:pStyle w:val="TableTextLeft"/>
            </w:pPr>
            <w:r w:rsidRPr="009E7CA0">
              <w:t>Commencement</w:t>
            </w:r>
          </w:p>
        </w:tc>
        <w:tc>
          <w:tcPr>
            <w:tcW w:w="1247" w:type="dxa"/>
            <w:tcBorders>
              <w:top w:val="single" w:sz="4" w:space="0" w:color="4D7861" w:themeColor="accent2"/>
              <w:bottom w:val="single" w:sz="4" w:space="0" w:color="4D7861" w:themeColor="accent2"/>
            </w:tcBorders>
            <w:shd w:val="clear" w:color="auto" w:fill="EDF2EF"/>
          </w:tcPr>
          <w:p w14:paraId="5A2B280B" w14:textId="77777777" w:rsidR="00426F08" w:rsidRPr="009E7CA0" w:rsidRDefault="00426F08"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112FA467" w14:textId="77777777" w:rsidR="00426F08" w:rsidRPr="009E7CA0" w:rsidRDefault="00426F08" w:rsidP="00195B9B">
            <w:pPr>
              <w:pStyle w:val="TableTextLeft"/>
            </w:pPr>
          </w:p>
        </w:tc>
        <w:tc>
          <w:tcPr>
            <w:tcW w:w="1077" w:type="dxa"/>
            <w:tcBorders>
              <w:top w:val="single" w:sz="4" w:space="0" w:color="4D7861" w:themeColor="accent2"/>
              <w:bottom w:val="single" w:sz="4" w:space="0" w:color="4D7861" w:themeColor="accent2"/>
            </w:tcBorders>
            <w:shd w:val="clear" w:color="auto" w:fill="EDF2EF"/>
          </w:tcPr>
          <w:p w14:paraId="7616757A" w14:textId="77777777" w:rsidR="00426F08" w:rsidRPr="009E7CA0" w:rsidRDefault="00426F08" w:rsidP="00195B9B">
            <w:pPr>
              <w:pStyle w:val="TableTextLeft"/>
            </w:pPr>
          </w:p>
        </w:tc>
      </w:tr>
      <w:tr w:rsidR="00426F08" w:rsidRPr="009E7CA0" w14:paraId="5620EF59" w14:textId="7B92E8B5" w:rsidTr="00C62CAD">
        <w:trPr>
          <w:cantSplit/>
          <w:trHeight w:val="410"/>
        </w:trPr>
        <w:tc>
          <w:tcPr>
            <w:tcW w:w="794" w:type="dxa"/>
            <w:tcBorders>
              <w:top w:val="single" w:sz="4" w:space="0" w:color="4D7861" w:themeColor="accent2"/>
              <w:bottom w:val="single" w:sz="4" w:space="0" w:color="4D7861" w:themeColor="accent2"/>
            </w:tcBorders>
          </w:tcPr>
          <w:p w14:paraId="17EEC052" w14:textId="77777777" w:rsidR="00426F08" w:rsidRPr="009E7CA0" w:rsidRDefault="00426F08" w:rsidP="00056351">
            <w:pPr>
              <w:pStyle w:val="TableLeadAgency"/>
            </w:pPr>
            <w:r w:rsidRPr="009E7CA0">
              <w:t>APRA</w:t>
            </w:r>
          </w:p>
        </w:tc>
        <w:tc>
          <w:tcPr>
            <w:tcW w:w="1304" w:type="dxa"/>
            <w:tcBorders>
              <w:top w:val="single" w:sz="4" w:space="0" w:color="4D7861" w:themeColor="accent2"/>
              <w:bottom w:val="single" w:sz="4" w:space="0" w:color="4D7861" w:themeColor="accent2"/>
            </w:tcBorders>
          </w:tcPr>
          <w:p w14:paraId="3D54C7FB" w14:textId="77777777" w:rsidR="00426F08" w:rsidRPr="009E7CA0" w:rsidRDefault="00426F08" w:rsidP="00056351">
            <w:pPr>
              <w:pStyle w:val="TableTextLeft"/>
            </w:pPr>
            <w:r w:rsidRPr="009E7CA0" w:rsidDel="00963326">
              <w:t>Insurance and reinsurance</w:t>
            </w:r>
          </w:p>
        </w:tc>
        <w:tc>
          <w:tcPr>
            <w:tcW w:w="3175" w:type="dxa"/>
            <w:gridSpan w:val="2"/>
            <w:tcBorders>
              <w:top w:val="single" w:sz="4" w:space="0" w:color="4D7861" w:themeColor="accent2"/>
              <w:bottom w:val="single" w:sz="4" w:space="0" w:color="4D7861" w:themeColor="accent2"/>
            </w:tcBorders>
          </w:tcPr>
          <w:p w14:paraId="7888B8E1" w14:textId="0569411E" w:rsidR="00426F08" w:rsidRPr="009E7CA0" w:rsidRDefault="00426F08" w:rsidP="006A0F34">
            <w:pPr>
              <w:pStyle w:val="TableTextLeft"/>
              <w:rPr>
                <w:rStyle w:val="Strong"/>
              </w:rPr>
            </w:pPr>
            <w:r w:rsidRPr="009E7CA0">
              <w:rPr>
                <w:rStyle w:val="Strong"/>
              </w:rPr>
              <w:t xml:space="preserve">Capital for annuities </w:t>
            </w:r>
          </w:p>
          <w:p w14:paraId="302981A1" w14:textId="31130E14" w:rsidR="00426F08" w:rsidRPr="009E7CA0" w:rsidRDefault="00426F08" w:rsidP="006A0F34">
            <w:pPr>
              <w:pStyle w:val="TableTextLeft"/>
            </w:pPr>
            <w:r w:rsidRPr="009E7CA0">
              <w:t xml:space="preserve">APRA will </w:t>
            </w:r>
            <w:r w:rsidR="00EF04A9" w:rsidRPr="009E7CA0">
              <w:t>finalise</w:t>
            </w:r>
            <w:r w:rsidRPr="009E7CA0">
              <w:t xml:space="preserve"> a proposal to reduce prudential capital requirements for life insurers offering annuity products. </w:t>
            </w:r>
            <w:r w:rsidR="00F11E64" w:rsidRPr="009E7CA0">
              <w:t>The intent of the proposal</w:t>
            </w:r>
            <w:r w:rsidRPr="009E7CA0">
              <w:t xml:space="preserve"> is to lower the cost to life insurers of providing annuity products.</w:t>
            </w:r>
          </w:p>
        </w:tc>
        <w:tc>
          <w:tcPr>
            <w:tcW w:w="1391" w:type="dxa"/>
            <w:tcBorders>
              <w:top w:val="single" w:sz="4" w:space="0" w:color="4D7861" w:themeColor="accent2"/>
              <w:bottom w:val="single" w:sz="4" w:space="0" w:color="4D7861" w:themeColor="accent2"/>
            </w:tcBorders>
            <w:shd w:val="clear" w:color="auto" w:fill="DBE4DF"/>
          </w:tcPr>
          <w:p w14:paraId="39247C94" w14:textId="4DDB7A20" w:rsidR="00426F08" w:rsidRPr="009E7CA0" w:rsidRDefault="00426F08" w:rsidP="009334B7">
            <w:pPr>
              <w:pStyle w:val="TableTextLeft"/>
            </w:pPr>
          </w:p>
        </w:tc>
        <w:tc>
          <w:tcPr>
            <w:tcW w:w="1103" w:type="dxa"/>
            <w:tcBorders>
              <w:top w:val="single" w:sz="4" w:space="0" w:color="4D7861" w:themeColor="accent2"/>
              <w:bottom w:val="single" w:sz="4" w:space="0" w:color="4D7861" w:themeColor="accent2"/>
            </w:tcBorders>
            <w:shd w:val="clear" w:color="auto" w:fill="DBE4DF"/>
          </w:tcPr>
          <w:p w14:paraId="47CC19F9" w14:textId="77777777" w:rsidR="00426F08" w:rsidRPr="009E7CA0" w:rsidRDefault="00426F08" w:rsidP="00056351">
            <w:pPr>
              <w:pStyle w:val="TableTextLeft"/>
            </w:pPr>
            <w:r w:rsidRPr="009E7CA0">
              <w:t>Commences</w:t>
            </w:r>
          </w:p>
        </w:tc>
        <w:tc>
          <w:tcPr>
            <w:tcW w:w="1247" w:type="dxa"/>
            <w:tcBorders>
              <w:top w:val="single" w:sz="4" w:space="0" w:color="4D7861" w:themeColor="accent2"/>
              <w:bottom w:val="single" w:sz="4" w:space="0" w:color="4D7861" w:themeColor="accent2"/>
            </w:tcBorders>
            <w:shd w:val="clear" w:color="auto" w:fill="DBE4DF"/>
          </w:tcPr>
          <w:p w14:paraId="7C0D47FC" w14:textId="4BFCB7ED" w:rsidR="00426F08" w:rsidRPr="009E7CA0" w:rsidRDefault="00426F08" w:rsidP="00056351">
            <w:pPr>
              <w:pStyle w:val="TableTextLeft"/>
            </w:pPr>
          </w:p>
        </w:tc>
        <w:tc>
          <w:tcPr>
            <w:tcW w:w="1417" w:type="dxa"/>
            <w:tcBorders>
              <w:top w:val="single" w:sz="4" w:space="0" w:color="4D7861" w:themeColor="accent2"/>
              <w:bottom w:val="single" w:sz="4" w:space="0" w:color="4D7861" w:themeColor="accent2"/>
            </w:tcBorders>
            <w:shd w:val="clear" w:color="auto" w:fill="EDF2EF"/>
          </w:tcPr>
          <w:p w14:paraId="248F8948" w14:textId="77777777" w:rsidR="00426F08" w:rsidRPr="009E7CA0" w:rsidRDefault="00426F08" w:rsidP="00056351">
            <w:pPr>
              <w:pStyle w:val="TableTextLeft"/>
            </w:pPr>
          </w:p>
        </w:tc>
        <w:tc>
          <w:tcPr>
            <w:tcW w:w="1247" w:type="dxa"/>
            <w:tcBorders>
              <w:top w:val="single" w:sz="4" w:space="0" w:color="4D7861" w:themeColor="accent2"/>
              <w:bottom w:val="single" w:sz="4" w:space="0" w:color="4D7861" w:themeColor="accent2"/>
            </w:tcBorders>
            <w:shd w:val="clear" w:color="auto" w:fill="EDF2EF"/>
          </w:tcPr>
          <w:p w14:paraId="31925704" w14:textId="77777777" w:rsidR="00426F08" w:rsidRPr="009E7CA0" w:rsidRDefault="00426F08" w:rsidP="00056351">
            <w:pPr>
              <w:pStyle w:val="TableTextLeft"/>
            </w:pPr>
          </w:p>
        </w:tc>
        <w:tc>
          <w:tcPr>
            <w:tcW w:w="1247" w:type="dxa"/>
            <w:tcBorders>
              <w:top w:val="single" w:sz="4" w:space="0" w:color="4D7861" w:themeColor="accent2"/>
              <w:bottom w:val="single" w:sz="4" w:space="0" w:color="4D7861" w:themeColor="accent2"/>
            </w:tcBorders>
            <w:shd w:val="clear" w:color="auto" w:fill="EDF2EF"/>
          </w:tcPr>
          <w:p w14:paraId="7984ACE4" w14:textId="77777777" w:rsidR="00426F08" w:rsidRPr="009E7CA0" w:rsidRDefault="00426F08" w:rsidP="00056351">
            <w:pPr>
              <w:pStyle w:val="TableTextLeft"/>
            </w:pPr>
          </w:p>
        </w:tc>
        <w:tc>
          <w:tcPr>
            <w:tcW w:w="1077" w:type="dxa"/>
            <w:tcBorders>
              <w:top w:val="single" w:sz="4" w:space="0" w:color="4D7861" w:themeColor="accent2"/>
              <w:bottom w:val="single" w:sz="4" w:space="0" w:color="4D7861" w:themeColor="accent2"/>
            </w:tcBorders>
            <w:shd w:val="clear" w:color="auto" w:fill="EDF2EF"/>
          </w:tcPr>
          <w:p w14:paraId="4DF65BD1" w14:textId="77777777" w:rsidR="00426F08" w:rsidRPr="009E7CA0" w:rsidRDefault="00426F08" w:rsidP="00056351">
            <w:pPr>
              <w:pStyle w:val="TableTextLeft"/>
            </w:pPr>
          </w:p>
        </w:tc>
      </w:tr>
      <w:tr w:rsidR="00426F08" w:rsidRPr="009E7CA0" w14:paraId="6BF619CC" w14:textId="601F546D" w:rsidTr="00C62CAD">
        <w:trPr>
          <w:cantSplit/>
          <w:trHeight w:val="300"/>
        </w:trPr>
        <w:tc>
          <w:tcPr>
            <w:tcW w:w="794" w:type="dxa"/>
            <w:tcBorders>
              <w:top w:val="single" w:sz="4" w:space="0" w:color="4D7861" w:themeColor="accent2"/>
              <w:bottom w:val="single" w:sz="4" w:space="0" w:color="4D7861" w:themeColor="accent2"/>
            </w:tcBorders>
          </w:tcPr>
          <w:p w14:paraId="488AFA54" w14:textId="77777777" w:rsidR="00426F08" w:rsidRPr="009E7CA0" w:rsidRDefault="00426F08" w:rsidP="00DD5FB7">
            <w:pPr>
              <w:pStyle w:val="TableLeadAgency"/>
            </w:pPr>
            <w:r w:rsidRPr="009E7CA0">
              <w:lastRenderedPageBreak/>
              <w:t>TSY</w:t>
            </w:r>
          </w:p>
          <w:p w14:paraId="16B24FEB" w14:textId="77777777" w:rsidR="00426F08" w:rsidRPr="009E7CA0" w:rsidRDefault="00426F08" w:rsidP="00DD5FB7">
            <w:pPr>
              <w:pStyle w:val="TableLeadAgency"/>
            </w:pPr>
          </w:p>
        </w:tc>
        <w:tc>
          <w:tcPr>
            <w:tcW w:w="1304" w:type="dxa"/>
            <w:tcBorders>
              <w:top w:val="single" w:sz="4" w:space="0" w:color="4D7861" w:themeColor="accent2"/>
              <w:bottom w:val="single" w:sz="4" w:space="0" w:color="4D7861" w:themeColor="accent2"/>
            </w:tcBorders>
          </w:tcPr>
          <w:p w14:paraId="51B0B752" w14:textId="77777777" w:rsidR="00426F08" w:rsidRPr="009E7CA0" w:rsidRDefault="00426F08" w:rsidP="00DD5FB7">
            <w:pPr>
              <w:pStyle w:val="TableTextLeft"/>
            </w:pPr>
            <w:r w:rsidRPr="009E7CA0">
              <w:t>All</w:t>
            </w:r>
          </w:p>
        </w:tc>
        <w:tc>
          <w:tcPr>
            <w:tcW w:w="3175" w:type="dxa"/>
            <w:gridSpan w:val="2"/>
            <w:tcBorders>
              <w:top w:val="single" w:sz="4" w:space="0" w:color="4D7861" w:themeColor="accent2"/>
              <w:bottom w:val="single" w:sz="4" w:space="0" w:color="4D7861" w:themeColor="accent2"/>
            </w:tcBorders>
          </w:tcPr>
          <w:p w14:paraId="0375B389" w14:textId="7C4AF0C7" w:rsidR="00426F08" w:rsidRPr="009E7CA0" w:rsidRDefault="00426F08" w:rsidP="00174AE3">
            <w:pPr>
              <w:pStyle w:val="TableTextLeft"/>
              <w:rPr>
                <w:rStyle w:val="Strong"/>
              </w:rPr>
            </w:pPr>
            <w:r w:rsidRPr="009E7CA0">
              <w:rPr>
                <w:rStyle w:val="Strong"/>
              </w:rPr>
              <w:t xml:space="preserve">CFR coordination </w:t>
            </w:r>
          </w:p>
          <w:p w14:paraId="55755414" w14:textId="418CAC57" w:rsidR="00426F08" w:rsidRPr="009E7CA0" w:rsidRDefault="00426F08" w:rsidP="00174AE3">
            <w:pPr>
              <w:pStyle w:val="TableTextLeft"/>
              <w:rPr>
                <w:rFonts w:eastAsia="Calibri Light"/>
              </w:rPr>
            </w:pPr>
            <w:r w:rsidRPr="009E7CA0">
              <w:t>The Treasurer has tasked the CFR</w:t>
            </w:r>
            <w:r w:rsidR="003D26EF" w:rsidRPr="009E7CA0">
              <w:t> </w:t>
            </w:r>
            <w:r w:rsidRPr="009E7CA0">
              <w:t>agencies to work together to enhance regulatory coordination in the financial sector consistent with the CFR</w:t>
            </w:r>
            <w:r w:rsidR="009631E5" w:rsidRPr="009E7CA0">
              <w:t> </w:t>
            </w:r>
            <w:r w:rsidRPr="009E7CA0">
              <w:t>Review initiative below. This include</w:t>
            </w:r>
            <w:r w:rsidR="00E9582F" w:rsidRPr="009E7CA0">
              <w:t>s</w:t>
            </w:r>
            <w:r w:rsidRPr="009E7CA0">
              <w:t xml:space="preserve"> identifying opportunities to streamline and harmonise data collection. </w:t>
            </w:r>
          </w:p>
        </w:tc>
        <w:tc>
          <w:tcPr>
            <w:tcW w:w="1391" w:type="dxa"/>
            <w:tcBorders>
              <w:top w:val="single" w:sz="4" w:space="0" w:color="4D7861" w:themeColor="accent2"/>
              <w:bottom w:val="single" w:sz="4" w:space="0" w:color="4D7861" w:themeColor="accent2"/>
            </w:tcBorders>
            <w:shd w:val="clear" w:color="auto" w:fill="DBE4DF"/>
          </w:tcPr>
          <w:p w14:paraId="3C184F17" w14:textId="6383B22B" w:rsidR="00426F08" w:rsidRPr="009E7CA0" w:rsidRDefault="00426F08" w:rsidP="00DD5FB7">
            <w:pPr>
              <w:pStyle w:val="TableTextLeft"/>
              <w:rPr>
                <w:szCs w:val="16"/>
              </w:rPr>
            </w:pPr>
          </w:p>
        </w:tc>
        <w:tc>
          <w:tcPr>
            <w:tcW w:w="1103" w:type="dxa"/>
            <w:tcBorders>
              <w:top w:val="single" w:sz="4" w:space="0" w:color="4D7861" w:themeColor="accent2"/>
              <w:bottom w:val="single" w:sz="4" w:space="0" w:color="4D7861" w:themeColor="accent2"/>
            </w:tcBorders>
            <w:shd w:val="clear" w:color="auto" w:fill="DBE4DF"/>
          </w:tcPr>
          <w:p w14:paraId="0B9EF6F5" w14:textId="77777777" w:rsidR="00426F08" w:rsidRPr="009E7CA0" w:rsidRDefault="00426F08" w:rsidP="00DD5FB7">
            <w:pPr>
              <w:pStyle w:val="TableTextLeft"/>
            </w:pPr>
          </w:p>
        </w:tc>
        <w:tc>
          <w:tcPr>
            <w:tcW w:w="1247" w:type="dxa"/>
            <w:tcBorders>
              <w:top w:val="single" w:sz="4" w:space="0" w:color="4D7861" w:themeColor="accent2"/>
              <w:bottom w:val="single" w:sz="4" w:space="0" w:color="4D7861" w:themeColor="accent2"/>
            </w:tcBorders>
            <w:shd w:val="clear" w:color="auto" w:fill="DBE4DF"/>
          </w:tcPr>
          <w:p w14:paraId="6C74C10F" w14:textId="77777777" w:rsidR="00426F08" w:rsidRPr="009E7CA0" w:rsidRDefault="00426F08" w:rsidP="00DD5FB7">
            <w:pPr>
              <w:pStyle w:val="TableTextLeft"/>
            </w:pPr>
          </w:p>
        </w:tc>
        <w:tc>
          <w:tcPr>
            <w:tcW w:w="1417" w:type="dxa"/>
            <w:tcBorders>
              <w:top w:val="single" w:sz="4" w:space="0" w:color="4D7861" w:themeColor="accent2"/>
              <w:bottom w:val="single" w:sz="4" w:space="0" w:color="4D7861" w:themeColor="accent2"/>
            </w:tcBorders>
            <w:shd w:val="clear" w:color="auto" w:fill="EDF2EF"/>
          </w:tcPr>
          <w:p w14:paraId="561F5528" w14:textId="77777777" w:rsidR="00426F08" w:rsidRPr="009E7CA0" w:rsidRDefault="00426F08" w:rsidP="00DD5FB7">
            <w:pPr>
              <w:pStyle w:val="TableTextLeft"/>
            </w:pPr>
          </w:p>
        </w:tc>
        <w:tc>
          <w:tcPr>
            <w:tcW w:w="1247" w:type="dxa"/>
            <w:tcBorders>
              <w:top w:val="single" w:sz="4" w:space="0" w:color="4D7861" w:themeColor="accent2"/>
              <w:bottom w:val="single" w:sz="4" w:space="0" w:color="4D7861" w:themeColor="accent2"/>
            </w:tcBorders>
            <w:shd w:val="clear" w:color="auto" w:fill="EDF2EF"/>
          </w:tcPr>
          <w:p w14:paraId="0B12D15A" w14:textId="77777777" w:rsidR="00426F08" w:rsidRPr="009E7CA0" w:rsidRDefault="00426F08" w:rsidP="00DD5FB7">
            <w:pPr>
              <w:pStyle w:val="TableTextLeft"/>
            </w:pPr>
          </w:p>
        </w:tc>
        <w:tc>
          <w:tcPr>
            <w:tcW w:w="1247" w:type="dxa"/>
            <w:tcBorders>
              <w:top w:val="single" w:sz="4" w:space="0" w:color="4D7861" w:themeColor="accent2"/>
              <w:bottom w:val="single" w:sz="4" w:space="0" w:color="4D7861" w:themeColor="accent2"/>
            </w:tcBorders>
            <w:shd w:val="clear" w:color="auto" w:fill="EDF2EF"/>
          </w:tcPr>
          <w:p w14:paraId="7F3DF025" w14:textId="77777777" w:rsidR="00426F08" w:rsidRPr="009E7CA0" w:rsidRDefault="00426F08" w:rsidP="00DD5FB7">
            <w:pPr>
              <w:pStyle w:val="TableTextLeft"/>
            </w:pPr>
          </w:p>
        </w:tc>
        <w:tc>
          <w:tcPr>
            <w:tcW w:w="1077" w:type="dxa"/>
            <w:tcBorders>
              <w:top w:val="single" w:sz="4" w:space="0" w:color="4D7861" w:themeColor="accent2"/>
              <w:bottom w:val="single" w:sz="4" w:space="0" w:color="4D7861" w:themeColor="accent2"/>
            </w:tcBorders>
            <w:shd w:val="clear" w:color="auto" w:fill="EDF2EF"/>
          </w:tcPr>
          <w:p w14:paraId="2CF6C725" w14:textId="77777777" w:rsidR="00426F08" w:rsidRPr="009E7CA0" w:rsidRDefault="00426F08" w:rsidP="00DD5FB7">
            <w:pPr>
              <w:pStyle w:val="TableTextLeft"/>
            </w:pPr>
          </w:p>
        </w:tc>
      </w:tr>
      <w:tr w:rsidR="00426F08" w:rsidRPr="009E7CA0" w14:paraId="1468C5F9" w14:textId="7BE4A21D" w:rsidTr="00C62CAD">
        <w:trPr>
          <w:cantSplit/>
          <w:trHeight w:val="410"/>
        </w:trPr>
        <w:tc>
          <w:tcPr>
            <w:tcW w:w="794" w:type="dxa"/>
            <w:tcBorders>
              <w:top w:val="single" w:sz="4" w:space="0" w:color="4D7861" w:themeColor="accent2"/>
              <w:bottom w:val="single" w:sz="4" w:space="0" w:color="4D7861" w:themeColor="accent2"/>
            </w:tcBorders>
          </w:tcPr>
          <w:p w14:paraId="5B489879" w14:textId="77777777" w:rsidR="00426F08" w:rsidRPr="009E7CA0" w:rsidRDefault="00426F08" w:rsidP="002B3DB4">
            <w:pPr>
              <w:pStyle w:val="TableLeadAgency"/>
            </w:pPr>
            <w:r w:rsidRPr="009E7CA0">
              <w:t>TSY</w:t>
            </w:r>
          </w:p>
        </w:tc>
        <w:tc>
          <w:tcPr>
            <w:tcW w:w="1304" w:type="dxa"/>
            <w:tcBorders>
              <w:top w:val="single" w:sz="4" w:space="0" w:color="4D7861" w:themeColor="accent2"/>
              <w:bottom w:val="single" w:sz="4" w:space="0" w:color="4D7861" w:themeColor="accent2"/>
            </w:tcBorders>
          </w:tcPr>
          <w:p w14:paraId="0B0E536B" w14:textId="1452F215" w:rsidR="00426F08" w:rsidRPr="009E7CA0" w:rsidRDefault="00426F08" w:rsidP="002B3DB4">
            <w:pPr>
              <w:pStyle w:val="TableTextLeft"/>
              <w:rPr>
                <w:b/>
                <w:bCs/>
                <w:color w:val="000000" w:themeColor="text1"/>
              </w:rPr>
            </w:pPr>
            <w:r w:rsidRPr="009E7CA0">
              <w:t>All</w:t>
            </w:r>
          </w:p>
        </w:tc>
        <w:tc>
          <w:tcPr>
            <w:tcW w:w="3175" w:type="dxa"/>
            <w:gridSpan w:val="2"/>
            <w:tcBorders>
              <w:bottom w:val="single" w:sz="4" w:space="0" w:color="4D7861" w:themeColor="accent2"/>
            </w:tcBorders>
          </w:tcPr>
          <w:p w14:paraId="3FA2F435" w14:textId="03370B97" w:rsidR="00426F08" w:rsidRPr="009E7CA0" w:rsidRDefault="00426F08" w:rsidP="00A91DA7">
            <w:pPr>
              <w:pStyle w:val="TableLink"/>
            </w:pPr>
            <w:hyperlink r:id="rId108">
              <w:r w:rsidRPr="009E7CA0">
                <w:rPr>
                  <w:rStyle w:val="Hyperlink"/>
                  <w:color w:val="5D779D" w:themeColor="accent3"/>
                  <w:u w:val="single"/>
                </w:rPr>
                <w:t>Compensation Scheme of Last Resort (CSLR) post</w:t>
              </w:r>
              <w:r w:rsidR="104911DC" w:rsidRPr="009E7CA0">
                <w:rPr>
                  <w:rStyle w:val="Hyperlink"/>
                  <w:color w:val="5D779D" w:themeColor="accent3"/>
                  <w:u w:val="single"/>
                </w:rPr>
                <w:t>-i</w:t>
              </w:r>
              <w:r w:rsidRPr="009E7CA0">
                <w:rPr>
                  <w:rStyle w:val="Hyperlink"/>
                  <w:color w:val="5D779D" w:themeColor="accent3"/>
                  <w:u w:val="single"/>
                </w:rPr>
                <w:t>mplementation review</w:t>
              </w:r>
            </w:hyperlink>
            <w:r w:rsidRPr="009E7CA0">
              <w:t xml:space="preserve"> </w:t>
            </w:r>
          </w:p>
          <w:p w14:paraId="697F61E7" w14:textId="3E157A83" w:rsidR="00426F08" w:rsidRPr="009E7CA0" w:rsidRDefault="00426F08" w:rsidP="00A91DA7">
            <w:pPr>
              <w:pStyle w:val="TableTextLeft"/>
            </w:pPr>
            <w:r w:rsidRPr="009E7CA0">
              <w:t>On 31 January 2025, the Assistant Treasurer announced a post</w:t>
            </w:r>
            <w:r w:rsidRPr="009E7CA0">
              <w:rPr>
                <w:rFonts w:ascii="Cambria Math" w:hAnsi="Cambria Math" w:cs="Cambria Math"/>
              </w:rPr>
              <w:t>‑</w:t>
            </w:r>
            <w:r w:rsidRPr="009E7CA0">
              <w:t xml:space="preserve">implementation review of the Compensation Scheme of Last Resort (CSLR). </w:t>
            </w:r>
            <w:r w:rsidR="0027370D" w:rsidRPr="009E7CA0">
              <w:t xml:space="preserve">As part of the review, the Government </w:t>
            </w:r>
            <w:r w:rsidR="006A679A" w:rsidRPr="009E7CA0">
              <w:t>is releasing</w:t>
            </w:r>
            <w:r w:rsidR="00E959A0" w:rsidRPr="009E7CA0">
              <w:t xml:space="preserve"> </w:t>
            </w:r>
            <w:r w:rsidR="00E76979" w:rsidRPr="009E7CA0">
              <w:t>a</w:t>
            </w:r>
            <w:r w:rsidR="009D6E17" w:rsidRPr="009E7CA0">
              <w:t>n</w:t>
            </w:r>
            <w:r w:rsidR="00E76979" w:rsidRPr="009E7CA0">
              <w:t xml:space="preserve"> </w:t>
            </w:r>
            <w:r w:rsidR="009D6E17" w:rsidRPr="009E7CA0">
              <w:t xml:space="preserve">options </w:t>
            </w:r>
            <w:r w:rsidR="00E76979" w:rsidRPr="009E7CA0">
              <w:t>paper on CSLR reform options.</w:t>
            </w:r>
          </w:p>
        </w:tc>
        <w:tc>
          <w:tcPr>
            <w:tcW w:w="1391" w:type="dxa"/>
            <w:tcBorders>
              <w:bottom w:val="single" w:sz="4" w:space="0" w:color="4D7861" w:themeColor="accent2"/>
            </w:tcBorders>
            <w:shd w:val="clear" w:color="auto" w:fill="DBE4DF"/>
          </w:tcPr>
          <w:p w14:paraId="60C60361" w14:textId="6EB03B38" w:rsidR="00426F08" w:rsidRPr="009E7CA0" w:rsidRDefault="00E52F91" w:rsidP="002B3DB4">
            <w:pPr>
              <w:pStyle w:val="TableTextLeft"/>
              <w:rPr>
                <w:rFonts w:eastAsia="Calibri Light"/>
                <w:color w:val="000000" w:themeColor="text1"/>
              </w:rPr>
            </w:pPr>
            <w:r w:rsidRPr="009E7CA0">
              <w:rPr>
                <w:rFonts w:eastAsia="Calibri Light"/>
              </w:rPr>
              <w:t>P</w:t>
            </w:r>
            <w:r w:rsidR="1BDE6E6E" w:rsidRPr="009E7CA0">
              <w:rPr>
                <w:rFonts w:eastAsia="Calibri Light"/>
              </w:rPr>
              <w:t xml:space="preserve">ublic consultation on </w:t>
            </w:r>
            <w:r w:rsidRPr="009E7CA0">
              <w:rPr>
                <w:rFonts w:eastAsia="Calibri Light"/>
              </w:rPr>
              <w:t>options for reform</w:t>
            </w:r>
            <w:r w:rsidR="1BDE6E6E" w:rsidRPr="009E7CA0">
              <w:rPr>
                <w:rFonts w:eastAsia="Calibri Light"/>
              </w:rPr>
              <w:t xml:space="preserve"> </w:t>
            </w:r>
            <w:r w:rsidRPr="009E7CA0">
              <w:rPr>
                <w:rFonts w:eastAsia="Calibri Light"/>
              </w:rPr>
              <w:t>will</w:t>
            </w:r>
            <w:r w:rsidR="1BDE6E6E" w:rsidRPr="009E7CA0">
              <w:rPr>
                <w:rFonts w:eastAsia="Calibri Light"/>
              </w:rPr>
              <w:t xml:space="preserve"> conclud</w:t>
            </w:r>
            <w:r w:rsidRPr="009E7CA0">
              <w:rPr>
                <w:rFonts w:eastAsia="Calibri Light"/>
              </w:rPr>
              <w:t>e</w:t>
            </w:r>
            <w:r w:rsidR="1BDE6E6E" w:rsidRPr="009E7CA0">
              <w:rPr>
                <w:rFonts w:eastAsia="Calibri Light"/>
              </w:rPr>
              <w:t xml:space="preserve"> </w:t>
            </w:r>
            <w:r w:rsidR="00203CA9" w:rsidRPr="009E7CA0">
              <w:rPr>
                <w:rFonts w:eastAsia="Calibri Light"/>
              </w:rPr>
              <w:t>22</w:t>
            </w:r>
            <w:r w:rsidR="00AE1673" w:rsidRPr="009E7CA0">
              <w:rPr>
                <w:rFonts w:eastAsia="Calibri Light"/>
              </w:rPr>
              <w:t> </w:t>
            </w:r>
            <w:r w:rsidR="1BDE6E6E" w:rsidRPr="009E7CA0">
              <w:rPr>
                <w:rFonts w:eastAsia="Calibri Light"/>
              </w:rPr>
              <w:t>May</w:t>
            </w:r>
            <w:r w:rsidR="00C62CAD" w:rsidRPr="009E7CA0">
              <w:rPr>
                <w:rFonts w:eastAsia="Calibri Light"/>
              </w:rPr>
              <w:t> </w:t>
            </w:r>
            <w:r w:rsidR="008333F3" w:rsidRPr="009E7CA0">
              <w:rPr>
                <w:rFonts w:eastAsia="Calibri Light"/>
              </w:rPr>
              <w:t>2026.*</w:t>
            </w:r>
          </w:p>
        </w:tc>
        <w:tc>
          <w:tcPr>
            <w:tcW w:w="1103" w:type="dxa"/>
            <w:tcBorders>
              <w:bottom w:val="single" w:sz="4" w:space="0" w:color="4D7861" w:themeColor="accent2"/>
            </w:tcBorders>
            <w:shd w:val="clear" w:color="auto" w:fill="DBE4DF"/>
          </w:tcPr>
          <w:p w14:paraId="277C985A" w14:textId="012C7A58" w:rsidR="00426F08" w:rsidRPr="009E7CA0" w:rsidRDefault="00426F08" w:rsidP="002B3DB4">
            <w:pPr>
              <w:pStyle w:val="TableTextLeft"/>
              <w:rPr>
                <w:b/>
                <w:bCs/>
                <w:color w:val="000000" w:themeColor="text1"/>
              </w:rPr>
            </w:pPr>
          </w:p>
        </w:tc>
        <w:tc>
          <w:tcPr>
            <w:tcW w:w="1247" w:type="dxa"/>
            <w:tcBorders>
              <w:bottom w:val="single" w:sz="4" w:space="0" w:color="4D7861" w:themeColor="accent2"/>
            </w:tcBorders>
            <w:shd w:val="clear" w:color="auto" w:fill="DBE4DF"/>
          </w:tcPr>
          <w:p w14:paraId="71ED6EB0" w14:textId="77777777" w:rsidR="00426F08" w:rsidRPr="009E7CA0" w:rsidRDefault="00426F08" w:rsidP="002B3DB4">
            <w:pPr>
              <w:pStyle w:val="TableTextLeft"/>
              <w:rPr>
                <w:b/>
                <w:bCs/>
                <w:color w:val="000000" w:themeColor="text1"/>
              </w:rPr>
            </w:pPr>
          </w:p>
        </w:tc>
        <w:tc>
          <w:tcPr>
            <w:tcW w:w="1417" w:type="dxa"/>
            <w:tcBorders>
              <w:bottom w:val="single" w:sz="4" w:space="0" w:color="4D7861" w:themeColor="accent2"/>
            </w:tcBorders>
            <w:shd w:val="clear" w:color="auto" w:fill="EDF2EF"/>
          </w:tcPr>
          <w:p w14:paraId="3CBC4668" w14:textId="77777777" w:rsidR="00426F08" w:rsidRPr="009E7CA0" w:rsidRDefault="00426F08" w:rsidP="002B3DB4">
            <w:pPr>
              <w:pStyle w:val="TableTextLeft"/>
              <w:rPr>
                <w:b/>
                <w:bCs/>
                <w:color w:val="000000" w:themeColor="text1"/>
              </w:rPr>
            </w:pPr>
          </w:p>
        </w:tc>
        <w:tc>
          <w:tcPr>
            <w:tcW w:w="1247" w:type="dxa"/>
            <w:tcBorders>
              <w:bottom w:val="single" w:sz="4" w:space="0" w:color="4D7861" w:themeColor="accent2"/>
            </w:tcBorders>
            <w:shd w:val="clear" w:color="auto" w:fill="EDF2EF"/>
          </w:tcPr>
          <w:p w14:paraId="1DE5CFFC" w14:textId="77777777" w:rsidR="00426F08" w:rsidRPr="009E7CA0" w:rsidRDefault="00426F08" w:rsidP="002B3DB4">
            <w:pPr>
              <w:pStyle w:val="TableTextLeft"/>
              <w:rPr>
                <w:b/>
                <w:bCs/>
                <w:color w:val="000000" w:themeColor="text1"/>
              </w:rPr>
            </w:pPr>
          </w:p>
        </w:tc>
        <w:tc>
          <w:tcPr>
            <w:tcW w:w="1247" w:type="dxa"/>
            <w:tcBorders>
              <w:bottom w:val="single" w:sz="4" w:space="0" w:color="4D7861" w:themeColor="accent2"/>
            </w:tcBorders>
            <w:shd w:val="clear" w:color="auto" w:fill="EDF2EF"/>
          </w:tcPr>
          <w:p w14:paraId="4761FD64" w14:textId="77777777" w:rsidR="00426F08" w:rsidRPr="009E7CA0" w:rsidRDefault="00426F08" w:rsidP="002B3DB4">
            <w:pPr>
              <w:pStyle w:val="TableTextLeft"/>
              <w:rPr>
                <w:b/>
                <w:bCs/>
                <w:color w:val="000000" w:themeColor="text1"/>
              </w:rPr>
            </w:pPr>
          </w:p>
        </w:tc>
        <w:tc>
          <w:tcPr>
            <w:tcW w:w="1077" w:type="dxa"/>
            <w:tcBorders>
              <w:bottom w:val="single" w:sz="4" w:space="0" w:color="4D7861" w:themeColor="accent2"/>
            </w:tcBorders>
            <w:shd w:val="clear" w:color="auto" w:fill="EDF2EF"/>
          </w:tcPr>
          <w:p w14:paraId="0D2C1F2F" w14:textId="77777777" w:rsidR="00426F08" w:rsidRPr="009E7CA0" w:rsidRDefault="00426F08" w:rsidP="002B3DB4">
            <w:pPr>
              <w:pStyle w:val="TableTextLeft"/>
              <w:rPr>
                <w:b/>
                <w:bCs/>
                <w:color w:val="000000" w:themeColor="text1"/>
              </w:rPr>
            </w:pPr>
          </w:p>
        </w:tc>
      </w:tr>
      <w:tr w:rsidR="00426F08" w:rsidRPr="009E7CA0" w14:paraId="66DE1918" w14:textId="4D33F04D" w:rsidTr="00C62CAD">
        <w:trPr>
          <w:cantSplit/>
          <w:trHeight w:val="410"/>
        </w:trPr>
        <w:tc>
          <w:tcPr>
            <w:tcW w:w="794" w:type="dxa"/>
            <w:tcBorders>
              <w:top w:val="single" w:sz="4" w:space="0" w:color="4D7861" w:themeColor="accent2"/>
              <w:bottom w:val="single" w:sz="4" w:space="0" w:color="4D7861" w:themeColor="accent2"/>
            </w:tcBorders>
          </w:tcPr>
          <w:p w14:paraId="127FA99E" w14:textId="77777777" w:rsidR="00426F08" w:rsidRPr="009E7CA0" w:rsidRDefault="00426F08" w:rsidP="00195B9B">
            <w:pPr>
              <w:pStyle w:val="TableLeadAgency"/>
            </w:pPr>
            <w:r w:rsidRPr="009E7CA0">
              <w:lastRenderedPageBreak/>
              <w:t xml:space="preserve">TSY </w:t>
            </w:r>
          </w:p>
          <w:p w14:paraId="469AC2CD" w14:textId="77777777" w:rsidR="00426F08" w:rsidRPr="009E7CA0" w:rsidRDefault="00426F08" w:rsidP="00195B9B">
            <w:pPr>
              <w:pStyle w:val="TableSecondaryAgency"/>
            </w:pPr>
            <w:r w:rsidRPr="009E7CA0">
              <w:t>ACCC</w:t>
            </w:r>
          </w:p>
          <w:p w14:paraId="3A30195A" w14:textId="77777777" w:rsidR="00426F08" w:rsidRPr="009E7CA0" w:rsidRDefault="00426F08" w:rsidP="00195B9B">
            <w:pPr>
              <w:pStyle w:val="TableSecondaryAgency"/>
            </w:pPr>
            <w:r w:rsidRPr="009E7CA0">
              <w:t>ASIC</w:t>
            </w:r>
          </w:p>
          <w:p w14:paraId="6249543B" w14:textId="77777777" w:rsidR="00426F08" w:rsidRPr="009E7CA0" w:rsidRDefault="00426F08" w:rsidP="00195B9B">
            <w:pPr>
              <w:pStyle w:val="TableSecondaryAgency"/>
            </w:pPr>
            <w:r w:rsidRPr="009E7CA0">
              <w:t>APRA</w:t>
            </w:r>
          </w:p>
          <w:p w14:paraId="323140AA" w14:textId="77777777" w:rsidR="00426F08" w:rsidRPr="009E7CA0" w:rsidRDefault="00426F08" w:rsidP="00195B9B">
            <w:pPr>
              <w:pStyle w:val="TableSecondaryAgency"/>
              <w:rPr>
                <w:b/>
              </w:rPr>
            </w:pPr>
            <w:r w:rsidRPr="009E7CA0">
              <w:t>RBA</w:t>
            </w:r>
            <w:r w:rsidRPr="009E7CA0" w:rsidDel="00C65C4A">
              <w:rPr>
                <w:color w:val="0070C0"/>
              </w:rPr>
              <w:t xml:space="preserve"> </w:t>
            </w:r>
          </w:p>
        </w:tc>
        <w:tc>
          <w:tcPr>
            <w:tcW w:w="1304" w:type="dxa"/>
            <w:tcBorders>
              <w:top w:val="single" w:sz="4" w:space="0" w:color="4D7861" w:themeColor="accent2"/>
              <w:bottom w:val="single" w:sz="4" w:space="0" w:color="4D7861" w:themeColor="accent2"/>
            </w:tcBorders>
          </w:tcPr>
          <w:p w14:paraId="268A7C72" w14:textId="77777777" w:rsidR="00426F08" w:rsidRPr="009E7CA0" w:rsidRDefault="00426F08" w:rsidP="004A3754">
            <w:pPr>
              <w:pStyle w:val="TableTextLeft"/>
            </w:pPr>
            <w:r w:rsidRPr="009E7CA0">
              <w:t>Banking, credit and lending</w:t>
            </w:r>
          </w:p>
        </w:tc>
        <w:tc>
          <w:tcPr>
            <w:tcW w:w="3175" w:type="dxa"/>
            <w:gridSpan w:val="2"/>
            <w:tcBorders>
              <w:bottom w:val="single" w:sz="4" w:space="0" w:color="4D7861" w:themeColor="accent2"/>
            </w:tcBorders>
          </w:tcPr>
          <w:p w14:paraId="29D4EE38" w14:textId="63B38469" w:rsidR="00426F08" w:rsidRPr="009E7CA0" w:rsidRDefault="00426F08" w:rsidP="004A3754">
            <w:pPr>
              <w:pStyle w:val="TableLink"/>
            </w:pPr>
            <w:hyperlink r:id="rId109" w:history="1">
              <w:r w:rsidRPr="009E7CA0">
                <w:rPr>
                  <w:rStyle w:val="Hyperlink"/>
                  <w:color w:val="5D779D" w:themeColor="accent3"/>
                  <w:u w:val="single"/>
                </w:rPr>
                <w:t>Council of Financial Regulators Review into small and medium sized banks</w:t>
              </w:r>
            </w:hyperlink>
          </w:p>
          <w:p w14:paraId="68C394C9" w14:textId="0640FDB9" w:rsidR="00426F08" w:rsidRPr="009E7CA0" w:rsidRDefault="00426F08" w:rsidP="004A3754">
            <w:pPr>
              <w:pStyle w:val="TableTextLeft"/>
            </w:pPr>
            <w:r w:rsidRPr="009E7CA0">
              <w:t>On 6 August 2025, the Government</w:t>
            </w:r>
            <w:r w:rsidR="00A2285A" w:rsidRPr="009E7CA0">
              <w:t> </w:t>
            </w:r>
            <w:r w:rsidRPr="009E7CA0">
              <w:t>accepted in</w:t>
            </w:r>
            <w:r w:rsidRPr="009E7CA0">
              <w:rPr>
                <w:rFonts w:ascii="Cambria Math" w:hAnsi="Cambria Math" w:cs="Cambria Math"/>
              </w:rPr>
              <w:t>‑</w:t>
            </w:r>
            <w:r w:rsidRPr="009E7CA0">
              <w:t>principle 8</w:t>
            </w:r>
            <w:r w:rsidR="00A2285A" w:rsidRPr="009E7CA0">
              <w:t> </w:t>
            </w:r>
            <w:r w:rsidRPr="009E7CA0">
              <w:t>recommendations and welcomed all 9</w:t>
            </w:r>
            <w:r w:rsidR="00A2285A" w:rsidRPr="009E7CA0">
              <w:t> </w:t>
            </w:r>
            <w:r w:rsidRPr="009E7CA0">
              <w:t>commitments to action from regulators arising from the CFR Review into Small</w:t>
            </w:r>
            <w:r w:rsidR="00D93B30" w:rsidRPr="009E7CA0">
              <w:t> </w:t>
            </w:r>
            <w:r w:rsidRPr="009E7CA0">
              <w:t xml:space="preserve">and Medium Sized Banks. It also committed to consult on Review proposals for enabling a lighter touch framework for very small banks. </w:t>
            </w:r>
          </w:p>
          <w:p w14:paraId="6FF18FB6" w14:textId="77777777" w:rsidR="007D78AC" w:rsidRPr="009E7CA0" w:rsidRDefault="00426F08" w:rsidP="004A3754">
            <w:pPr>
              <w:pStyle w:val="TableTextLeft"/>
            </w:pPr>
            <w:r w:rsidRPr="009E7CA0">
              <w:t xml:space="preserve">The recommendations and actions will improve proportionate regulation, improve, entry, exit, and scale, improve access to funding, and promote competition. </w:t>
            </w:r>
          </w:p>
          <w:p w14:paraId="322FD6EF" w14:textId="3EAA772D" w:rsidR="00426F08" w:rsidRPr="009E7CA0" w:rsidRDefault="00567836" w:rsidP="00FA36DC">
            <w:pPr>
              <w:pStyle w:val="TableTextLeft"/>
            </w:pPr>
            <w:r w:rsidRPr="009E7CA0">
              <w:t xml:space="preserve">A number of recommendations are covered below </w:t>
            </w:r>
            <w:r w:rsidR="007A1A2E" w:rsidRPr="009E7CA0">
              <w:t>with detailed</w:t>
            </w:r>
            <w:r w:rsidR="00426F08" w:rsidRPr="009E7CA0">
              <w:t xml:space="preserve"> timing</w:t>
            </w:r>
            <w:r w:rsidR="007A1A2E" w:rsidRPr="009E7CA0">
              <w:t>.</w:t>
            </w:r>
            <w:r w:rsidRPr="009E7CA0">
              <w:t xml:space="preserve"> </w:t>
            </w:r>
            <w:r w:rsidR="00AA0DED" w:rsidRPr="009E7CA0">
              <w:t>T</w:t>
            </w:r>
            <w:r w:rsidR="00426F08" w:rsidRPr="009E7CA0">
              <w:t xml:space="preserve">iming of next steps </w:t>
            </w:r>
            <w:r w:rsidR="00F03A03" w:rsidRPr="009E7CA0">
              <w:t>for</w:t>
            </w:r>
            <w:r w:rsidR="00426F08" w:rsidRPr="009E7CA0">
              <w:t xml:space="preserve"> </w:t>
            </w:r>
            <w:r w:rsidRPr="009E7CA0">
              <w:t xml:space="preserve">the remainder </w:t>
            </w:r>
            <w:r w:rsidR="00426F08" w:rsidRPr="009E7CA0">
              <w:t xml:space="preserve">will be announced in due course. </w:t>
            </w:r>
          </w:p>
        </w:tc>
        <w:tc>
          <w:tcPr>
            <w:tcW w:w="1391" w:type="dxa"/>
            <w:tcBorders>
              <w:bottom w:val="single" w:sz="4" w:space="0" w:color="4D7861" w:themeColor="accent2"/>
            </w:tcBorders>
            <w:shd w:val="clear" w:color="auto" w:fill="DBE4DF"/>
          </w:tcPr>
          <w:p w14:paraId="11B8D28A" w14:textId="2E52F763" w:rsidR="00426F08" w:rsidRPr="009E7CA0" w:rsidRDefault="00426F08" w:rsidP="00FA36DC">
            <w:pPr>
              <w:pStyle w:val="TableTextLeft"/>
            </w:pPr>
          </w:p>
        </w:tc>
        <w:tc>
          <w:tcPr>
            <w:tcW w:w="1103" w:type="dxa"/>
            <w:tcBorders>
              <w:bottom w:val="single" w:sz="4" w:space="0" w:color="4D7861" w:themeColor="accent2"/>
            </w:tcBorders>
            <w:shd w:val="clear" w:color="auto" w:fill="DBE4DF"/>
          </w:tcPr>
          <w:p w14:paraId="7A71A696" w14:textId="77777777" w:rsidR="00426F08" w:rsidRPr="009E7CA0" w:rsidRDefault="00426F08" w:rsidP="00FA36DC">
            <w:pPr>
              <w:pStyle w:val="TableTextLeft"/>
            </w:pPr>
          </w:p>
        </w:tc>
        <w:tc>
          <w:tcPr>
            <w:tcW w:w="1247" w:type="dxa"/>
            <w:tcBorders>
              <w:bottom w:val="single" w:sz="4" w:space="0" w:color="4D7861" w:themeColor="accent2"/>
            </w:tcBorders>
            <w:shd w:val="clear" w:color="auto" w:fill="DBE4DF"/>
          </w:tcPr>
          <w:p w14:paraId="7510BA01" w14:textId="77777777" w:rsidR="00426F08" w:rsidRPr="009E7CA0" w:rsidRDefault="00426F08" w:rsidP="00FA36DC">
            <w:pPr>
              <w:pStyle w:val="TableTextLeft"/>
            </w:pPr>
          </w:p>
        </w:tc>
        <w:tc>
          <w:tcPr>
            <w:tcW w:w="1417" w:type="dxa"/>
            <w:tcBorders>
              <w:bottom w:val="single" w:sz="4" w:space="0" w:color="4D7861" w:themeColor="accent2"/>
            </w:tcBorders>
            <w:shd w:val="clear" w:color="auto" w:fill="EDF2EF"/>
          </w:tcPr>
          <w:p w14:paraId="1DBCBFC3" w14:textId="77777777" w:rsidR="00426F08" w:rsidRPr="009E7CA0" w:rsidRDefault="00426F08" w:rsidP="00FA36DC">
            <w:pPr>
              <w:pStyle w:val="TableTextLeft"/>
            </w:pPr>
          </w:p>
        </w:tc>
        <w:tc>
          <w:tcPr>
            <w:tcW w:w="1247" w:type="dxa"/>
            <w:tcBorders>
              <w:bottom w:val="single" w:sz="4" w:space="0" w:color="4D7861" w:themeColor="accent2"/>
            </w:tcBorders>
            <w:shd w:val="clear" w:color="auto" w:fill="EDF2EF"/>
          </w:tcPr>
          <w:p w14:paraId="6D155801" w14:textId="77777777" w:rsidR="00426F08" w:rsidRPr="009E7CA0" w:rsidRDefault="00426F08" w:rsidP="00FA36DC">
            <w:pPr>
              <w:pStyle w:val="TableTextLeft"/>
            </w:pPr>
          </w:p>
        </w:tc>
        <w:tc>
          <w:tcPr>
            <w:tcW w:w="1247" w:type="dxa"/>
            <w:tcBorders>
              <w:bottom w:val="single" w:sz="4" w:space="0" w:color="4D7861" w:themeColor="accent2"/>
            </w:tcBorders>
            <w:shd w:val="clear" w:color="auto" w:fill="EDF2EF"/>
          </w:tcPr>
          <w:p w14:paraId="77997724" w14:textId="77777777" w:rsidR="00426F08" w:rsidRPr="009E7CA0" w:rsidRDefault="00426F08" w:rsidP="00FA36DC">
            <w:pPr>
              <w:pStyle w:val="TableTextLeft"/>
            </w:pPr>
          </w:p>
        </w:tc>
        <w:tc>
          <w:tcPr>
            <w:tcW w:w="1077" w:type="dxa"/>
            <w:tcBorders>
              <w:bottom w:val="single" w:sz="4" w:space="0" w:color="4D7861" w:themeColor="accent2"/>
            </w:tcBorders>
            <w:shd w:val="clear" w:color="auto" w:fill="EDF2EF"/>
          </w:tcPr>
          <w:p w14:paraId="5C9692E9" w14:textId="77777777" w:rsidR="00426F08" w:rsidRPr="009E7CA0" w:rsidRDefault="00426F08" w:rsidP="00FA36DC">
            <w:pPr>
              <w:pStyle w:val="TableTextLeft"/>
            </w:pPr>
          </w:p>
        </w:tc>
      </w:tr>
      <w:tr w:rsidR="00426F08" w:rsidRPr="009E7CA0" w14:paraId="697D218F" w14:textId="3574DC3B" w:rsidTr="00C62CAD">
        <w:trPr>
          <w:cantSplit/>
          <w:trHeight w:val="410"/>
        </w:trPr>
        <w:tc>
          <w:tcPr>
            <w:tcW w:w="794" w:type="dxa"/>
            <w:tcBorders>
              <w:top w:val="single" w:sz="4" w:space="0" w:color="4D7861" w:themeColor="accent2"/>
              <w:bottom w:val="single" w:sz="4" w:space="0" w:color="4D7861" w:themeColor="accent2"/>
            </w:tcBorders>
          </w:tcPr>
          <w:p w14:paraId="71759BF0" w14:textId="1A2080AA" w:rsidR="00426F08" w:rsidRPr="009E7CA0" w:rsidRDefault="00426F08" w:rsidP="00947AAD">
            <w:pPr>
              <w:pStyle w:val="TableLeadAgency"/>
            </w:pPr>
            <w:r w:rsidRPr="009E7CA0">
              <w:t>TSY</w:t>
            </w:r>
          </w:p>
        </w:tc>
        <w:tc>
          <w:tcPr>
            <w:tcW w:w="1304" w:type="dxa"/>
            <w:tcBorders>
              <w:top w:val="single" w:sz="4" w:space="0" w:color="4D7861" w:themeColor="accent2"/>
              <w:bottom w:val="single" w:sz="4" w:space="0" w:color="4D7861" w:themeColor="accent2"/>
            </w:tcBorders>
          </w:tcPr>
          <w:p w14:paraId="47EC2772" w14:textId="77777777" w:rsidR="00426F08" w:rsidRPr="009E7CA0" w:rsidRDefault="00426F08" w:rsidP="00947AAD">
            <w:pPr>
              <w:pStyle w:val="TableTextLeft"/>
            </w:pPr>
            <w:r w:rsidRPr="009E7CA0">
              <w:t>All</w:t>
            </w:r>
          </w:p>
        </w:tc>
        <w:tc>
          <w:tcPr>
            <w:tcW w:w="3175" w:type="dxa"/>
            <w:gridSpan w:val="2"/>
            <w:tcBorders>
              <w:top w:val="single" w:sz="4" w:space="0" w:color="4D7861" w:themeColor="accent2"/>
              <w:bottom w:val="single" w:sz="4" w:space="0" w:color="4D7861" w:themeColor="accent2"/>
            </w:tcBorders>
          </w:tcPr>
          <w:p w14:paraId="49B21190" w14:textId="112323CC" w:rsidR="00426F08" w:rsidRPr="009E7CA0" w:rsidRDefault="00426F08" w:rsidP="00FA36DC">
            <w:pPr>
              <w:pStyle w:val="TableLink"/>
              <w:rPr>
                <w:rStyle w:val="Hyperlink"/>
                <w:color w:val="5D779D" w:themeColor="accent3"/>
                <w:u w:val="single"/>
              </w:rPr>
            </w:pPr>
            <w:hyperlink r:id="rId110">
              <w:r w:rsidRPr="009E7CA0">
                <w:rPr>
                  <w:rStyle w:val="Hyperlink"/>
                  <w:color w:val="5D779D" w:themeColor="accent3"/>
                  <w:u w:val="single"/>
                </w:rPr>
                <w:t>Financial Regulatory Assessment Authority (FRAA) review</w:t>
              </w:r>
            </w:hyperlink>
            <w:r w:rsidRPr="009E7CA0">
              <w:rPr>
                <w:rStyle w:val="Hyperlink"/>
                <w:color w:val="5D779D" w:themeColor="accent3"/>
                <w:u w:val="single"/>
              </w:rPr>
              <w:t xml:space="preserve"> </w:t>
            </w:r>
          </w:p>
          <w:p w14:paraId="4F589049" w14:textId="3229AC3E" w:rsidR="00426F08" w:rsidRPr="009E7CA0" w:rsidRDefault="00426F08" w:rsidP="00FA36DC">
            <w:pPr>
              <w:pStyle w:val="TableTextLeft"/>
            </w:pPr>
            <w:r w:rsidRPr="009E7CA0">
              <w:t xml:space="preserve">The FRAA will review the effectiveness and capability of ASIC and APRA. The Reviews will be completed by June 2028. </w:t>
            </w:r>
          </w:p>
        </w:tc>
        <w:tc>
          <w:tcPr>
            <w:tcW w:w="1391" w:type="dxa"/>
            <w:tcBorders>
              <w:top w:val="single" w:sz="4" w:space="0" w:color="4D7861" w:themeColor="accent2"/>
              <w:bottom w:val="single" w:sz="4" w:space="0" w:color="4D7861" w:themeColor="accent2"/>
            </w:tcBorders>
            <w:shd w:val="clear" w:color="auto" w:fill="DBE4DF"/>
          </w:tcPr>
          <w:p w14:paraId="730A4DF5" w14:textId="4D4FAC5B" w:rsidR="00426F08" w:rsidRPr="009E7CA0" w:rsidRDefault="00426F08" w:rsidP="00FA36DC">
            <w:pPr>
              <w:pStyle w:val="TableTextLeft"/>
            </w:pPr>
          </w:p>
        </w:tc>
        <w:tc>
          <w:tcPr>
            <w:tcW w:w="1103" w:type="dxa"/>
            <w:tcBorders>
              <w:top w:val="single" w:sz="4" w:space="0" w:color="4D7861" w:themeColor="accent2"/>
              <w:bottom w:val="single" w:sz="4" w:space="0" w:color="4D7861" w:themeColor="accent2"/>
            </w:tcBorders>
            <w:shd w:val="clear" w:color="auto" w:fill="DBE4DF"/>
          </w:tcPr>
          <w:p w14:paraId="6D5DAE08" w14:textId="77777777" w:rsidR="00426F08" w:rsidRPr="009E7CA0" w:rsidRDefault="00426F08" w:rsidP="00FA36DC">
            <w:pPr>
              <w:pStyle w:val="TableTextLeft"/>
            </w:pPr>
          </w:p>
        </w:tc>
        <w:tc>
          <w:tcPr>
            <w:tcW w:w="1247" w:type="dxa"/>
            <w:tcBorders>
              <w:top w:val="single" w:sz="4" w:space="0" w:color="4D7861" w:themeColor="accent2"/>
              <w:bottom w:val="single" w:sz="4" w:space="0" w:color="4D7861" w:themeColor="accent2"/>
            </w:tcBorders>
            <w:shd w:val="clear" w:color="auto" w:fill="DBE4DF"/>
          </w:tcPr>
          <w:p w14:paraId="3DEA56D4" w14:textId="77777777" w:rsidR="00426F08" w:rsidRPr="009E7CA0" w:rsidDel="00F2023F" w:rsidRDefault="00426F08" w:rsidP="00FA36DC">
            <w:pPr>
              <w:pStyle w:val="TableTextLeft"/>
            </w:pPr>
          </w:p>
        </w:tc>
        <w:tc>
          <w:tcPr>
            <w:tcW w:w="1417" w:type="dxa"/>
            <w:tcBorders>
              <w:top w:val="single" w:sz="4" w:space="0" w:color="4D7861" w:themeColor="accent2"/>
              <w:bottom w:val="single" w:sz="4" w:space="0" w:color="4D7861" w:themeColor="accent2"/>
            </w:tcBorders>
            <w:shd w:val="clear" w:color="auto" w:fill="EDF2EF"/>
          </w:tcPr>
          <w:p w14:paraId="6211C879" w14:textId="77777777" w:rsidR="00426F08" w:rsidRPr="009E7CA0" w:rsidRDefault="00426F08" w:rsidP="00FA36DC">
            <w:pPr>
              <w:pStyle w:val="TableTextLeft"/>
            </w:pPr>
          </w:p>
        </w:tc>
        <w:tc>
          <w:tcPr>
            <w:tcW w:w="1247" w:type="dxa"/>
            <w:tcBorders>
              <w:top w:val="single" w:sz="4" w:space="0" w:color="4D7861" w:themeColor="accent2"/>
              <w:bottom w:val="single" w:sz="4" w:space="0" w:color="4D7861" w:themeColor="accent2"/>
            </w:tcBorders>
            <w:shd w:val="clear" w:color="auto" w:fill="EDF2EF"/>
          </w:tcPr>
          <w:p w14:paraId="5F44B268" w14:textId="77777777" w:rsidR="00426F08" w:rsidRPr="009E7CA0" w:rsidRDefault="00426F08" w:rsidP="00FA36DC">
            <w:pPr>
              <w:pStyle w:val="TableTextLeft"/>
            </w:pPr>
          </w:p>
        </w:tc>
        <w:tc>
          <w:tcPr>
            <w:tcW w:w="1247" w:type="dxa"/>
            <w:tcBorders>
              <w:top w:val="single" w:sz="4" w:space="0" w:color="4D7861" w:themeColor="accent2"/>
              <w:bottom w:val="single" w:sz="4" w:space="0" w:color="4D7861" w:themeColor="accent2"/>
            </w:tcBorders>
            <w:shd w:val="clear" w:color="auto" w:fill="EDF2EF"/>
          </w:tcPr>
          <w:p w14:paraId="3C8235E7" w14:textId="77777777" w:rsidR="00426F08" w:rsidRPr="009E7CA0" w:rsidRDefault="00426F08" w:rsidP="00FA36DC">
            <w:pPr>
              <w:pStyle w:val="TableTextLeft"/>
            </w:pPr>
          </w:p>
        </w:tc>
        <w:tc>
          <w:tcPr>
            <w:tcW w:w="1077" w:type="dxa"/>
            <w:tcBorders>
              <w:top w:val="single" w:sz="4" w:space="0" w:color="4D7861" w:themeColor="accent2"/>
              <w:bottom w:val="single" w:sz="4" w:space="0" w:color="4D7861" w:themeColor="accent2"/>
            </w:tcBorders>
            <w:shd w:val="clear" w:color="auto" w:fill="EDF2EF"/>
          </w:tcPr>
          <w:p w14:paraId="5F319315" w14:textId="77777777" w:rsidR="00426F08" w:rsidRPr="009E7CA0" w:rsidRDefault="00426F08" w:rsidP="00FA36DC">
            <w:pPr>
              <w:pStyle w:val="TableTextLeft"/>
            </w:pPr>
          </w:p>
        </w:tc>
      </w:tr>
      <w:tr w:rsidR="00426F08" w:rsidRPr="009E7CA0" w14:paraId="3BE92EA6" w14:textId="1D2B6265" w:rsidTr="00C62CAD">
        <w:trPr>
          <w:cantSplit/>
          <w:trHeight w:val="410"/>
        </w:trPr>
        <w:tc>
          <w:tcPr>
            <w:tcW w:w="794" w:type="dxa"/>
            <w:tcBorders>
              <w:top w:val="single" w:sz="4" w:space="0" w:color="4D7861" w:themeColor="accent2"/>
              <w:bottom w:val="single" w:sz="4" w:space="0" w:color="4D7861" w:themeColor="accent2"/>
            </w:tcBorders>
          </w:tcPr>
          <w:p w14:paraId="007D6CBB" w14:textId="77777777" w:rsidR="00426F08" w:rsidRPr="009E7CA0" w:rsidRDefault="00426F08" w:rsidP="00195B9B">
            <w:pPr>
              <w:pStyle w:val="TableLeadAgency"/>
            </w:pPr>
            <w:r w:rsidRPr="009E7CA0">
              <w:t>APRA</w:t>
            </w:r>
          </w:p>
        </w:tc>
        <w:tc>
          <w:tcPr>
            <w:tcW w:w="1304" w:type="dxa"/>
            <w:tcBorders>
              <w:top w:val="single" w:sz="4" w:space="0" w:color="4D7861" w:themeColor="accent2"/>
              <w:bottom w:val="single" w:sz="4" w:space="0" w:color="4D7861" w:themeColor="accent2"/>
            </w:tcBorders>
          </w:tcPr>
          <w:p w14:paraId="66C0E61F" w14:textId="77777777" w:rsidR="00426F08" w:rsidRPr="009E7CA0" w:rsidRDefault="00426F08" w:rsidP="00195B9B">
            <w:pPr>
              <w:pStyle w:val="TableTextLeft"/>
            </w:pPr>
            <w:r w:rsidRPr="009E7CA0">
              <w:t>Insurance and reinsurance</w:t>
            </w:r>
          </w:p>
        </w:tc>
        <w:tc>
          <w:tcPr>
            <w:tcW w:w="3175" w:type="dxa"/>
            <w:gridSpan w:val="2"/>
            <w:tcBorders>
              <w:top w:val="single" w:sz="4" w:space="0" w:color="4D7861" w:themeColor="accent2"/>
              <w:bottom w:val="single" w:sz="4" w:space="0" w:color="4D7861" w:themeColor="accent2"/>
            </w:tcBorders>
          </w:tcPr>
          <w:p w14:paraId="11492934" w14:textId="77777777" w:rsidR="00426F08" w:rsidRPr="009E7CA0" w:rsidRDefault="00426F08" w:rsidP="00FA36DC">
            <w:pPr>
              <w:pStyle w:val="TableTextLeft"/>
              <w:rPr>
                <w:rStyle w:val="Strong"/>
              </w:rPr>
            </w:pPr>
            <w:r w:rsidRPr="009E7CA0">
              <w:rPr>
                <w:rStyle w:val="Strong"/>
              </w:rPr>
              <w:t>General insurance reinsurance: Review reinsurance prudential requirements</w:t>
            </w:r>
          </w:p>
          <w:p w14:paraId="3EBE6B16" w14:textId="03C1A709" w:rsidR="00426F08" w:rsidRPr="009E7CA0" w:rsidRDefault="00426F08" w:rsidP="00FA36DC">
            <w:pPr>
              <w:pStyle w:val="TableTextLeft"/>
            </w:pPr>
            <w:r w:rsidRPr="009E7CA0">
              <w:t xml:space="preserve">APRA will </w:t>
            </w:r>
            <w:r w:rsidR="00912EAB" w:rsidRPr="009E7CA0">
              <w:t>finalise</w:t>
            </w:r>
            <w:r w:rsidRPr="009E7CA0">
              <w:t xml:space="preserve"> changes to reinsurance settings for general insurance aimed at promoting access to alternative reinsurance. </w:t>
            </w:r>
          </w:p>
        </w:tc>
        <w:tc>
          <w:tcPr>
            <w:tcW w:w="1391" w:type="dxa"/>
            <w:tcBorders>
              <w:top w:val="single" w:sz="4" w:space="0" w:color="4D7861" w:themeColor="accent2"/>
              <w:bottom w:val="single" w:sz="4" w:space="0" w:color="4D7861" w:themeColor="accent2"/>
            </w:tcBorders>
            <w:shd w:val="clear" w:color="auto" w:fill="DBE4DF"/>
          </w:tcPr>
          <w:p w14:paraId="6FB4E152" w14:textId="6114FB18" w:rsidR="00426F08" w:rsidRPr="009E7CA0" w:rsidRDefault="00426F08" w:rsidP="00FA36DC">
            <w:pPr>
              <w:pStyle w:val="TableTextLeft"/>
            </w:pPr>
            <w:r w:rsidRPr="009E7CA0">
              <w:t>Release final standard and guidance</w:t>
            </w:r>
            <w:r w:rsidR="00A07098">
              <w:t>.</w:t>
            </w:r>
          </w:p>
        </w:tc>
        <w:tc>
          <w:tcPr>
            <w:tcW w:w="1103" w:type="dxa"/>
            <w:tcBorders>
              <w:top w:val="single" w:sz="4" w:space="0" w:color="4D7861" w:themeColor="accent2"/>
              <w:bottom w:val="single" w:sz="4" w:space="0" w:color="4D7861" w:themeColor="accent2"/>
            </w:tcBorders>
            <w:shd w:val="clear" w:color="auto" w:fill="DBE4DF"/>
          </w:tcPr>
          <w:p w14:paraId="0934E774" w14:textId="23652025" w:rsidR="00426F08" w:rsidRPr="009E7CA0" w:rsidRDefault="00426F08" w:rsidP="00FA36DC">
            <w:pPr>
              <w:pStyle w:val="TableTextLeft"/>
            </w:pPr>
          </w:p>
        </w:tc>
        <w:tc>
          <w:tcPr>
            <w:tcW w:w="1247" w:type="dxa"/>
            <w:tcBorders>
              <w:top w:val="single" w:sz="4" w:space="0" w:color="4D7861" w:themeColor="accent2"/>
              <w:bottom w:val="single" w:sz="4" w:space="0" w:color="4D7861" w:themeColor="accent2"/>
            </w:tcBorders>
            <w:shd w:val="clear" w:color="auto" w:fill="DBE4DF"/>
          </w:tcPr>
          <w:p w14:paraId="4D9FF4C7" w14:textId="77777777" w:rsidR="00426F08" w:rsidRPr="009E7CA0" w:rsidRDefault="00426F08" w:rsidP="00FA36DC">
            <w:pPr>
              <w:pStyle w:val="TableTextLeft"/>
            </w:pPr>
          </w:p>
        </w:tc>
        <w:tc>
          <w:tcPr>
            <w:tcW w:w="1417" w:type="dxa"/>
            <w:tcBorders>
              <w:top w:val="single" w:sz="4" w:space="0" w:color="4D7861" w:themeColor="accent2"/>
              <w:bottom w:val="single" w:sz="4" w:space="0" w:color="4D7861" w:themeColor="accent2"/>
            </w:tcBorders>
            <w:shd w:val="clear" w:color="auto" w:fill="EDF2EF"/>
          </w:tcPr>
          <w:p w14:paraId="0C7E5382" w14:textId="77777777" w:rsidR="00426F08" w:rsidRPr="009E7CA0" w:rsidRDefault="00426F08" w:rsidP="00FA36DC">
            <w:pPr>
              <w:pStyle w:val="TableTextLeft"/>
            </w:pPr>
          </w:p>
        </w:tc>
        <w:tc>
          <w:tcPr>
            <w:tcW w:w="1247" w:type="dxa"/>
            <w:tcBorders>
              <w:top w:val="single" w:sz="4" w:space="0" w:color="4D7861" w:themeColor="accent2"/>
              <w:bottom w:val="single" w:sz="4" w:space="0" w:color="4D7861" w:themeColor="accent2"/>
            </w:tcBorders>
            <w:shd w:val="clear" w:color="auto" w:fill="EDF2EF"/>
          </w:tcPr>
          <w:p w14:paraId="65565434" w14:textId="77777777" w:rsidR="00426F08" w:rsidRPr="009E7CA0" w:rsidRDefault="00426F08" w:rsidP="00FA36DC">
            <w:pPr>
              <w:pStyle w:val="TableTextLeft"/>
            </w:pPr>
          </w:p>
        </w:tc>
        <w:tc>
          <w:tcPr>
            <w:tcW w:w="1247" w:type="dxa"/>
            <w:tcBorders>
              <w:top w:val="single" w:sz="4" w:space="0" w:color="4D7861" w:themeColor="accent2"/>
              <w:bottom w:val="single" w:sz="4" w:space="0" w:color="4D7861" w:themeColor="accent2"/>
            </w:tcBorders>
            <w:shd w:val="clear" w:color="auto" w:fill="EDF2EF"/>
          </w:tcPr>
          <w:p w14:paraId="2C3C47C7" w14:textId="77777777" w:rsidR="00426F08" w:rsidRPr="009E7CA0" w:rsidRDefault="00426F08" w:rsidP="00FA36DC">
            <w:pPr>
              <w:pStyle w:val="TableTextLeft"/>
            </w:pPr>
          </w:p>
        </w:tc>
        <w:tc>
          <w:tcPr>
            <w:tcW w:w="1077" w:type="dxa"/>
            <w:tcBorders>
              <w:top w:val="single" w:sz="4" w:space="0" w:color="4D7861" w:themeColor="accent2"/>
              <w:bottom w:val="single" w:sz="4" w:space="0" w:color="4D7861" w:themeColor="accent2"/>
            </w:tcBorders>
            <w:shd w:val="clear" w:color="auto" w:fill="EDF2EF"/>
          </w:tcPr>
          <w:p w14:paraId="246A74AA" w14:textId="77777777" w:rsidR="00426F08" w:rsidRPr="009E7CA0" w:rsidRDefault="00426F08" w:rsidP="00FA36DC">
            <w:pPr>
              <w:pStyle w:val="TableTextLeft"/>
            </w:pPr>
          </w:p>
        </w:tc>
      </w:tr>
      <w:tr w:rsidR="00426F08" w:rsidRPr="009E7CA0" w14:paraId="02BA69E3" w14:textId="7136D09A" w:rsidTr="00C62CAD">
        <w:trPr>
          <w:cantSplit/>
          <w:trHeight w:val="410"/>
        </w:trPr>
        <w:tc>
          <w:tcPr>
            <w:tcW w:w="794" w:type="dxa"/>
            <w:tcBorders>
              <w:top w:val="single" w:sz="4" w:space="0" w:color="4D7861" w:themeColor="accent2"/>
              <w:bottom w:val="single" w:sz="4" w:space="0" w:color="4D7861" w:themeColor="accent2"/>
            </w:tcBorders>
          </w:tcPr>
          <w:p w14:paraId="7BAF7563" w14:textId="77777777" w:rsidR="00426F08" w:rsidRPr="009E7CA0" w:rsidRDefault="00426F08" w:rsidP="00195B9B">
            <w:pPr>
              <w:pStyle w:val="TableLeadAgency"/>
            </w:pPr>
            <w:r w:rsidRPr="009E7CA0">
              <w:lastRenderedPageBreak/>
              <w:t>APRA</w:t>
            </w:r>
          </w:p>
        </w:tc>
        <w:tc>
          <w:tcPr>
            <w:tcW w:w="1304" w:type="dxa"/>
            <w:tcBorders>
              <w:top w:val="single" w:sz="4" w:space="0" w:color="4D7861" w:themeColor="accent2"/>
              <w:bottom w:val="single" w:sz="4" w:space="0" w:color="4D7861" w:themeColor="accent2"/>
            </w:tcBorders>
          </w:tcPr>
          <w:p w14:paraId="15374410" w14:textId="77777777" w:rsidR="00426F08" w:rsidRPr="009E7CA0" w:rsidRDefault="00426F08" w:rsidP="00265902">
            <w:pPr>
              <w:pStyle w:val="TableTextLeft"/>
            </w:pPr>
            <w:r w:rsidRPr="009E7CA0">
              <w:t>Banking, credit and lending</w:t>
            </w:r>
          </w:p>
          <w:p w14:paraId="043ADF46" w14:textId="77777777" w:rsidR="00426F08" w:rsidRPr="009E7CA0" w:rsidRDefault="00426F08" w:rsidP="00195B9B">
            <w:pPr>
              <w:pStyle w:val="TableTextLeft"/>
            </w:pPr>
            <w:r w:rsidRPr="009E7CA0">
              <w:t>Insurance and reinsurance</w:t>
            </w:r>
          </w:p>
          <w:p w14:paraId="61944284" w14:textId="77777777" w:rsidR="00426F08" w:rsidRPr="009E7CA0" w:rsidRDefault="00426F08" w:rsidP="00195B9B">
            <w:pPr>
              <w:pStyle w:val="TableTextLeft"/>
            </w:pPr>
            <w:r w:rsidRPr="009E7CA0">
              <w:t>Superannuation and retirement income</w:t>
            </w:r>
          </w:p>
        </w:tc>
        <w:tc>
          <w:tcPr>
            <w:tcW w:w="3175" w:type="dxa"/>
            <w:gridSpan w:val="2"/>
            <w:tcBorders>
              <w:top w:val="single" w:sz="4" w:space="0" w:color="4D7861" w:themeColor="accent2"/>
              <w:bottom w:val="single" w:sz="4" w:space="0" w:color="4D7861" w:themeColor="accent2"/>
            </w:tcBorders>
          </w:tcPr>
          <w:p w14:paraId="0FC8A3BD" w14:textId="77777777" w:rsidR="00426F08" w:rsidRPr="009E7CA0" w:rsidRDefault="00426F08" w:rsidP="00265902">
            <w:pPr>
              <w:pStyle w:val="TableTextLeft"/>
              <w:rPr>
                <w:rStyle w:val="Strong"/>
              </w:rPr>
            </w:pPr>
            <w:r w:rsidRPr="009E7CA0">
              <w:rPr>
                <w:rStyle w:val="Strong"/>
              </w:rPr>
              <w:t>Governance</w:t>
            </w:r>
          </w:p>
          <w:p w14:paraId="1F3E3EB6" w14:textId="68B7ED35" w:rsidR="00426F08" w:rsidRPr="009E7CA0" w:rsidRDefault="00426F08" w:rsidP="00265902">
            <w:pPr>
              <w:pStyle w:val="TableTextLeft"/>
            </w:pPr>
            <w:r w:rsidRPr="009E7CA0">
              <w:t xml:space="preserve">APRA will conduct a broad review of governance requirements to ensure that the prudential framework remains fit </w:t>
            </w:r>
            <w:r w:rsidRPr="009E7CA0">
              <w:noBreakHyphen/>
              <w:t xml:space="preserve">for </w:t>
            </w:r>
            <w:r w:rsidRPr="009E7CA0">
              <w:noBreakHyphen/>
              <w:t xml:space="preserve">purpose. The review will include those requirements set out in: </w:t>
            </w:r>
          </w:p>
          <w:p w14:paraId="31F896AC" w14:textId="77777777" w:rsidR="00426F08" w:rsidRPr="009E7CA0" w:rsidRDefault="00426F08" w:rsidP="000709DB">
            <w:pPr>
              <w:pStyle w:val="TableTextLeft"/>
              <w:numPr>
                <w:ilvl w:val="0"/>
                <w:numId w:val="26"/>
              </w:numPr>
              <w:ind w:left="284" w:hanging="284"/>
              <w:rPr>
                <w:rStyle w:val="Hyperlink"/>
                <w:color w:val="auto"/>
              </w:rPr>
            </w:pPr>
            <w:r w:rsidRPr="009E7CA0">
              <w:rPr>
                <w:rStyle w:val="Hyperlink"/>
                <w:color w:val="auto"/>
              </w:rPr>
              <w:t>Prudential Standard CPS 510 Governance (CPS 510)</w:t>
            </w:r>
          </w:p>
          <w:p w14:paraId="28B9140F" w14:textId="77777777" w:rsidR="00426F08" w:rsidRPr="009E7CA0" w:rsidRDefault="00426F08" w:rsidP="000709DB">
            <w:pPr>
              <w:pStyle w:val="TableTextLeft"/>
              <w:numPr>
                <w:ilvl w:val="0"/>
                <w:numId w:val="26"/>
              </w:numPr>
              <w:ind w:left="284" w:hanging="284"/>
              <w:rPr>
                <w:rStyle w:val="Hyperlink"/>
                <w:color w:val="auto"/>
              </w:rPr>
            </w:pPr>
            <w:r w:rsidRPr="009E7CA0">
              <w:rPr>
                <w:rStyle w:val="Hyperlink"/>
                <w:color w:val="auto"/>
              </w:rPr>
              <w:t xml:space="preserve">Prudential Standard SPS 510 Governance (SPS 510) </w:t>
            </w:r>
          </w:p>
          <w:p w14:paraId="5F43598A" w14:textId="77777777" w:rsidR="00426F08" w:rsidRPr="009E7CA0" w:rsidRDefault="00426F08" w:rsidP="000709DB">
            <w:pPr>
              <w:pStyle w:val="TableTextLeft"/>
              <w:numPr>
                <w:ilvl w:val="0"/>
                <w:numId w:val="26"/>
              </w:numPr>
              <w:ind w:left="284" w:hanging="284"/>
              <w:rPr>
                <w:rStyle w:val="Hyperlink"/>
                <w:color w:val="auto"/>
              </w:rPr>
            </w:pPr>
            <w:r w:rsidRPr="009E7CA0">
              <w:rPr>
                <w:rStyle w:val="Hyperlink"/>
                <w:color w:val="auto"/>
              </w:rPr>
              <w:t>Prudential Standard CPS 520 Fit and Proper (CPS 520)</w:t>
            </w:r>
          </w:p>
          <w:p w14:paraId="35CEF806" w14:textId="77777777" w:rsidR="00426F08" w:rsidRPr="009E7CA0" w:rsidRDefault="00426F08" w:rsidP="000709DB">
            <w:pPr>
              <w:pStyle w:val="TableTextLeft"/>
              <w:numPr>
                <w:ilvl w:val="0"/>
                <w:numId w:val="26"/>
              </w:numPr>
              <w:ind w:left="284" w:hanging="284"/>
              <w:rPr>
                <w:rStyle w:val="Hyperlink"/>
                <w:color w:val="auto"/>
              </w:rPr>
            </w:pPr>
            <w:r w:rsidRPr="009E7CA0">
              <w:rPr>
                <w:rStyle w:val="Hyperlink"/>
                <w:color w:val="auto"/>
              </w:rPr>
              <w:t>Prudential Standard SPS 520 Fit and Proper (SPS 520)</w:t>
            </w:r>
          </w:p>
          <w:p w14:paraId="600DBF71" w14:textId="77777777" w:rsidR="00426F08" w:rsidRPr="009E7CA0" w:rsidRDefault="00426F08" w:rsidP="000709DB">
            <w:pPr>
              <w:pStyle w:val="TableTextLeft"/>
              <w:numPr>
                <w:ilvl w:val="0"/>
                <w:numId w:val="26"/>
              </w:numPr>
              <w:ind w:left="284" w:hanging="284"/>
            </w:pPr>
            <w:r w:rsidRPr="009E7CA0">
              <w:rPr>
                <w:rStyle w:val="Hyperlink"/>
                <w:color w:val="auto"/>
              </w:rPr>
              <w:t>Prudential Standard SPS 521 Conflicts of Interest (SPS 521).</w:t>
            </w:r>
            <w:r w:rsidRPr="009E7CA0">
              <w:t xml:space="preserve"> </w:t>
            </w:r>
          </w:p>
        </w:tc>
        <w:tc>
          <w:tcPr>
            <w:tcW w:w="1391" w:type="dxa"/>
            <w:tcBorders>
              <w:top w:val="single" w:sz="4" w:space="0" w:color="4D7861" w:themeColor="accent2"/>
              <w:bottom w:val="single" w:sz="4" w:space="0" w:color="4D7861" w:themeColor="accent2"/>
            </w:tcBorders>
            <w:shd w:val="clear" w:color="auto" w:fill="DBE4DF"/>
          </w:tcPr>
          <w:p w14:paraId="158E9931" w14:textId="24A3D1A3" w:rsidR="00426F08" w:rsidRPr="009E7CA0" w:rsidRDefault="00426F08" w:rsidP="00265902">
            <w:pPr>
              <w:pStyle w:val="TableTextLeft"/>
            </w:pPr>
            <w:r w:rsidRPr="009E7CA0">
              <w:t>Consultation – draft standards</w:t>
            </w:r>
            <w:r w:rsidR="0050786E">
              <w:t>.</w:t>
            </w:r>
            <w:r w:rsidRPr="009E7CA0">
              <w:t xml:space="preserve"> </w:t>
            </w:r>
          </w:p>
        </w:tc>
        <w:tc>
          <w:tcPr>
            <w:tcW w:w="1103" w:type="dxa"/>
            <w:tcBorders>
              <w:top w:val="single" w:sz="4" w:space="0" w:color="4D7861" w:themeColor="accent2"/>
              <w:bottom w:val="single" w:sz="4" w:space="0" w:color="4D7861" w:themeColor="accent2"/>
            </w:tcBorders>
            <w:shd w:val="clear" w:color="auto" w:fill="DBE4DF"/>
          </w:tcPr>
          <w:p w14:paraId="1A97BCC0" w14:textId="3E8E2B2F" w:rsidR="00426F08" w:rsidRPr="009E7CA0" w:rsidRDefault="00426F08" w:rsidP="00265902">
            <w:pPr>
              <w:pStyle w:val="TableTextLeft"/>
            </w:pPr>
          </w:p>
        </w:tc>
        <w:tc>
          <w:tcPr>
            <w:tcW w:w="1247" w:type="dxa"/>
            <w:tcBorders>
              <w:top w:val="single" w:sz="4" w:space="0" w:color="4D7861" w:themeColor="accent2"/>
              <w:bottom w:val="single" w:sz="4" w:space="0" w:color="4D7861" w:themeColor="accent2"/>
            </w:tcBorders>
            <w:shd w:val="clear" w:color="auto" w:fill="DBE4DF"/>
          </w:tcPr>
          <w:p w14:paraId="4A30E452" w14:textId="77777777" w:rsidR="00426F08" w:rsidRPr="009E7CA0" w:rsidRDefault="00426F08" w:rsidP="00265902">
            <w:pPr>
              <w:pStyle w:val="TableTextLeft"/>
            </w:pPr>
          </w:p>
        </w:tc>
        <w:tc>
          <w:tcPr>
            <w:tcW w:w="1417" w:type="dxa"/>
            <w:tcBorders>
              <w:top w:val="single" w:sz="4" w:space="0" w:color="4D7861" w:themeColor="accent2"/>
              <w:bottom w:val="single" w:sz="4" w:space="0" w:color="4D7861" w:themeColor="accent2"/>
            </w:tcBorders>
            <w:shd w:val="clear" w:color="auto" w:fill="EDF2EF"/>
          </w:tcPr>
          <w:p w14:paraId="50B3FE12" w14:textId="673F056E" w:rsidR="00426F08" w:rsidRPr="009E7CA0" w:rsidRDefault="00426F08" w:rsidP="00265902">
            <w:pPr>
              <w:pStyle w:val="TableTextLeft"/>
            </w:pPr>
            <w:r w:rsidRPr="009E7CA0">
              <w:t>Release final requirements</w:t>
            </w:r>
            <w:r w:rsidR="0050786E">
              <w:t>.</w:t>
            </w:r>
          </w:p>
        </w:tc>
        <w:tc>
          <w:tcPr>
            <w:tcW w:w="1247" w:type="dxa"/>
            <w:tcBorders>
              <w:top w:val="single" w:sz="4" w:space="0" w:color="4D7861" w:themeColor="accent2"/>
              <w:bottom w:val="single" w:sz="4" w:space="0" w:color="4D7861" w:themeColor="accent2"/>
            </w:tcBorders>
            <w:shd w:val="clear" w:color="auto" w:fill="EDF2EF"/>
          </w:tcPr>
          <w:p w14:paraId="2426E20A" w14:textId="77777777" w:rsidR="00426F08" w:rsidRPr="009E7CA0" w:rsidRDefault="00426F08" w:rsidP="00265902">
            <w:pPr>
              <w:pStyle w:val="TableTextLeft"/>
            </w:pPr>
          </w:p>
        </w:tc>
        <w:tc>
          <w:tcPr>
            <w:tcW w:w="1247" w:type="dxa"/>
            <w:tcBorders>
              <w:top w:val="single" w:sz="4" w:space="0" w:color="4D7861" w:themeColor="accent2"/>
              <w:bottom w:val="single" w:sz="4" w:space="0" w:color="4D7861" w:themeColor="accent2"/>
            </w:tcBorders>
            <w:shd w:val="clear" w:color="auto" w:fill="EDF2EF"/>
          </w:tcPr>
          <w:p w14:paraId="71AE303E" w14:textId="77777777" w:rsidR="00426F08" w:rsidRPr="009E7CA0" w:rsidRDefault="00426F08" w:rsidP="00265902">
            <w:pPr>
              <w:pStyle w:val="TableTextLeft"/>
            </w:pPr>
          </w:p>
        </w:tc>
        <w:tc>
          <w:tcPr>
            <w:tcW w:w="1077" w:type="dxa"/>
            <w:tcBorders>
              <w:top w:val="single" w:sz="4" w:space="0" w:color="4D7861" w:themeColor="accent2"/>
              <w:bottom w:val="single" w:sz="4" w:space="0" w:color="4D7861" w:themeColor="accent2"/>
            </w:tcBorders>
            <w:shd w:val="clear" w:color="auto" w:fill="EDF2EF"/>
          </w:tcPr>
          <w:p w14:paraId="5EEDA8F1" w14:textId="5C43504E" w:rsidR="00426F08" w:rsidRPr="009E7CA0" w:rsidRDefault="0007506D" w:rsidP="00265902">
            <w:pPr>
              <w:pStyle w:val="TableTextLeft"/>
            </w:pPr>
            <w:r w:rsidRPr="009E7CA0">
              <w:t>Standard in effect</w:t>
            </w:r>
            <w:r w:rsidR="0050786E">
              <w:t>.</w:t>
            </w:r>
            <w:r w:rsidR="006B5FE9" w:rsidRPr="009E7CA0">
              <w:t>*</w:t>
            </w:r>
          </w:p>
        </w:tc>
      </w:tr>
      <w:tr w:rsidR="00426F08" w:rsidRPr="009E7CA0" w14:paraId="534A828D" w14:textId="2DBB9736" w:rsidTr="00C62CAD">
        <w:trPr>
          <w:cantSplit/>
          <w:trHeight w:val="410"/>
        </w:trPr>
        <w:tc>
          <w:tcPr>
            <w:tcW w:w="794" w:type="dxa"/>
            <w:tcBorders>
              <w:top w:val="single" w:sz="4" w:space="0" w:color="4D7861" w:themeColor="accent2"/>
              <w:bottom w:val="single" w:sz="4" w:space="0" w:color="4D7861" w:themeColor="accent2"/>
            </w:tcBorders>
          </w:tcPr>
          <w:p w14:paraId="447CCB2F" w14:textId="77777777" w:rsidR="00426F08" w:rsidRPr="009E7CA0" w:rsidRDefault="00426F08" w:rsidP="00195B9B">
            <w:pPr>
              <w:pStyle w:val="TableLeadAgency"/>
            </w:pPr>
            <w:r w:rsidRPr="009E7CA0">
              <w:t>ACCC</w:t>
            </w:r>
          </w:p>
        </w:tc>
        <w:tc>
          <w:tcPr>
            <w:tcW w:w="1304" w:type="dxa"/>
            <w:tcBorders>
              <w:top w:val="single" w:sz="4" w:space="0" w:color="4D7861" w:themeColor="accent2"/>
              <w:bottom w:val="single" w:sz="4" w:space="0" w:color="4D7861" w:themeColor="accent2"/>
            </w:tcBorders>
          </w:tcPr>
          <w:p w14:paraId="028B99E1" w14:textId="77777777" w:rsidR="00426F08" w:rsidRPr="009E7CA0" w:rsidRDefault="00426F08" w:rsidP="00265902">
            <w:pPr>
              <w:pStyle w:val="TableTextLeft"/>
            </w:pPr>
            <w:r w:rsidRPr="009E7CA0">
              <w:t>Insurance and reinsurance</w:t>
            </w:r>
          </w:p>
        </w:tc>
        <w:tc>
          <w:tcPr>
            <w:tcW w:w="3175" w:type="dxa"/>
            <w:gridSpan w:val="2"/>
            <w:tcBorders>
              <w:top w:val="single" w:sz="4" w:space="0" w:color="4D7861" w:themeColor="accent2"/>
              <w:bottom w:val="single" w:sz="4" w:space="0" w:color="4D7861" w:themeColor="accent2"/>
            </w:tcBorders>
          </w:tcPr>
          <w:p w14:paraId="409B0203" w14:textId="77777777" w:rsidR="00426F08" w:rsidRPr="009E7CA0" w:rsidRDefault="00426F08" w:rsidP="00265902">
            <w:pPr>
              <w:pStyle w:val="TableLink"/>
              <w:rPr>
                <w:rStyle w:val="Hyperlink"/>
                <w:color w:val="5D779D" w:themeColor="accent3"/>
                <w:u w:val="single"/>
              </w:rPr>
            </w:pPr>
            <w:hyperlink r:id="rId111" w:history="1">
              <w:r w:rsidRPr="009E7CA0">
                <w:rPr>
                  <w:rStyle w:val="Hyperlink"/>
                  <w:color w:val="5D779D" w:themeColor="accent3"/>
                  <w:u w:val="single"/>
                </w:rPr>
                <w:t>Insurance monitoring</w:t>
              </w:r>
            </w:hyperlink>
          </w:p>
          <w:p w14:paraId="15A90C8E" w14:textId="77777777" w:rsidR="00426F08" w:rsidRPr="009E7CA0" w:rsidRDefault="00426F08" w:rsidP="00265902">
            <w:pPr>
              <w:pStyle w:val="TableTextLeft"/>
            </w:pPr>
            <w:r w:rsidRPr="009E7CA0">
              <w:t>The ACCC is monitoring the prices, costs and profits of home, contents, strata, and certain commercial insurance policies, before and after the introduction of the cyclone reinsurance pool.</w:t>
            </w:r>
          </w:p>
          <w:p w14:paraId="11535771" w14:textId="77777777" w:rsidR="00426F08" w:rsidRPr="009E7CA0" w:rsidRDefault="00426F08" w:rsidP="0005597E">
            <w:pPr>
              <w:pStyle w:val="TableTextLeft"/>
            </w:pPr>
            <w:r w:rsidRPr="009E7CA0">
              <w:t xml:space="preserve">The ACCC is required to report at least once each calendar year until 30 June 2026. </w:t>
            </w:r>
          </w:p>
        </w:tc>
        <w:tc>
          <w:tcPr>
            <w:tcW w:w="1391" w:type="dxa"/>
            <w:tcBorders>
              <w:top w:val="single" w:sz="4" w:space="0" w:color="4D7861" w:themeColor="accent2"/>
              <w:bottom w:val="single" w:sz="4" w:space="0" w:color="4D7861" w:themeColor="accent2"/>
            </w:tcBorders>
            <w:shd w:val="clear" w:color="auto" w:fill="DBE4DF"/>
          </w:tcPr>
          <w:p w14:paraId="5B7FFFED" w14:textId="353A9091" w:rsidR="00426F08" w:rsidRPr="009E7CA0" w:rsidRDefault="00426F08" w:rsidP="00265902">
            <w:pPr>
              <w:pStyle w:val="TableTextLeft"/>
            </w:pPr>
            <w:r w:rsidRPr="009E7CA0">
              <w:t>Final report due by 30 June 2026</w:t>
            </w:r>
            <w:r w:rsidR="0050786E">
              <w:t>.</w:t>
            </w:r>
          </w:p>
        </w:tc>
        <w:tc>
          <w:tcPr>
            <w:tcW w:w="1103" w:type="dxa"/>
            <w:tcBorders>
              <w:top w:val="single" w:sz="4" w:space="0" w:color="4D7861" w:themeColor="accent2"/>
              <w:bottom w:val="single" w:sz="4" w:space="0" w:color="4D7861" w:themeColor="accent2"/>
            </w:tcBorders>
            <w:shd w:val="clear" w:color="auto" w:fill="DBE4DF"/>
          </w:tcPr>
          <w:p w14:paraId="588A079B" w14:textId="48571695" w:rsidR="00426F08" w:rsidRPr="009E7CA0" w:rsidRDefault="00426F08" w:rsidP="00265902">
            <w:pPr>
              <w:pStyle w:val="TableTextLeft"/>
            </w:pPr>
          </w:p>
        </w:tc>
        <w:tc>
          <w:tcPr>
            <w:tcW w:w="1247" w:type="dxa"/>
            <w:tcBorders>
              <w:top w:val="single" w:sz="4" w:space="0" w:color="4D7861" w:themeColor="accent2"/>
              <w:bottom w:val="single" w:sz="4" w:space="0" w:color="4D7861" w:themeColor="accent2"/>
            </w:tcBorders>
            <w:shd w:val="clear" w:color="auto" w:fill="DBE4DF"/>
          </w:tcPr>
          <w:p w14:paraId="42529D59" w14:textId="77777777" w:rsidR="00426F08" w:rsidRPr="009E7CA0" w:rsidRDefault="00426F08" w:rsidP="00265902">
            <w:pPr>
              <w:pStyle w:val="TableTextLeft"/>
            </w:pPr>
          </w:p>
        </w:tc>
        <w:tc>
          <w:tcPr>
            <w:tcW w:w="1417" w:type="dxa"/>
            <w:tcBorders>
              <w:top w:val="single" w:sz="4" w:space="0" w:color="4D7861" w:themeColor="accent2"/>
              <w:bottom w:val="single" w:sz="4" w:space="0" w:color="4D7861" w:themeColor="accent2"/>
            </w:tcBorders>
            <w:shd w:val="clear" w:color="auto" w:fill="EDF2EF"/>
          </w:tcPr>
          <w:p w14:paraId="766B4994" w14:textId="77777777" w:rsidR="00426F08" w:rsidRPr="009E7CA0" w:rsidRDefault="00426F08" w:rsidP="00265902">
            <w:pPr>
              <w:pStyle w:val="TableTextLeft"/>
            </w:pPr>
          </w:p>
        </w:tc>
        <w:tc>
          <w:tcPr>
            <w:tcW w:w="1247" w:type="dxa"/>
            <w:tcBorders>
              <w:top w:val="single" w:sz="4" w:space="0" w:color="4D7861" w:themeColor="accent2"/>
              <w:bottom w:val="single" w:sz="4" w:space="0" w:color="4D7861" w:themeColor="accent2"/>
            </w:tcBorders>
            <w:shd w:val="clear" w:color="auto" w:fill="EDF2EF"/>
          </w:tcPr>
          <w:p w14:paraId="0CF2A256" w14:textId="77777777" w:rsidR="00426F08" w:rsidRPr="009E7CA0" w:rsidRDefault="00426F08" w:rsidP="00265902">
            <w:pPr>
              <w:pStyle w:val="TableTextLeft"/>
            </w:pPr>
          </w:p>
        </w:tc>
        <w:tc>
          <w:tcPr>
            <w:tcW w:w="1247" w:type="dxa"/>
            <w:tcBorders>
              <w:top w:val="single" w:sz="4" w:space="0" w:color="4D7861" w:themeColor="accent2"/>
              <w:bottom w:val="single" w:sz="4" w:space="0" w:color="4D7861" w:themeColor="accent2"/>
            </w:tcBorders>
            <w:shd w:val="clear" w:color="auto" w:fill="EDF2EF"/>
          </w:tcPr>
          <w:p w14:paraId="31F9E7EF" w14:textId="77777777" w:rsidR="00426F08" w:rsidRPr="009E7CA0" w:rsidRDefault="00426F08" w:rsidP="00265902">
            <w:pPr>
              <w:pStyle w:val="TableTextLeft"/>
            </w:pPr>
          </w:p>
        </w:tc>
        <w:tc>
          <w:tcPr>
            <w:tcW w:w="1077" w:type="dxa"/>
            <w:tcBorders>
              <w:top w:val="single" w:sz="4" w:space="0" w:color="4D7861" w:themeColor="accent2"/>
              <w:bottom w:val="single" w:sz="4" w:space="0" w:color="4D7861" w:themeColor="accent2"/>
            </w:tcBorders>
            <w:shd w:val="clear" w:color="auto" w:fill="EDF2EF"/>
          </w:tcPr>
          <w:p w14:paraId="10A4C38B" w14:textId="77777777" w:rsidR="00426F08" w:rsidRPr="009E7CA0" w:rsidRDefault="00426F08" w:rsidP="00265902">
            <w:pPr>
              <w:pStyle w:val="TableTextLeft"/>
            </w:pPr>
          </w:p>
        </w:tc>
      </w:tr>
      <w:tr w:rsidR="00426F08" w:rsidRPr="009E7CA0" w14:paraId="2FE42AEE" w14:textId="611659C1" w:rsidTr="00C62CAD">
        <w:trPr>
          <w:cantSplit/>
          <w:trHeight w:val="410"/>
        </w:trPr>
        <w:tc>
          <w:tcPr>
            <w:tcW w:w="794" w:type="dxa"/>
            <w:tcBorders>
              <w:top w:val="single" w:sz="4" w:space="0" w:color="4D7861" w:themeColor="accent2"/>
              <w:bottom w:val="single" w:sz="4" w:space="0" w:color="4D7861" w:themeColor="accent2"/>
            </w:tcBorders>
          </w:tcPr>
          <w:p w14:paraId="6C7F35BC" w14:textId="77777777" w:rsidR="00426F08" w:rsidRPr="009E7CA0" w:rsidRDefault="00426F08" w:rsidP="00195B9B">
            <w:pPr>
              <w:pStyle w:val="TableLeadAgency"/>
            </w:pPr>
            <w:r w:rsidRPr="009E7CA0">
              <w:t>APRA</w:t>
            </w:r>
          </w:p>
        </w:tc>
        <w:tc>
          <w:tcPr>
            <w:tcW w:w="1304" w:type="dxa"/>
            <w:tcBorders>
              <w:top w:val="single" w:sz="4" w:space="0" w:color="4D7861" w:themeColor="accent2"/>
              <w:bottom w:val="single" w:sz="4" w:space="0" w:color="4D7861" w:themeColor="accent2"/>
            </w:tcBorders>
          </w:tcPr>
          <w:p w14:paraId="673D5751" w14:textId="77777777" w:rsidR="00426F08" w:rsidRPr="009E7CA0" w:rsidRDefault="00426F08" w:rsidP="00195B9B">
            <w:pPr>
              <w:pStyle w:val="TableTextLeft"/>
            </w:pPr>
            <w:r w:rsidRPr="009E7CA0">
              <w:t>Banking, credit and lending</w:t>
            </w:r>
          </w:p>
        </w:tc>
        <w:tc>
          <w:tcPr>
            <w:tcW w:w="3175" w:type="dxa"/>
            <w:gridSpan w:val="2"/>
            <w:tcBorders>
              <w:top w:val="single" w:sz="4" w:space="0" w:color="4D7861" w:themeColor="accent2"/>
              <w:bottom w:val="single" w:sz="4" w:space="0" w:color="4D7861" w:themeColor="accent2"/>
            </w:tcBorders>
          </w:tcPr>
          <w:p w14:paraId="374BBF87" w14:textId="6009EF4A" w:rsidR="00426F08" w:rsidRPr="009E7CA0" w:rsidRDefault="00426F08" w:rsidP="0005597E">
            <w:pPr>
              <w:pStyle w:val="TableTextLeft"/>
              <w:rPr>
                <w:rStyle w:val="Strong"/>
              </w:rPr>
            </w:pPr>
            <w:r w:rsidRPr="009E7CA0">
              <w:rPr>
                <w:rStyle w:val="Strong"/>
              </w:rPr>
              <w:t>Internal ratings</w:t>
            </w:r>
            <w:r w:rsidR="0A8687F7" w:rsidRPr="009E7CA0">
              <w:rPr>
                <w:rStyle w:val="Strong"/>
              </w:rPr>
              <w:t>-</w:t>
            </w:r>
            <w:r w:rsidRPr="009E7CA0">
              <w:rPr>
                <w:rStyle w:val="Strong"/>
              </w:rPr>
              <w:noBreakHyphen/>
              <w:t xml:space="preserve">based (IRB) approach accreditation process </w:t>
            </w:r>
          </w:p>
          <w:p w14:paraId="6FFF769B" w14:textId="091DEF2B" w:rsidR="00426F08" w:rsidRPr="009E7CA0" w:rsidRDefault="00426F08" w:rsidP="0005597E">
            <w:pPr>
              <w:pStyle w:val="TableTextLeft"/>
            </w:pPr>
            <w:r w:rsidRPr="009E7CA0">
              <w:t xml:space="preserve">APRA will </w:t>
            </w:r>
            <w:r w:rsidR="0007506D" w:rsidRPr="009E7CA0">
              <w:t>finalise</w:t>
            </w:r>
            <w:r w:rsidRPr="009E7CA0">
              <w:t xml:space="preserve"> changes that aim to simplify and clarify APRA’s accreditation process that allows banks to use internal modelling for regulatory capital purposes.</w:t>
            </w:r>
          </w:p>
        </w:tc>
        <w:tc>
          <w:tcPr>
            <w:tcW w:w="1391" w:type="dxa"/>
            <w:tcBorders>
              <w:top w:val="single" w:sz="4" w:space="0" w:color="4D7861" w:themeColor="accent2"/>
              <w:bottom w:val="single" w:sz="4" w:space="0" w:color="4D7861" w:themeColor="accent2"/>
            </w:tcBorders>
            <w:shd w:val="clear" w:color="auto" w:fill="DBE4DF"/>
          </w:tcPr>
          <w:p w14:paraId="4B0AAF70" w14:textId="6E49063A" w:rsidR="00426F08" w:rsidRPr="009E7CA0" w:rsidRDefault="00426F08" w:rsidP="00195B9B">
            <w:pPr>
              <w:pStyle w:val="TableTextLeft"/>
            </w:pPr>
            <w:r w:rsidRPr="009E7CA0">
              <w:t>Release final standard and guidance</w:t>
            </w:r>
            <w:r w:rsidR="0050786E">
              <w:t>.</w:t>
            </w:r>
          </w:p>
        </w:tc>
        <w:tc>
          <w:tcPr>
            <w:tcW w:w="1103" w:type="dxa"/>
            <w:tcBorders>
              <w:top w:val="single" w:sz="4" w:space="0" w:color="4D7861" w:themeColor="accent2"/>
              <w:bottom w:val="single" w:sz="4" w:space="0" w:color="4D7861" w:themeColor="accent2"/>
            </w:tcBorders>
            <w:shd w:val="clear" w:color="auto" w:fill="DBE4DF"/>
          </w:tcPr>
          <w:p w14:paraId="73F938D2" w14:textId="1B7E60B3" w:rsidR="00426F08" w:rsidRPr="009E7CA0" w:rsidDel="00D95C49" w:rsidRDefault="00426F08"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3B05C806" w14:textId="77777777" w:rsidR="00426F08" w:rsidRPr="009E7CA0" w:rsidDel="00E15876" w:rsidRDefault="00426F08" w:rsidP="00195B9B">
            <w:pPr>
              <w:pStyle w:val="TableTextLeft"/>
            </w:pPr>
          </w:p>
        </w:tc>
        <w:tc>
          <w:tcPr>
            <w:tcW w:w="1417" w:type="dxa"/>
            <w:tcBorders>
              <w:top w:val="single" w:sz="4" w:space="0" w:color="4D7861" w:themeColor="accent2"/>
              <w:bottom w:val="single" w:sz="4" w:space="0" w:color="4D7861" w:themeColor="accent2"/>
            </w:tcBorders>
            <w:shd w:val="clear" w:color="auto" w:fill="EDF2EF"/>
          </w:tcPr>
          <w:p w14:paraId="67D77235" w14:textId="77777777" w:rsidR="00426F08" w:rsidRPr="009E7CA0" w:rsidRDefault="00426F08"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4F4547E6" w14:textId="77777777" w:rsidR="00426F08" w:rsidRPr="009E7CA0" w:rsidRDefault="00426F08"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24F2E6DF" w14:textId="77777777" w:rsidR="00426F08" w:rsidRPr="009E7CA0" w:rsidRDefault="00426F08" w:rsidP="00195B9B">
            <w:pPr>
              <w:pStyle w:val="TableTextLeft"/>
            </w:pPr>
          </w:p>
        </w:tc>
        <w:tc>
          <w:tcPr>
            <w:tcW w:w="1077" w:type="dxa"/>
            <w:tcBorders>
              <w:top w:val="single" w:sz="4" w:space="0" w:color="4D7861" w:themeColor="accent2"/>
              <w:bottom w:val="single" w:sz="4" w:space="0" w:color="4D7861" w:themeColor="accent2"/>
            </w:tcBorders>
            <w:shd w:val="clear" w:color="auto" w:fill="EDF2EF"/>
          </w:tcPr>
          <w:p w14:paraId="317E304F" w14:textId="77777777" w:rsidR="00426F08" w:rsidRPr="009E7CA0" w:rsidRDefault="00426F08" w:rsidP="00195B9B">
            <w:pPr>
              <w:pStyle w:val="TableTextLeft"/>
            </w:pPr>
          </w:p>
        </w:tc>
      </w:tr>
      <w:tr w:rsidR="00426F08" w:rsidRPr="009E7CA0" w14:paraId="7EE32ED1" w14:textId="25C3AC28" w:rsidTr="00C70868">
        <w:trPr>
          <w:cantSplit/>
          <w:trHeight w:val="410"/>
        </w:trPr>
        <w:tc>
          <w:tcPr>
            <w:tcW w:w="794" w:type="dxa"/>
            <w:tcBorders>
              <w:top w:val="single" w:sz="4" w:space="0" w:color="4D7861" w:themeColor="accent2"/>
              <w:bottom w:val="single" w:sz="4" w:space="0" w:color="4D7861" w:themeColor="accent2"/>
            </w:tcBorders>
          </w:tcPr>
          <w:p w14:paraId="5F4FC746" w14:textId="77777777" w:rsidR="00426F08" w:rsidRPr="009E7CA0" w:rsidRDefault="00426F08" w:rsidP="00195B9B">
            <w:pPr>
              <w:pStyle w:val="TableLeadAgency"/>
            </w:pPr>
            <w:r w:rsidRPr="009E7CA0">
              <w:lastRenderedPageBreak/>
              <w:t>APRA</w:t>
            </w:r>
          </w:p>
        </w:tc>
        <w:tc>
          <w:tcPr>
            <w:tcW w:w="1304" w:type="dxa"/>
            <w:tcBorders>
              <w:top w:val="single" w:sz="4" w:space="0" w:color="4D7861" w:themeColor="accent2"/>
              <w:bottom w:val="single" w:sz="4" w:space="0" w:color="4D7861" w:themeColor="accent2"/>
            </w:tcBorders>
          </w:tcPr>
          <w:p w14:paraId="129CA7F7" w14:textId="77777777" w:rsidR="00426F08" w:rsidRPr="009E7CA0" w:rsidRDefault="00426F08" w:rsidP="00195B9B">
            <w:pPr>
              <w:pStyle w:val="TableTextLeft"/>
            </w:pPr>
            <w:r w:rsidRPr="009E7CA0">
              <w:t>Banking, credit and lending</w:t>
            </w:r>
          </w:p>
        </w:tc>
        <w:tc>
          <w:tcPr>
            <w:tcW w:w="3175" w:type="dxa"/>
            <w:gridSpan w:val="2"/>
            <w:tcBorders>
              <w:top w:val="single" w:sz="4" w:space="0" w:color="4D7861" w:themeColor="accent2"/>
              <w:bottom w:val="single" w:sz="4" w:space="0" w:color="4D7861" w:themeColor="accent2"/>
            </w:tcBorders>
          </w:tcPr>
          <w:p w14:paraId="1EE478E9" w14:textId="77777777" w:rsidR="00426F08" w:rsidRPr="009E7CA0" w:rsidRDefault="00426F08" w:rsidP="0005597E">
            <w:pPr>
              <w:pStyle w:val="TableTextLeft"/>
              <w:rPr>
                <w:rStyle w:val="Strong"/>
              </w:rPr>
            </w:pPr>
            <w:r w:rsidRPr="009E7CA0">
              <w:rPr>
                <w:rStyle w:val="Strong"/>
              </w:rPr>
              <w:t>Liquidity review</w:t>
            </w:r>
          </w:p>
          <w:p w14:paraId="3DFF55BE" w14:textId="77E52F22" w:rsidR="00426F08" w:rsidRPr="009E7CA0" w:rsidRDefault="00426F08" w:rsidP="0005597E">
            <w:pPr>
              <w:pStyle w:val="TableTextLeft"/>
              <w:rPr>
                <w:rFonts w:eastAsia="Aptos"/>
              </w:rPr>
            </w:pPr>
            <w:r w:rsidRPr="009E7CA0">
              <w:rPr>
                <w:rFonts w:eastAsia="Aptos"/>
              </w:rPr>
              <w:t>APRA will continue its review of the bank liquidity framework. including prudential standard APS 210 Liquidity. It aims to modernise the framework, reflect market changes and ensure it remains fit</w:t>
            </w:r>
            <w:r w:rsidRPr="009E7CA0">
              <w:rPr>
                <w:rFonts w:eastAsia="Aptos"/>
              </w:rPr>
              <w:noBreakHyphen/>
              <w:t>for</w:t>
            </w:r>
            <w:r w:rsidRPr="009E7CA0">
              <w:rPr>
                <w:rFonts w:eastAsia="Aptos"/>
              </w:rPr>
              <w:noBreakHyphen/>
              <w:t>purpose.</w:t>
            </w:r>
          </w:p>
        </w:tc>
        <w:tc>
          <w:tcPr>
            <w:tcW w:w="1391" w:type="dxa"/>
            <w:tcBorders>
              <w:top w:val="single" w:sz="4" w:space="0" w:color="4D7861" w:themeColor="accent2"/>
              <w:left w:val="nil"/>
              <w:bottom w:val="single" w:sz="4" w:space="0" w:color="4D7861" w:themeColor="accent2"/>
              <w:right w:val="single" w:sz="4" w:space="0" w:color="FFFFFF" w:themeColor="background1"/>
            </w:tcBorders>
            <w:shd w:val="clear" w:color="auto" w:fill="DBE4DF"/>
          </w:tcPr>
          <w:p w14:paraId="6DCAB7C5" w14:textId="1712C754" w:rsidR="00426F08" w:rsidRPr="009E7CA0" w:rsidRDefault="00630981" w:rsidP="0005597E">
            <w:pPr>
              <w:pStyle w:val="TableTextLeft"/>
            </w:pPr>
            <w:r w:rsidRPr="009E7CA0">
              <w:t>Informal consultation</w:t>
            </w:r>
            <w:r w:rsidR="0050786E">
              <w:t>.</w:t>
            </w:r>
          </w:p>
        </w:tc>
        <w:tc>
          <w:tcPr>
            <w:tcW w:w="1103" w:type="dxa"/>
            <w:tcBorders>
              <w:top w:val="single" w:sz="4" w:space="0" w:color="4D7861" w:themeColor="accent2"/>
              <w:left w:val="single" w:sz="4" w:space="0" w:color="FFFFFF" w:themeColor="background1"/>
              <w:bottom w:val="single" w:sz="4" w:space="0" w:color="4D7861" w:themeColor="accent2"/>
              <w:right w:val="single" w:sz="4" w:space="0" w:color="FFFFFF" w:themeColor="background1"/>
            </w:tcBorders>
            <w:shd w:val="clear" w:color="auto" w:fill="DBE4DF"/>
          </w:tcPr>
          <w:p w14:paraId="6230A663" w14:textId="58C48C92" w:rsidR="00426F08" w:rsidRPr="009E7CA0" w:rsidRDefault="00426F08" w:rsidP="0005597E">
            <w:pPr>
              <w:pStyle w:val="TableTextLeft"/>
            </w:pPr>
          </w:p>
        </w:tc>
        <w:tc>
          <w:tcPr>
            <w:tcW w:w="1247" w:type="dxa"/>
            <w:tcBorders>
              <w:top w:val="single" w:sz="4" w:space="0" w:color="4D7861" w:themeColor="accent2"/>
              <w:left w:val="single" w:sz="4" w:space="0" w:color="FFFFFF" w:themeColor="background1"/>
              <w:bottom w:val="single" w:sz="4" w:space="0" w:color="4D7861" w:themeColor="accent2"/>
              <w:right w:val="single" w:sz="4" w:space="0" w:color="FFFFFF" w:themeColor="background1"/>
            </w:tcBorders>
            <w:shd w:val="clear" w:color="auto" w:fill="DBE4DF"/>
          </w:tcPr>
          <w:p w14:paraId="7435BB5A" w14:textId="227E528F" w:rsidR="00630981" w:rsidRPr="009E7CA0" w:rsidRDefault="00630981" w:rsidP="0005597E">
            <w:pPr>
              <w:pStyle w:val="TableTextLeft"/>
            </w:pPr>
            <w:r w:rsidRPr="009E7CA0">
              <w:t>Consultation – draft standards</w:t>
            </w:r>
            <w:r w:rsidR="0050786E">
              <w:t>.</w:t>
            </w:r>
          </w:p>
          <w:p w14:paraId="7F6C14CE" w14:textId="77777777" w:rsidR="00426F08" w:rsidRPr="009E7CA0" w:rsidRDefault="00426F08" w:rsidP="0005597E">
            <w:pPr>
              <w:pStyle w:val="TableTextLeft"/>
            </w:pPr>
          </w:p>
        </w:tc>
        <w:tc>
          <w:tcPr>
            <w:tcW w:w="1417" w:type="dxa"/>
            <w:tcBorders>
              <w:top w:val="single" w:sz="4" w:space="0" w:color="4D7861" w:themeColor="accent2"/>
              <w:left w:val="single" w:sz="4" w:space="0" w:color="FFFFFF" w:themeColor="background1"/>
              <w:bottom w:val="single" w:sz="4" w:space="0" w:color="4D7861" w:themeColor="accent2"/>
              <w:right w:val="single" w:sz="4" w:space="0" w:color="FFFFFF" w:themeColor="background1"/>
            </w:tcBorders>
            <w:shd w:val="clear" w:color="auto" w:fill="EDF2EF"/>
          </w:tcPr>
          <w:p w14:paraId="706711CD" w14:textId="77777777" w:rsidR="00426F08" w:rsidRPr="009E7CA0" w:rsidRDefault="00426F08" w:rsidP="0005597E">
            <w:pPr>
              <w:pStyle w:val="TableTextLeft"/>
            </w:pPr>
          </w:p>
        </w:tc>
        <w:tc>
          <w:tcPr>
            <w:tcW w:w="1247" w:type="dxa"/>
            <w:tcBorders>
              <w:top w:val="single" w:sz="4" w:space="0" w:color="4D7861" w:themeColor="accent2"/>
              <w:left w:val="single" w:sz="4" w:space="0" w:color="FFFFFF" w:themeColor="background1"/>
              <w:bottom w:val="single" w:sz="4" w:space="0" w:color="4D7861" w:themeColor="accent2"/>
              <w:right w:val="single" w:sz="4" w:space="0" w:color="FFFFFF" w:themeColor="background1"/>
            </w:tcBorders>
            <w:shd w:val="clear" w:color="auto" w:fill="EDF2EF"/>
          </w:tcPr>
          <w:p w14:paraId="3D22E620" w14:textId="0D0E6429" w:rsidR="00426F08" w:rsidRPr="009E7CA0" w:rsidRDefault="00630981" w:rsidP="0005597E">
            <w:pPr>
              <w:pStyle w:val="TableTextLeft"/>
            </w:pPr>
            <w:r w:rsidRPr="009E7CA0">
              <w:t>Informal consultation on reporting standards</w:t>
            </w:r>
            <w:r w:rsidR="0050786E">
              <w:t>.</w:t>
            </w:r>
          </w:p>
        </w:tc>
        <w:tc>
          <w:tcPr>
            <w:tcW w:w="1247" w:type="dxa"/>
            <w:tcBorders>
              <w:top w:val="single" w:sz="4" w:space="0" w:color="4D7861" w:themeColor="accent2"/>
              <w:left w:val="single" w:sz="4" w:space="0" w:color="FFFFFF" w:themeColor="background1"/>
              <w:bottom w:val="single" w:sz="4" w:space="0" w:color="4D7861" w:themeColor="accent2"/>
              <w:right w:val="nil"/>
            </w:tcBorders>
            <w:shd w:val="clear" w:color="auto" w:fill="EDF2EF"/>
          </w:tcPr>
          <w:p w14:paraId="4EC03BF5" w14:textId="0FF7B59F" w:rsidR="00630981" w:rsidRPr="009E7CA0" w:rsidRDefault="00630981" w:rsidP="0005597E">
            <w:pPr>
              <w:pStyle w:val="TableTextLeft"/>
            </w:pPr>
            <w:r w:rsidRPr="009E7CA0">
              <w:t>Release final standard. Consult on reporting standards</w:t>
            </w:r>
            <w:r w:rsidR="0050786E">
              <w:t>.</w:t>
            </w:r>
          </w:p>
          <w:p w14:paraId="75AFCFE2" w14:textId="77777777" w:rsidR="00426F08" w:rsidRPr="009E7CA0" w:rsidRDefault="00426F08" w:rsidP="0005597E">
            <w:pPr>
              <w:pStyle w:val="TableTextLeft"/>
            </w:pPr>
          </w:p>
        </w:tc>
        <w:tc>
          <w:tcPr>
            <w:tcW w:w="1077" w:type="dxa"/>
            <w:tcBorders>
              <w:top w:val="single" w:sz="4" w:space="0" w:color="4D7861" w:themeColor="accent2"/>
              <w:left w:val="nil"/>
              <w:bottom w:val="single" w:sz="4" w:space="0" w:color="4D7861" w:themeColor="accent2"/>
              <w:right w:val="single" w:sz="4" w:space="0" w:color="FFFFFF" w:themeColor="background1"/>
            </w:tcBorders>
            <w:shd w:val="clear" w:color="auto" w:fill="EDF2EF"/>
          </w:tcPr>
          <w:p w14:paraId="5EB04023" w14:textId="1A1C9230" w:rsidR="00426F08" w:rsidRPr="009E7CA0" w:rsidRDefault="00630981" w:rsidP="0005597E">
            <w:pPr>
              <w:pStyle w:val="TableTextLeft"/>
            </w:pPr>
            <w:r w:rsidRPr="009E7CA0">
              <w:t>Informal consultation</w:t>
            </w:r>
            <w:r w:rsidR="0050786E">
              <w:t>.</w:t>
            </w:r>
          </w:p>
        </w:tc>
      </w:tr>
      <w:tr w:rsidR="00CE7AB3" w:rsidRPr="009E7CA0" w14:paraId="17A97DE1" w14:textId="77777777" w:rsidTr="00C62CAD">
        <w:trPr>
          <w:cantSplit/>
          <w:trHeight w:val="410"/>
        </w:trPr>
        <w:tc>
          <w:tcPr>
            <w:tcW w:w="794" w:type="dxa"/>
            <w:tcBorders>
              <w:top w:val="single" w:sz="4" w:space="0" w:color="4D7861" w:themeColor="accent2"/>
              <w:left w:val="nil"/>
              <w:bottom w:val="single" w:sz="4" w:space="0" w:color="4D7861" w:themeColor="accent2"/>
              <w:right w:val="single" w:sz="4" w:space="0" w:color="FFFFFF" w:themeColor="background1"/>
            </w:tcBorders>
          </w:tcPr>
          <w:p w14:paraId="260EA119" w14:textId="3D0CCF50" w:rsidR="002F316A" w:rsidRPr="009E7CA0" w:rsidRDefault="002F316A" w:rsidP="002F316A">
            <w:pPr>
              <w:pStyle w:val="TableLeadAgency"/>
            </w:pPr>
            <w:r w:rsidRPr="009E7CA0">
              <w:rPr>
                <w:lang w:eastAsia="en-US"/>
              </w:rPr>
              <w:t>APRA</w:t>
            </w:r>
          </w:p>
        </w:tc>
        <w:tc>
          <w:tcPr>
            <w:tcW w:w="1304" w:type="dxa"/>
            <w:tcBorders>
              <w:top w:val="single" w:sz="4" w:space="0" w:color="4D7861" w:themeColor="accent2"/>
              <w:left w:val="single" w:sz="4" w:space="0" w:color="FFFFFF" w:themeColor="background1"/>
              <w:bottom w:val="single" w:sz="4" w:space="0" w:color="4D7861" w:themeColor="accent2"/>
              <w:right w:val="single" w:sz="4" w:space="0" w:color="FFFFFF" w:themeColor="background1"/>
            </w:tcBorders>
          </w:tcPr>
          <w:p w14:paraId="1A470716" w14:textId="2F7A0F26" w:rsidR="002F316A" w:rsidRPr="009E7CA0" w:rsidRDefault="002F316A" w:rsidP="002F316A">
            <w:pPr>
              <w:pStyle w:val="TableTextLeft"/>
            </w:pPr>
            <w:r w:rsidRPr="009E7CA0">
              <w:rPr>
                <w:lang w:eastAsia="en-US"/>
              </w:rPr>
              <w:t>Banking, credit and lending</w:t>
            </w:r>
          </w:p>
        </w:tc>
        <w:tc>
          <w:tcPr>
            <w:tcW w:w="3175" w:type="dxa"/>
            <w:gridSpan w:val="2"/>
            <w:tcBorders>
              <w:top w:val="single" w:sz="4" w:space="0" w:color="4D7861" w:themeColor="accent2"/>
              <w:left w:val="single" w:sz="4" w:space="0" w:color="FFFFFF" w:themeColor="background1"/>
              <w:bottom w:val="single" w:sz="4" w:space="0" w:color="4D7861" w:themeColor="accent2"/>
              <w:right w:val="single" w:sz="4" w:space="0" w:color="FFFFFF" w:themeColor="background1"/>
            </w:tcBorders>
          </w:tcPr>
          <w:p w14:paraId="78A3EB89" w14:textId="585B439B" w:rsidR="002F316A" w:rsidRPr="009E7CA0" w:rsidRDefault="002F316A" w:rsidP="0005597E">
            <w:pPr>
              <w:pStyle w:val="TableTextLeft"/>
              <w:rPr>
                <w:rStyle w:val="Strong"/>
              </w:rPr>
            </w:pPr>
            <w:r w:rsidRPr="009E7CA0">
              <w:rPr>
                <w:rStyle w:val="Strong"/>
              </w:rPr>
              <w:t>Targeted amendments to standardised credit risk capital framework</w:t>
            </w:r>
            <w:r w:rsidR="007D017F" w:rsidRPr="009E7CA0">
              <w:rPr>
                <w:rStyle w:val="Strong"/>
              </w:rPr>
              <w:t xml:space="preserve"> </w:t>
            </w:r>
            <w:r w:rsidR="007D017F" w:rsidRPr="00A05124">
              <w:rPr>
                <w:rStyle w:val="Hyperlink"/>
                <w:color w:val="4D7861" w:themeColor="accent2"/>
                <w:u w:val="single"/>
                <w:lang w:val="en-US"/>
              </w:rPr>
              <w:t>(new)</w:t>
            </w:r>
          </w:p>
          <w:p w14:paraId="31E7AA04" w14:textId="438FD297" w:rsidR="002F316A" w:rsidRPr="009E7CA0" w:rsidRDefault="002F316A" w:rsidP="0005597E">
            <w:pPr>
              <w:pStyle w:val="TableTextLeft"/>
            </w:pPr>
            <w:r w:rsidRPr="009E7CA0">
              <w:t>APRA will consult on targeted changes to credit risk-weights for certain forms of corporate lending. This aims to make the framework more risk sensitive and better align requirements with the underlying risk.</w:t>
            </w:r>
          </w:p>
        </w:tc>
        <w:tc>
          <w:tcPr>
            <w:tcW w:w="1391" w:type="dxa"/>
            <w:tcBorders>
              <w:top w:val="single" w:sz="4" w:space="0" w:color="4D7861" w:themeColor="accent2"/>
              <w:left w:val="single" w:sz="4" w:space="0" w:color="FFFFFF" w:themeColor="background1"/>
              <w:bottom w:val="single" w:sz="4" w:space="0" w:color="4D7861" w:themeColor="accent2"/>
              <w:right w:val="single" w:sz="4" w:space="0" w:color="FFFFFF" w:themeColor="background1"/>
            </w:tcBorders>
            <w:shd w:val="clear" w:color="auto" w:fill="DBE4DF"/>
          </w:tcPr>
          <w:p w14:paraId="7F8ED360" w14:textId="09C9CE9F" w:rsidR="002F316A" w:rsidRPr="009E7CA0" w:rsidRDefault="002F316A" w:rsidP="0005597E">
            <w:pPr>
              <w:pStyle w:val="TableTextLeft"/>
            </w:pPr>
            <w:r w:rsidRPr="009E7CA0">
              <w:t>Consultation – draft standards</w:t>
            </w:r>
            <w:r w:rsidR="0050786E">
              <w:t>.</w:t>
            </w:r>
          </w:p>
          <w:p w14:paraId="1F7218D2" w14:textId="77777777" w:rsidR="002F316A" w:rsidRPr="009E7CA0" w:rsidRDefault="002F316A" w:rsidP="0005597E">
            <w:pPr>
              <w:pStyle w:val="TableTextLeft"/>
            </w:pPr>
          </w:p>
        </w:tc>
        <w:tc>
          <w:tcPr>
            <w:tcW w:w="1103" w:type="dxa"/>
            <w:tcBorders>
              <w:top w:val="single" w:sz="4" w:space="0" w:color="4D7861" w:themeColor="accent2"/>
              <w:left w:val="single" w:sz="4" w:space="0" w:color="FFFFFF" w:themeColor="background1"/>
              <w:bottom w:val="single" w:sz="4" w:space="0" w:color="4D7861" w:themeColor="accent2"/>
              <w:right w:val="single" w:sz="4" w:space="0" w:color="FFFFFF" w:themeColor="background1"/>
            </w:tcBorders>
            <w:shd w:val="clear" w:color="auto" w:fill="DBE4DF"/>
          </w:tcPr>
          <w:p w14:paraId="772F010F" w14:textId="4EFB405C" w:rsidR="002F316A" w:rsidRPr="009E7CA0" w:rsidRDefault="002F316A" w:rsidP="0005597E">
            <w:pPr>
              <w:pStyle w:val="TableTextLeft"/>
            </w:pPr>
          </w:p>
        </w:tc>
        <w:tc>
          <w:tcPr>
            <w:tcW w:w="1247" w:type="dxa"/>
            <w:tcBorders>
              <w:top w:val="single" w:sz="4" w:space="0" w:color="4D7861" w:themeColor="accent2"/>
              <w:left w:val="single" w:sz="4" w:space="0" w:color="FFFFFF" w:themeColor="background1"/>
              <w:bottom w:val="single" w:sz="4" w:space="0" w:color="4D7861" w:themeColor="accent2"/>
              <w:right w:val="single" w:sz="4" w:space="0" w:color="FFFFFF" w:themeColor="background1"/>
            </w:tcBorders>
            <w:shd w:val="clear" w:color="auto" w:fill="DBE4DF"/>
          </w:tcPr>
          <w:p w14:paraId="6148954F" w14:textId="2345D0C9" w:rsidR="002F316A" w:rsidRPr="009E7CA0" w:rsidRDefault="002F316A" w:rsidP="0005597E">
            <w:pPr>
              <w:pStyle w:val="TableTextLeft"/>
            </w:pPr>
            <w:r w:rsidRPr="009E7CA0">
              <w:t>Release final standard</w:t>
            </w:r>
            <w:r w:rsidR="0050786E">
              <w:t>.</w:t>
            </w:r>
          </w:p>
        </w:tc>
        <w:tc>
          <w:tcPr>
            <w:tcW w:w="1417" w:type="dxa"/>
            <w:tcBorders>
              <w:top w:val="single" w:sz="4" w:space="0" w:color="4D7861" w:themeColor="accent2"/>
              <w:left w:val="single" w:sz="4" w:space="0" w:color="FFFFFF" w:themeColor="background1"/>
              <w:bottom w:val="single" w:sz="4" w:space="0" w:color="4D7861" w:themeColor="accent2"/>
              <w:right w:val="single" w:sz="4" w:space="0" w:color="FFFFFF" w:themeColor="background1"/>
            </w:tcBorders>
            <w:shd w:val="clear" w:color="auto" w:fill="EDF2EF"/>
          </w:tcPr>
          <w:p w14:paraId="3894D117" w14:textId="77777777" w:rsidR="002F316A" w:rsidRPr="009E7CA0" w:rsidRDefault="002F316A" w:rsidP="0005597E">
            <w:pPr>
              <w:pStyle w:val="TableTextLeft"/>
            </w:pPr>
          </w:p>
        </w:tc>
        <w:tc>
          <w:tcPr>
            <w:tcW w:w="1247" w:type="dxa"/>
            <w:tcBorders>
              <w:top w:val="single" w:sz="4" w:space="0" w:color="4D7861" w:themeColor="accent2"/>
              <w:left w:val="single" w:sz="4" w:space="0" w:color="FFFFFF" w:themeColor="background1"/>
              <w:bottom w:val="single" w:sz="4" w:space="0" w:color="4D7861" w:themeColor="accent2"/>
              <w:right w:val="single" w:sz="4" w:space="0" w:color="FFFFFF" w:themeColor="background1"/>
            </w:tcBorders>
            <w:shd w:val="clear" w:color="auto" w:fill="EDF2EF"/>
          </w:tcPr>
          <w:p w14:paraId="40262D95" w14:textId="77777777" w:rsidR="002F316A" w:rsidRPr="009E7CA0" w:rsidRDefault="002F316A" w:rsidP="0005597E">
            <w:pPr>
              <w:pStyle w:val="TableTextLeft"/>
            </w:pPr>
          </w:p>
        </w:tc>
        <w:tc>
          <w:tcPr>
            <w:tcW w:w="1247" w:type="dxa"/>
            <w:tcBorders>
              <w:top w:val="single" w:sz="4" w:space="0" w:color="4D7861" w:themeColor="accent2"/>
              <w:left w:val="single" w:sz="4" w:space="0" w:color="FFFFFF" w:themeColor="background1"/>
              <w:bottom w:val="single" w:sz="4" w:space="0" w:color="4D7861" w:themeColor="accent2"/>
              <w:right w:val="single" w:sz="4" w:space="0" w:color="FFFFFF" w:themeColor="background1"/>
            </w:tcBorders>
            <w:shd w:val="clear" w:color="auto" w:fill="EDF2EF"/>
          </w:tcPr>
          <w:p w14:paraId="13AF78E2" w14:textId="77777777" w:rsidR="002F316A" w:rsidRPr="009E7CA0" w:rsidRDefault="002F316A" w:rsidP="0005597E">
            <w:pPr>
              <w:pStyle w:val="TableTextLeft"/>
            </w:pPr>
          </w:p>
        </w:tc>
        <w:tc>
          <w:tcPr>
            <w:tcW w:w="1077" w:type="dxa"/>
            <w:tcBorders>
              <w:top w:val="single" w:sz="4" w:space="0" w:color="4D7861" w:themeColor="accent2"/>
              <w:left w:val="single" w:sz="4" w:space="0" w:color="FFFFFF" w:themeColor="background1"/>
              <w:bottom w:val="single" w:sz="4" w:space="0" w:color="4D7861" w:themeColor="accent2"/>
              <w:right w:val="nil"/>
            </w:tcBorders>
            <w:shd w:val="clear" w:color="auto" w:fill="EDF2EF"/>
          </w:tcPr>
          <w:p w14:paraId="4DBD4214" w14:textId="77777777" w:rsidR="002F316A" w:rsidRPr="009E7CA0" w:rsidRDefault="002F316A" w:rsidP="0005597E">
            <w:pPr>
              <w:pStyle w:val="TableTextLeft"/>
            </w:pPr>
          </w:p>
        </w:tc>
      </w:tr>
      <w:tr w:rsidR="00B26E66" w:rsidRPr="009E7CA0" w14:paraId="1D0D709E" w14:textId="77777777" w:rsidTr="00C2302B">
        <w:trPr>
          <w:cantSplit/>
          <w:trHeight w:val="410"/>
        </w:trPr>
        <w:tc>
          <w:tcPr>
            <w:tcW w:w="794" w:type="dxa"/>
            <w:tcBorders>
              <w:top w:val="single" w:sz="4" w:space="0" w:color="4D7861" w:themeColor="accent2"/>
              <w:left w:val="nil"/>
              <w:bottom w:val="single" w:sz="4" w:space="0" w:color="4D7861" w:themeColor="accent2"/>
              <w:right w:val="single" w:sz="4" w:space="0" w:color="FFFFFF" w:themeColor="background1"/>
            </w:tcBorders>
          </w:tcPr>
          <w:p w14:paraId="0413DEB9" w14:textId="0CDB795B" w:rsidR="002F316A" w:rsidRPr="009E7CA0" w:rsidRDefault="002F316A" w:rsidP="002F316A">
            <w:pPr>
              <w:pStyle w:val="TableLeadAgency"/>
            </w:pPr>
            <w:r w:rsidRPr="009E7CA0">
              <w:rPr>
                <w:lang w:eastAsia="en-US"/>
              </w:rPr>
              <w:t>APRA</w:t>
            </w:r>
          </w:p>
        </w:tc>
        <w:tc>
          <w:tcPr>
            <w:tcW w:w="1334" w:type="dxa"/>
            <w:gridSpan w:val="2"/>
            <w:tcBorders>
              <w:top w:val="single" w:sz="4" w:space="0" w:color="4D7861" w:themeColor="accent2"/>
              <w:left w:val="single" w:sz="4" w:space="0" w:color="FFFFFF" w:themeColor="background1"/>
              <w:bottom w:val="single" w:sz="4" w:space="0" w:color="4D7861" w:themeColor="accent2"/>
              <w:right w:val="single" w:sz="4" w:space="0" w:color="FFFFFF" w:themeColor="background1"/>
            </w:tcBorders>
          </w:tcPr>
          <w:p w14:paraId="095401AD" w14:textId="5ACB4A8F" w:rsidR="002F316A" w:rsidRPr="009E7CA0" w:rsidRDefault="002F316A" w:rsidP="002F316A">
            <w:pPr>
              <w:pStyle w:val="TableTextLeft"/>
            </w:pPr>
            <w:r w:rsidRPr="009E7CA0">
              <w:rPr>
                <w:lang w:eastAsia="en-US"/>
              </w:rPr>
              <w:t>Banking, credit and lending</w:t>
            </w:r>
          </w:p>
        </w:tc>
        <w:tc>
          <w:tcPr>
            <w:tcW w:w="3145" w:type="dxa"/>
            <w:tcBorders>
              <w:top w:val="single" w:sz="4" w:space="0" w:color="4D7861" w:themeColor="accent2"/>
              <w:left w:val="single" w:sz="4" w:space="0" w:color="FFFFFF" w:themeColor="background1"/>
              <w:bottom w:val="single" w:sz="4" w:space="0" w:color="4D7861" w:themeColor="accent2"/>
              <w:right w:val="single" w:sz="4" w:space="0" w:color="FFFFFF" w:themeColor="background1"/>
            </w:tcBorders>
          </w:tcPr>
          <w:p w14:paraId="24DA9FDD" w14:textId="691A0D2E" w:rsidR="002F316A" w:rsidRPr="009E7CA0" w:rsidRDefault="002F316A" w:rsidP="000225CA">
            <w:pPr>
              <w:pStyle w:val="TableTextLeft"/>
              <w:rPr>
                <w:rStyle w:val="Strong"/>
              </w:rPr>
            </w:pPr>
            <w:r w:rsidRPr="009E7CA0">
              <w:rPr>
                <w:rStyle w:val="Strong"/>
              </w:rPr>
              <w:t>Fundamental Review of the Trading Book</w:t>
            </w:r>
            <w:r w:rsidR="007D017F" w:rsidRPr="009E7CA0">
              <w:rPr>
                <w:rStyle w:val="Strong"/>
              </w:rPr>
              <w:t xml:space="preserve"> </w:t>
            </w:r>
            <w:r w:rsidR="007D017F" w:rsidRPr="00A05124">
              <w:rPr>
                <w:rStyle w:val="Hyperlink"/>
                <w:color w:val="4D7861" w:themeColor="accent2"/>
                <w:u w:val="single"/>
                <w:lang w:val="en-US"/>
              </w:rPr>
              <w:t>(new)</w:t>
            </w:r>
          </w:p>
          <w:p w14:paraId="76D1129A" w14:textId="7233AAA3" w:rsidR="002F316A" w:rsidRPr="009E7CA0" w:rsidRDefault="002F316A" w:rsidP="000225CA">
            <w:pPr>
              <w:pStyle w:val="TableTextLeft"/>
            </w:pPr>
            <w:r w:rsidRPr="009E7CA0">
              <w:t>APRA will implement a simplified version of the Basel Committee’s Fundamental Review of the Trading Book (FRTB) standard.</w:t>
            </w:r>
          </w:p>
        </w:tc>
        <w:tc>
          <w:tcPr>
            <w:tcW w:w="1391" w:type="dxa"/>
            <w:tcBorders>
              <w:top w:val="single" w:sz="4" w:space="0" w:color="4D7861" w:themeColor="accent2"/>
              <w:left w:val="single" w:sz="4" w:space="0" w:color="FFFFFF" w:themeColor="background1"/>
              <w:bottom w:val="single" w:sz="4" w:space="0" w:color="4D7861" w:themeColor="accent2"/>
              <w:right w:val="single" w:sz="4" w:space="0" w:color="FFFFFF" w:themeColor="background1"/>
            </w:tcBorders>
            <w:shd w:val="clear" w:color="auto" w:fill="DBE4DF"/>
          </w:tcPr>
          <w:p w14:paraId="4DC38618" w14:textId="79C91204" w:rsidR="002F316A" w:rsidRPr="009E7CA0" w:rsidRDefault="002F316A" w:rsidP="0005597E">
            <w:pPr>
              <w:pStyle w:val="TableTextLeft"/>
            </w:pPr>
          </w:p>
        </w:tc>
        <w:tc>
          <w:tcPr>
            <w:tcW w:w="1103" w:type="dxa"/>
            <w:tcBorders>
              <w:top w:val="single" w:sz="4" w:space="0" w:color="4D7861" w:themeColor="accent2"/>
              <w:left w:val="single" w:sz="4" w:space="0" w:color="FFFFFF" w:themeColor="background1"/>
              <w:bottom w:val="single" w:sz="4" w:space="0" w:color="4D7861" w:themeColor="accent2"/>
              <w:right w:val="single" w:sz="4" w:space="0" w:color="FFFFFF" w:themeColor="background1"/>
            </w:tcBorders>
            <w:shd w:val="clear" w:color="auto" w:fill="DBE4DF"/>
            <w:tcMar>
              <w:right w:w="57" w:type="dxa"/>
            </w:tcMar>
          </w:tcPr>
          <w:p w14:paraId="60FC3323" w14:textId="37520656" w:rsidR="002F316A" w:rsidRPr="009E7CA0" w:rsidRDefault="002F316A" w:rsidP="0005597E">
            <w:pPr>
              <w:pStyle w:val="TableTextLeft"/>
            </w:pPr>
            <w:r w:rsidRPr="009E7CA0">
              <w:t>Informal consultation</w:t>
            </w:r>
            <w:r w:rsidR="0050786E">
              <w:t>.</w:t>
            </w:r>
          </w:p>
        </w:tc>
        <w:tc>
          <w:tcPr>
            <w:tcW w:w="1247" w:type="dxa"/>
            <w:tcBorders>
              <w:top w:val="single" w:sz="4" w:space="0" w:color="4D7861" w:themeColor="accent2"/>
              <w:left w:val="single" w:sz="4" w:space="0" w:color="FFFFFF" w:themeColor="background1"/>
              <w:bottom w:val="single" w:sz="4" w:space="0" w:color="4D7861" w:themeColor="accent2"/>
              <w:right w:val="single" w:sz="4" w:space="0" w:color="FFFFFF" w:themeColor="background1"/>
            </w:tcBorders>
            <w:shd w:val="clear" w:color="auto" w:fill="DBE4DF"/>
          </w:tcPr>
          <w:p w14:paraId="4642BF8C" w14:textId="77777777" w:rsidR="002F316A" w:rsidRPr="009E7CA0" w:rsidRDefault="002F316A" w:rsidP="0005597E">
            <w:pPr>
              <w:pStyle w:val="TableTextLeft"/>
            </w:pPr>
          </w:p>
        </w:tc>
        <w:tc>
          <w:tcPr>
            <w:tcW w:w="1417" w:type="dxa"/>
            <w:tcBorders>
              <w:top w:val="single" w:sz="4" w:space="0" w:color="4D7861" w:themeColor="accent2"/>
              <w:left w:val="single" w:sz="4" w:space="0" w:color="FFFFFF" w:themeColor="background1"/>
              <w:bottom w:val="single" w:sz="4" w:space="0" w:color="4D7861" w:themeColor="accent2"/>
              <w:right w:val="single" w:sz="4" w:space="0" w:color="FFFFFF" w:themeColor="background1"/>
            </w:tcBorders>
            <w:shd w:val="clear" w:color="auto" w:fill="EDF2EF"/>
          </w:tcPr>
          <w:p w14:paraId="09BB450A" w14:textId="77777777" w:rsidR="002F316A" w:rsidRPr="009E7CA0" w:rsidRDefault="002F316A" w:rsidP="0005597E">
            <w:pPr>
              <w:pStyle w:val="TableTextLeft"/>
            </w:pPr>
          </w:p>
        </w:tc>
        <w:tc>
          <w:tcPr>
            <w:tcW w:w="1247" w:type="dxa"/>
            <w:tcBorders>
              <w:top w:val="single" w:sz="4" w:space="0" w:color="4D7861" w:themeColor="accent2"/>
              <w:left w:val="single" w:sz="4" w:space="0" w:color="FFFFFF" w:themeColor="background1"/>
              <w:bottom w:val="single" w:sz="4" w:space="0" w:color="4D7861" w:themeColor="accent2"/>
              <w:right w:val="single" w:sz="4" w:space="0" w:color="FFFFFF" w:themeColor="background1"/>
            </w:tcBorders>
            <w:shd w:val="clear" w:color="auto" w:fill="EDF2EF"/>
          </w:tcPr>
          <w:p w14:paraId="6131B65B" w14:textId="793ED26A" w:rsidR="002F316A" w:rsidRPr="009E7CA0" w:rsidRDefault="002F316A" w:rsidP="0005597E">
            <w:pPr>
              <w:pStyle w:val="TableTextLeft"/>
            </w:pPr>
            <w:r w:rsidRPr="009E7CA0">
              <w:t>Consultation – draft standards</w:t>
            </w:r>
            <w:r w:rsidR="0050786E">
              <w:t>.</w:t>
            </w:r>
          </w:p>
          <w:p w14:paraId="705448AD" w14:textId="77777777" w:rsidR="002F316A" w:rsidRPr="009E7CA0" w:rsidRDefault="002F316A" w:rsidP="0005597E">
            <w:pPr>
              <w:pStyle w:val="TableTextLeft"/>
            </w:pPr>
          </w:p>
        </w:tc>
        <w:tc>
          <w:tcPr>
            <w:tcW w:w="1247" w:type="dxa"/>
            <w:tcBorders>
              <w:top w:val="single" w:sz="4" w:space="0" w:color="4D7861" w:themeColor="accent2"/>
              <w:left w:val="single" w:sz="4" w:space="0" w:color="FFFFFF" w:themeColor="background1"/>
              <w:bottom w:val="single" w:sz="4" w:space="0" w:color="4D7861" w:themeColor="accent2"/>
              <w:right w:val="single" w:sz="4" w:space="0" w:color="FFFFFF" w:themeColor="background1"/>
            </w:tcBorders>
            <w:shd w:val="clear" w:color="auto" w:fill="EDF2EF"/>
          </w:tcPr>
          <w:p w14:paraId="6C750FF4" w14:textId="77777777" w:rsidR="002F316A" w:rsidRPr="009E7CA0" w:rsidRDefault="002F316A" w:rsidP="0005597E">
            <w:pPr>
              <w:pStyle w:val="TableTextLeft"/>
            </w:pPr>
          </w:p>
        </w:tc>
        <w:tc>
          <w:tcPr>
            <w:tcW w:w="1077" w:type="dxa"/>
            <w:tcBorders>
              <w:top w:val="single" w:sz="4" w:space="0" w:color="4D7861" w:themeColor="accent2"/>
              <w:left w:val="single" w:sz="4" w:space="0" w:color="FFFFFF" w:themeColor="background1"/>
              <w:bottom w:val="single" w:sz="4" w:space="0" w:color="4D7861" w:themeColor="accent2"/>
              <w:right w:val="nil"/>
            </w:tcBorders>
            <w:shd w:val="clear" w:color="auto" w:fill="EDF2EF"/>
          </w:tcPr>
          <w:p w14:paraId="61F1EE43" w14:textId="77777777" w:rsidR="002F316A" w:rsidRPr="009E7CA0" w:rsidRDefault="002F316A" w:rsidP="0005597E">
            <w:pPr>
              <w:pStyle w:val="TableTextLeft"/>
            </w:pPr>
          </w:p>
        </w:tc>
      </w:tr>
      <w:tr w:rsidR="00426F08" w:rsidRPr="009E7CA0" w14:paraId="56CB1360" w14:textId="755982B5" w:rsidTr="00C62CAD">
        <w:trPr>
          <w:cantSplit/>
          <w:trHeight w:val="410"/>
        </w:trPr>
        <w:tc>
          <w:tcPr>
            <w:tcW w:w="794" w:type="dxa"/>
            <w:tcBorders>
              <w:top w:val="single" w:sz="4" w:space="0" w:color="4D7861" w:themeColor="accent2"/>
              <w:bottom w:val="single" w:sz="4" w:space="0" w:color="4D7861" w:themeColor="accent2"/>
            </w:tcBorders>
          </w:tcPr>
          <w:p w14:paraId="6C87F5EB" w14:textId="77777777" w:rsidR="00426F08" w:rsidRPr="009E7CA0" w:rsidRDefault="00426F08" w:rsidP="00195B9B">
            <w:pPr>
              <w:pStyle w:val="TableLeadAgency"/>
            </w:pPr>
            <w:r w:rsidRPr="009E7CA0">
              <w:t>APRA</w:t>
            </w:r>
          </w:p>
        </w:tc>
        <w:tc>
          <w:tcPr>
            <w:tcW w:w="1304" w:type="dxa"/>
            <w:tcBorders>
              <w:top w:val="single" w:sz="4" w:space="0" w:color="4D7861" w:themeColor="accent2"/>
              <w:bottom w:val="single" w:sz="4" w:space="0" w:color="4D7861" w:themeColor="accent2"/>
            </w:tcBorders>
          </w:tcPr>
          <w:p w14:paraId="36F22B16" w14:textId="77777777" w:rsidR="00426F08" w:rsidRPr="009E7CA0" w:rsidRDefault="00426F08" w:rsidP="00195B9B">
            <w:pPr>
              <w:pStyle w:val="TableTextLeft"/>
            </w:pPr>
            <w:r w:rsidRPr="009E7CA0">
              <w:t>Banking, credit and lending</w:t>
            </w:r>
          </w:p>
        </w:tc>
        <w:tc>
          <w:tcPr>
            <w:tcW w:w="3175" w:type="dxa"/>
            <w:gridSpan w:val="2"/>
            <w:tcBorders>
              <w:top w:val="single" w:sz="4" w:space="0" w:color="4D7861" w:themeColor="accent2"/>
              <w:bottom w:val="single" w:sz="4" w:space="0" w:color="4D7861" w:themeColor="accent2"/>
            </w:tcBorders>
          </w:tcPr>
          <w:p w14:paraId="036BC86F" w14:textId="77777777" w:rsidR="00426F08" w:rsidRPr="009E7CA0" w:rsidRDefault="00426F08" w:rsidP="000225CA">
            <w:pPr>
              <w:pStyle w:val="TableTextLeft"/>
              <w:rPr>
                <w:rStyle w:val="Strong"/>
              </w:rPr>
            </w:pPr>
            <w:r w:rsidRPr="009E7CA0">
              <w:rPr>
                <w:rStyle w:val="Strong"/>
              </w:rPr>
              <w:t>Modernise licensing framework</w:t>
            </w:r>
          </w:p>
          <w:p w14:paraId="58F4EAD8" w14:textId="4DE5922E" w:rsidR="00426F08" w:rsidRPr="009E7CA0" w:rsidRDefault="00426F08" w:rsidP="000225CA">
            <w:pPr>
              <w:pStyle w:val="TableTextLeft"/>
            </w:pPr>
            <w:r w:rsidRPr="009E7CA0">
              <w:t>APRA will review its licensing framework for</w:t>
            </w:r>
            <w:r w:rsidR="00AE7C72" w:rsidRPr="009E7CA0">
              <w:t xml:space="preserve"> domestic</w:t>
            </w:r>
            <w:r w:rsidRPr="009E7CA0">
              <w:t xml:space="preserve"> banks, to support greater clarity and efficiency in licensing processes.</w:t>
            </w:r>
          </w:p>
        </w:tc>
        <w:tc>
          <w:tcPr>
            <w:tcW w:w="1391" w:type="dxa"/>
            <w:tcBorders>
              <w:top w:val="single" w:sz="4" w:space="0" w:color="4D7861" w:themeColor="accent2"/>
              <w:bottom w:val="single" w:sz="4" w:space="0" w:color="4D7861" w:themeColor="accent2"/>
            </w:tcBorders>
            <w:shd w:val="clear" w:color="auto" w:fill="DBE4DF"/>
          </w:tcPr>
          <w:p w14:paraId="02CA154F" w14:textId="3F526650" w:rsidR="00426F08" w:rsidRPr="009E7CA0" w:rsidRDefault="00426F08" w:rsidP="0005597E">
            <w:pPr>
              <w:pStyle w:val="TableTextLeft"/>
            </w:pPr>
            <w:r w:rsidRPr="009E7CA0">
              <w:t>Consultation – licensing criteria and supporting guidance</w:t>
            </w:r>
            <w:r w:rsidR="0050786E">
              <w:t>.</w:t>
            </w:r>
          </w:p>
        </w:tc>
        <w:tc>
          <w:tcPr>
            <w:tcW w:w="1103" w:type="dxa"/>
            <w:tcBorders>
              <w:top w:val="single" w:sz="4" w:space="0" w:color="4D7861" w:themeColor="accent2"/>
              <w:bottom w:val="single" w:sz="4" w:space="0" w:color="4D7861" w:themeColor="accent2"/>
            </w:tcBorders>
            <w:shd w:val="clear" w:color="auto" w:fill="DBE4DF"/>
          </w:tcPr>
          <w:p w14:paraId="1DA025C8" w14:textId="42FFBA01" w:rsidR="00426F08" w:rsidRPr="009E7CA0" w:rsidRDefault="00426F08" w:rsidP="0005597E">
            <w:pPr>
              <w:pStyle w:val="TableTextLeft"/>
            </w:pPr>
          </w:p>
        </w:tc>
        <w:tc>
          <w:tcPr>
            <w:tcW w:w="1247" w:type="dxa"/>
            <w:tcBorders>
              <w:top w:val="single" w:sz="4" w:space="0" w:color="4D7861" w:themeColor="accent2"/>
              <w:bottom w:val="single" w:sz="4" w:space="0" w:color="4D7861" w:themeColor="accent2"/>
            </w:tcBorders>
            <w:shd w:val="clear" w:color="auto" w:fill="DBE4DF"/>
          </w:tcPr>
          <w:p w14:paraId="23D63856" w14:textId="11CDF53E" w:rsidR="00426F08" w:rsidRPr="009E7CA0" w:rsidRDefault="00426F08" w:rsidP="0005597E">
            <w:pPr>
              <w:pStyle w:val="TableTextLeft"/>
            </w:pPr>
            <w:r w:rsidRPr="009E7CA0">
              <w:t>Release final criteria and guidance</w:t>
            </w:r>
            <w:r w:rsidR="0050786E">
              <w:t>.</w:t>
            </w:r>
          </w:p>
        </w:tc>
        <w:tc>
          <w:tcPr>
            <w:tcW w:w="1417" w:type="dxa"/>
            <w:tcBorders>
              <w:top w:val="single" w:sz="4" w:space="0" w:color="4D7861" w:themeColor="accent2"/>
              <w:bottom w:val="single" w:sz="4" w:space="0" w:color="4D7861" w:themeColor="accent2"/>
            </w:tcBorders>
            <w:shd w:val="clear" w:color="auto" w:fill="EDF2EF"/>
          </w:tcPr>
          <w:p w14:paraId="6C3BFB14" w14:textId="77777777" w:rsidR="00426F08" w:rsidRPr="009E7CA0" w:rsidRDefault="00426F08" w:rsidP="0005597E">
            <w:pPr>
              <w:pStyle w:val="TableTextLeft"/>
            </w:pPr>
          </w:p>
        </w:tc>
        <w:tc>
          <w:tcPr>
            <w:tcW w:w="1247" w:type="dxa"/>
            <w:tcBorders>
              <w:top w:val="single" w:sz="4" w:space="0" w:color="4D7861" w:themeColor="accent2"/>
              <w:bottom w:val="single" w:sz="4" w:space="0" w:color="4D7861" w:themeColor="accent2"/>
            </w:tcBorders>
            <w:shd w:val="clear" w:color="auto" w:fill="EDF2EF"/>
          </w:tcPr>
          <w:p w14:paraId="541C252D" w14:textId="77777777" w:rsidR="00426F08" w:rsidRPr="009E7CA0" w:rsidRDefault="00426F08" w:rsidP="0005597E">
            <w:pPr>
              <w:pStyle w:val="TableTextLeft"/>
            </w:pPr>
          </w:p>
        </w:tc>
        <w:tc>
          <w:tcPr>
            <w:tcW w:w="1247" w:type="dxa"/>
            <w:tcBorders>
              <w:top w:val="single" w:sz="4" w:space="0" w:color="4D7861" w:themeColor="accent2"/>
              <w:bottom w:val="single" w:sz="4" w:space="0" w:color="4D7861" w:themeColor="accent2"/>
            </w:tcBorders>
            <w:shd w:val="clear" w:color="auto" w:fill="EDF2EF"/>
          </w:tcPr>
          <w:p w14:paraId="2623CC14" w14:textId="77777777" w:rsidR="00426F08" w:rsidRPr="009E7CA0" w:rsidRDefault="00426F08" w:rsidP="0005597E">
            <w:pPr>
              <w:pStyle w:val="TableTextLeft"/>
            </w:pPr>
          </w:p>
        </w:tc>
        <w:tc>
          <w:tcPr>
            <w:tcW w:w="1077" w:type="dxa"/>
            <w:tcBorders>
              <w:top w:val="single" w:sz="4" w:space="0" w:color="4D7861" w:themeColor="accent2"/>
              <w:bottom w:val="single" w:sz="4" w:space="0" w:color="4D7861" w:themeColor="accent2"/>
            </w:tcBorders>
            <w:shd w:val="clear" w:color="auto" w:fill="EDF2EF"/>
          </w:tcPr>
          <w:p w14:paraId="05F843A2" w14:textId="77777777" w:rsidR="00426F08" w:rsidRPr="009E7CA0" w:rsidRDefault="00426F08" w:rsidP="0005597E">
            <w:pPr>
              <w:pStyle w:val="TableTextLeft"/>
            </w:pPr>
          </w:p>
        </w:tc>
      </w:tr>
      <w:tr w:rsidR="00426F08" w:rsidRPr="009E7CA0" w14:paraId="57B88546" w14:textId="32AE72DA" w:rsidTr="00C62CAD">
        <w:trPr>
          <w:cantSplit/>
          <w:trHeight w:val="410"/>
        </w:trPr>
        <w:tc>
          <w:tcPr>
            <w:tcW w:w="794" w:type="dxa"/>
            <w:tcBorders>
              <w:top w:val="single" w:sz="4" w:space="0" w:color="4D7861" w:themeColor="accent2"/>
              <w:bottom w:val="single" w:sz="4" w:space="0" w:color="4D7861" w:themeColor="accent2"/>
            </w:tcBorders>
          </w:tcPr>
          <w:p w14:paraId="47B33685" w14:textId="77777777" w:rsidR="00426F08" w:rsidRPr="009E7CA0" w:rsidRDefault="00426F08" w:rsidP="00195B9B">
            <w:pPr>
              <w:pStyle w:val="TableLeadAgency"/>
            </w:pPr>
            <w:r w:rsidRPr="009E7CA0">
              <w:lastRenderedPageBreak/>
              <w:t>APRA</w:t>
            </w:r>
          </w:p>
        </w:tc>
        <w:tc>
          <w:tcPr>
            <w:tcW w:w="1304" w:type="dxa"/>
            <w:tcBorders>
              <w:top w:val="single" w:sz="4" w:space="0" w:color="4D7861" w:themeColor="accent2"/>
              <w:bottom w:val="single" w:sz="4" w:space="0" w:color="4D7861" w:themeColor="accent2"/>
            </w:tcBorders>
          </w:tcPr>
          <w:p w14:paraId="413F74B1" w14:textId="77777777" w:rsidR="00426F08" w:rsidRPr="009E7CA0" w:rsidRDefault="00426F08" w:rsidP="00195B9B">
            <w:pPr>
              <w:pStyle w:val="TableTextLeft"/>
            </w:pPr>
            <w:r w:rsidRPr="009E7CA0">
              <w:t>Banking, credit and lending</w:t>
            </w:r>
          </w:p>
          <w:p w14:paraId="3A6C851D" w14:textId="77777777" w:rsidR="00426F08" w:rsidRPr="009E7CA0" w:rsidRDefault="00426F08" w:rsidP="00195B9B">
            <w:pPr>
              <w:pStyle w:val="TableTextLeft"/>
            </w:pPr>
          </w:p>
        </w:tc>
        <w:tc>
          <w:tcPr>
            <w:tcW w:w="3175" w:type="dxa"/>
            <w:gridSpan w:val="2"/>
            <w:tcBorders>
              <w:top w:val="single" w:sz="4" w:space="0" w:color="4D7861" w:themeColor="accent2"/>
              <w:bottom w:val="single" w:sz="4" w:space="0" w:color="4D7861" w:themeColor="accent2"/>
            </w:tcBorders>
          </w:tcPr>
          <w:p w14:paraId="703B8911" w14:textId="77777777" w:rsidR="00426F08" w:rsidRPr="009E7CA0" w:rsidRDefault="00426F08" w:rsidP="006F4A80">
            <w:pPr>
              <w:pStyle w:val="TableTextLeft"/>
              <w:rPr>
                <w:rStyle w:val="Strong"/>
              </w:rPr>
            </w:pPr>
            <w:r w:rsidRPr="009E7CA0">
              <w:rPr>
                <w:rStyle w:val="Strong"/>
              </w:rPr>
              <w:t>Proportionate regulation</w:t>
            </w:r>
          </w:p>
          <w:p w14:paraId="370641B8" w14:textId="14A7D898" w:rsidR="00426F08" w:rsidRPr="009E7CA0" w:rsidRDefault="00426F08" w:rsidP="006F4A80">
            <w:pPr>
              <w:pStyle w:val="TableTextLeft"/>
            </w:pPr>
            <w:r w:rsidRPr="009E7CA0">
              <w:t>APRA will consult on formalising a 3</w:t>
            </w:r>
            <w:r w:rsidRPr="009E7CA0">
              <w:noBreakHyphen/>
              <w:t xml:space="preserve">tier approach in the banking prudential framework, in response to the CFR review into small and medium sized banks. </w:t>
            </w:r>
          </w:p>
          <w:p w14:paraId="06140318" w14:textId="722CE9EF" w:rsidR="00426F08" w:rsidRPr="009E7CA0" w:rsidRDefault="00426F08" w:rsidP="006F4A80">
            <w:pPr>
              <w:pStyle w:val="TableTextLeft"/>
            </w:pPr>
            <w:r w:rsidRPr="009E7CA0">
              <w:t>This project replaces the Significant Financial Institution (SFI) asset threshold review, which was originally scheduled to be complete</w:t>
            </w:r>
            <w:r w:rsidR="00123FEA" w:rsidRPr="009E7CA0">
              <w:t>d</w:t>
            </w:r>
            <w:r w:rsidRPr="009E7CA0">
              <w:t xml:space="preserve"> this year.</w:t>
            </w:r>
          </w:p>
        </w:tc>
        <w:tc>
          <w:tcPr>
            <w:tcW w:w="1391" w:type="dxa"/>
            <w:tcBorders>
              <w:top w:val="single" w:sz="4" w:space="0" w:color="4D7861" w:themeColor="accent2"/>
              <w:bottom w:val="single" w:sz="4" w:space="0" w:color="4D7861" w:themeColor="accent2"/>
            </w:tcBorders>
            <w:shd w:val="clear" w:color="auto" w:fill="DBE4DF"/>
          </w:tcPr>
          <w:p w14:paraId="2923922D" w14:textId="19F71535" w:rsidR="0018567E" w:rsidRPr="009E7CA0" w:rsidRDefault="0018567E" w:rsidP="006F7705">
            <w:pPr>
              <w:pStyle w:val="TableTextLeft"/>
            </w:pPr>
            <w:r w:rsidRPr="009E7CA0">
              <w:t>Release final amendments</w:t>
            </w:r>
            <w:r w:rsidR="0050786E">
              <w:t>.</w:t>
            </w:r>
            <w:r w:rsidRPr="009E7CA0">
              <w:t>*</w:t>
            </w:r>
          </w:p>
        </w:tc>
        <w:tc>
          <w:tcPr>
            <w:tcW w:w="1103" w:type="dxa"/>
            <w:tcBorders>
              <w:top w:val="single" w:sz="4" w:space="0" w:color="4D7861" w:themeColor="accent2"/>
              <w:bottom w:val="single" w:sz="4" w:space="0" w:color="4D7861" w:themeColor="accent2"/>
            </w:tcBorders>
            <w:shd w:val="clear" w:color="auto" w:fill="DBE4DF"/>
          </w:tcPr>
          <w:p w14:paraId="54AB9719" w14:textId="787C41FB" w:rsidR="00426F08" w:rsidRPr="009E7CA0" w:rsidRDefault="00426F08" w:rsidP="006F7705">
            <w:pPr>
              <w:pStyle w:val="TableTextLeft"/>
            </w:pPr>
          </w:p>
        </w:tc>
        <w:tc>
          <w:tcPr>
            <w:tcW w:w="1247" w:type="dxa"/>
            <w:tcBorders>
              <w:top w:val="single" w:sz="4" w:space="0" w:color="4D7861" w:themeColor="accent2"/>
              <w:bottom w:val="single" w:sz="4" w:space="0" w:color="4D7861" w:themeColor="accent2"/>
            </w:tcBorders>
            <w:shd w:val="clear" w:color="auto" w:fill="DBE4DF"/>
          </w:tcPr>
          <w:p w14:paraId="55D07040" w14:textId="77777777" w:rsidR="00426F08" w:rsidRPr="009E7CA0" w:rsidRDefault="00426F08" w:rsidP="006F7705">
            <w:pPr>
              <w:pStyle w:val="TableTextLeft"/>
            </w:pPr>
          </w:p>
        </w:tc>
        <w:tc>
          <w:tcPr>
            <w:tcW w:w="1417" w:type="dxa"/>
            <w:tcBorders>
              <w:top w:val="single" w:sz="4" w:space="0" w:color="4D7861" w:themeColor="accent2"/>
              <w:bottom w:val="single" w:sz="4" w:space="0" w:color="4D7861" w:themeColor="accent2"/>
            </w:tcBorders>
            <w:shd w:val="clear" w:color="auto" w:fill="EDF2EF"/>
          </w:tcPr>
          <w:p w14:paraId="386F1CBE" w14:textId="77777777" w:rsidR="00426F08" w:rsidRPr="009E7CA0" w:rsidRDefault="00426F08" w:rsidP="006F7705">
            <w:pPr>
              <w:pStyle w:val="TableTextLeft"/>
            </w:pPr>
          </w:p>
        </w:tc>
        <w:tc>
          <w:tcPr>
            <w:tcW w:w="1247" w:type="dxa"/>
            <w:tcBorders>
              <w:top w:val="single" w:sz="4" w:space="0" w:color="4D7861" w:themeColor="accent2"/>
              <w:bottom w:val="single" w:sz="4" w:space="0" w:color="4D7861" w:themeColor="accent2"/>
            </w:tcBorders>
            <w:shd w:val="clear" w:color="auto" w:fill="EDF2EF"/>
          </w:tcPr>
          <w:p w14:paraId="19AE8888" w14:textId="77777777" w:rsidR="00426F08" w:rsidRPr="009E7CA0" w:rsidRDefault="00426F08" w:rsidP="006F7705">
            <w:pPr>
              <w:pStyle w:val="TableTextLeft"/>
            </w:pPr>
          </w:p>
        </w:tc>
        <w:tc>
          <w:tcPr>
            <w:tcW w:w="1247" w:type="dxa"/>
            <w:tcBorders>
              <w:top w:val="single" w:sz="4" w:space="0" w:color="4D7861" w:themeColor="accent2"/>
              <w:bottom w:val="single" w:sz="4" w:space="0" w:color="4D7861" w:themeColor="accent2"/>
            </w:tcBorders>
            <w:shd w:val="clear" w:color="auto" w:fill="EDF2EF"/>
          </w:tcPr>
          <w:p w14:paraId="758E9D16" w14:textId="77777777" w:rsidR="00426F08" w:rsidRPr="009E7CA0" w:rsidRDefault="00426F08" w:rsidP="006F7705">
            <w:pPr>
              <w:pStyle w:val="TableTextLeft"/>
            </w:pPr>
          </w:p>
        </w:tc>
        <w:tc>
          <w:tcPr>
            <w:tcW w:w="1077" w:type="dxa"/>
            <w:tcBorders>
              <w:top w:val="single" w:sz="4" w:space="0" w:color="4D7861" w:themeColor="accent2"/>
              <w:bottom w:val="single" w:sz="4" w:space="0" w:color="4D7861" w:themeColor="accent2"/>
            </w:tcBorders>
            <w:shd w:val="clear" w:color="auto" w:fill="EDF2EF"/>
          </w:tcPr>
          <w:p w14:paraId="6978EEF5" w14:textId="77777777" w:rsidR="00426F08" w:rsidRPr="009E7CA0" w:rsidRDefault="00426F08" w:rsidP="006F7705">
            <w:pPr>
              <w:pStyle w:val="TableTextLeft"/>
            </w:pPr>
          </w:p>
        </w:tc>
      </w:tr>
      <w:tr w:rsidR="00426F08" w:rsidRPr="009E7CA0" w14:paraId="172DEA12" w14:textId="4D679E93" w:rsidTr="00C62CAD">
        <w:trPr>
          <w:cantSplit/>
          <w:trHeight w:val="410"/>
        </w:trPr>
        <w:tc>
          <w:tcPr>
            <w:tcW w:w="794" w:type="dxa"/>
            <w:tcBorders>
              <w:top w:val="single" w:sz="4" w:space="0" w:color="4D7861" w:themeColor="accent2"/>
              <w:bottom w:val="single" w:sz="4" w:space="0" w:color="4D7861" w:themeColor="accent2"/>
            </w:tcBorders>
          </w:tcPr>
          <w:p w14:paraId="5CDDAD4A" w14:textId="77777777" w:rsidR="00426F08" w:rsidRPr="009E7CA0" w:rsidRDefault="00426F08" w:rsidP="00195B9B">
            <w:pPr>
              <w:pStyle w:val="TableLeadAgency"/>
            </w:pPr>
            <w:r w:rsidRPr="009E7CA0">
              <w:t xml:space="preserve">RBA </w:t>
            </w:r>
          </w:p>
        </w:tc>
        <w:tc>
          <w:tcPr>
            <w:tcW w:w="1304" w:type="dxa"/>
            <w:tcBorders>
              <w:top w:val="single" w:sz="4" w:space="0" w:color="4D7861" w:themeColor="accent2"/>
              <w:bottom w:val="single" w:sz="4" w:space="0" w:color="4D7861" w:themeColor="accent2"/>
            </w:tcBorders>
          </w:tcPr>
          <w:p w14:paraId="3F4DC813" w14:textId="77777777" w:rsidR="00426F08" w:rsidRPr="009E7CA0" w:rsidRDefault="00426F08" w:rsidP="00195B9B">
            <w:pPr>
              <w:pStyle w:val="TableTextLeft"/>
            </w:pPr>
            <w:r w:rsidRPr="009E7CA0">
              <w:t>Payment services and digital assets</w:t>
            </w:r>
          </w:p>
          <w:p w14:paraId="260152BA" w14:textId="77777777" w:rsidR="00426F08" w:rsidRPr="009E7CA0" w:rsidRDefault="00426F08" w:rsidP="00195B9B">
            <w:pPr>
              <w:pStyle w:val="TableTextLeft"/>
            </w:pPr>
            <w:r w:rsidRPr="009E7CA0">
              <w:t>Banking, credit and lending</w:t>
            </w:r>
          </w:p>
        </w:tc>
        <w:tc>
          <w:tcPr>
            <w:tcW w:w="3175" w:type="dxa"/>
            <w:gridSpan w:val="2"/>
            <w:tcBorders>
              <w:top w:val="single" w:sz="4" w:space="0" w:color="4D7861" w:themeColor="accent2"/>
              <w:bottom w:val="single" w:sz="4" w:space="0" w:color="4D7861" w:themeColor="accent2"/>
            </w:tcBorders>
          </w:tcPr>
          <w:p w14:paraId="1BCF6A89" w14:textId="4102040E" w:rsidR="00426F08" w:rsidRPr="009E7CA0" w:rsidRDefault="00426F08" w:rsidP="006B2531">
            <w:pPr>
              <w:pStyle w:val="TableLink"/>
              <w:rPr>
                <w:rStyle w:val="Hyperlink"/>
                <w:color w:val="5D779D" w:themeColor="accent3"/>
                <w:u w:val="single"/>
              </w:rPr>
            </w:pPr>
            <w:hyperlink r:id="rId112">
              <w:r w:rsidRPr="009E7CA0">
                <w:rPr>
                  <w:rStyle w:val="Hyperlink"/>
                  <w:color w:val="5D779D" w:themeColor="accent3"/>
                  <w:u w:val="single"/>
                </w:rPr>
                <w:t>Review of retail payments regulation</w:t>
              </w:r>
            </w:hyperlink>
          </w:p>
          <w:p w14:paraId="7F36CFC0" w14:textId="5B6CC65D" w:rsidR="00426F08" w:rsidRPr="009E7CA0" w:rsidRDefault="00426F08" w:rsidP="006F4A80">
            <w:pPr>
              <w:pStyle w:val="TableTextLeft"/>
            </w:pPr>
            <w:r w:rsidRPr="009E7CA0">
              <w:t xml:space="preserve">The RBA is reviewing </w:t>
            </w:r>
            <w:r w:rsidR="009810EC" w:rsidRPr="009E7CA0">
              <w:t>its</w:t>
            </w:r>
            <w:r w:rsidR="00813D3D" w:rsidRPr="009E7CA0">
              <w:t xml:space="preserve"> retail payments</w:t>
            </w:r>
            <w:r w:rsidR="009810EC" w:rsidRPr="009E7CA0">
              <w:t xml:space="preserve"> regulation </w:t>
            </w:r>
            <w:r w:rsidRPr="009E7CA0">
              <w:t xml:space="preserve">to </w:t>
            </w:r>
            <w:r w:rsidR="007F4930" w:rsidRPr="009E7CA0">
              <w:t>support</w:t>
            </w:r>
            <w:r w:rsidRPr="009E7CA0">
              <w:t xml:space="preserve"> competition, efficiency and safety in the payments system. </w:t>
            </w:r>
          </w:p>
          <w:p w14:paraId="74CCEB9D" w14:textId="15BE5D02" w:rsidR="00426F08" w:rsidRPr="009E7CA0" w:rsidRDefault="00426F08" w:rsidP="006F4A80">
            <w:pPr>
              <w:pStyle w:val="TableTextLeft"/>
            </w:pPr>
            <w:r w:rsidRPr="009E7CA0">
              <w:t xml:space="preserve">The First phase of the review is </w:t>
            </w:r>
            <w:r w:rsidR="00C76205" w:rsidRPr="009E7CA0">
              <w:t>complete</w:t>
            </w:r>
            <w:r w:rsidRPr="009E7CA0">
              <w:t xml:space="preserve">, with the RBA releasing its </w:t>
            </w:r>
            <w:r w:rsidR="006A236C" w:rsidRPr="009E7CA0">
              <w:t>Con</w:t>
            </w:r>
            <w:r w:rsidR="007E3DBD" w:rsidRPr="009E7CA0">
              <w:t>clusion</w:t>
            </w:r>
            <w:r w:rsidR="00E360A0" w:rsidRPr="009E7CA0">
              <w:t>s P</w:t>
            </w:r>
            <w:r w:rsidR="007E3DBD" w:rsidRPr="009E7CA0">
              <w:t>aper in</w:t>
            </w:r>
            <w:r w:rsidRPr="009E7CA0">
              <w:t xml:space="preserve"> </w:t>
            </w:r>
            <w:r w:rsidR="0067432F" w:rsidRPr="009E7CA0">
              <w:t>March 2026</w:t>
            </w:r>
            <w:r w:rsidRPr="009E7CA0">
              <w:t>.</w:t>
            </w:r>
          </w:p>
          <w:p w14:paraId="7477D168" w14:textId="7BB869E0" w:rsidR="00426F08" w:rsidRPr="009E7CA0" w:rsidRDefault="00426F08" w:rsidP="006F4A80">
            <w:pPr>
              <w:pStyle w:val="TableTextLeft"/>
            </w:pPr>
            <w:r w:rsidRPr="009E7CA0">
              <w:t>The Second phase review activities will take into account</w:t>
            </w:r>
            <w:r w:rsidR="00597DED" w:rsidRPr="009E7CA0">
              <w:t xml:space="preserve"> the</w:t>
            </w:r>
            <w:r w:rsidRPr="009E7CA0">
              <w:t xml:space="preserve"> RBA’s expanded remit following the passage of reforms to the </w:t>
            </w:r>
            <w:r w:rsidRPr="009E7CA0">
              <w:rPr>
                <w:rStyle w:val="Emphasis"/>
              </w:rPr>
              <w:t>Payments Systems (Regulation) Act.</w:t>
            </w:r>
          </w:p>
        </w:tc>
        <w:tc>
          <w:tcPr>
            <w:tcW w:w="1391" w:type="dxa"/>
            <w:tcBorders>
              <w:top w:val="single" w:sz="4" w:space="0" w:color="4D7861" w:themeColor="accent2"/>
              <w:bottom w:val="single" w:sz="4" w:space="0" w:color="4D7861" w:themeColor="accent2"/>
            </w:tcBorders>
            <w:shd w:val="clear" w:color="auto" w:fill="DBE4DF"/>
          </w:tcPr>
          <w:p w14:paraId="123E9032" w14:textId="0EFCE3DB" w:rsidR="7A6072E0" w:rsidRPr="009E7CA0" w:rsidRDefault="002E4CCD" w:rsidP="006F7705">
            <w:pPr>
              <w:pStyle w:val="TableTextLeft"/>
              <w:rPr>
                <w:rFonts w:eastAsia="Calibri Light"/>
              </w:rPr>
            </w:pPr>
            <w:r w:rsidRPr="009E7CA0">
              <w:t>RBA to release Issues Paper</w:t>
            </w:r>
            <w:r w:rsidR="0050786E">
              <w:t>.</w:t>
            </w:r>
            <w:r w:rsidR="3EA4EFA6" w:rsidRPr="009E7CA0">
              <w:t>*</w:t>
            </w:r>
          </w:p>
        </w:tc>
        <w:tc>
          <w:tcPr>
            <w:tcW w:w="1103" w:type="dxa"/>
            <w:tcBorders>
              <w:top w:val="single" w:sz="4" w:space="0" w:color="4D7861" w:themeColor="accent2"/>
              <w:bottom w:val="single" w:sz="4" w:space="0" w:color="4D7861" w:themeColor="accent2"/>
            </w:tcBorders>
            <w:shd w:val="clear" w:color="auto" w:fill="DBE4DF"/>
          </w:tcPr>
          <w:p w14:paraId="50E2AB03" w14:textId="3364B86B" w:rsidR="00426F08" w:rsidRPr="009E7CA0" w:rsidRDefault="00426F08" w:rsidP="006F7705">
            <w:pPr>
              <w:pStyle w:val="TableTextLeft"/>
            </w:pPr>
          </w:p>
        </w:tc>
        <w:tc>
          <w:tcPr>
            <w:tcW w:w="1247" w:type="dxa"/>
            <w:tcBorders>
              <w:top w:val="single" w:sz="4" w:space="0" w:color="4D7861" w:themeColor="accent2"/>
              <w:bottom w:val="single" w:sz="4" w:space="0" w:color="4D7861" w:themeColor="accent2"/>
            </w:tcBorders>
            <w:shd w:val="clear" w:color="auto" w:fill="DBE4DF"/>
          </w:tcPr>
          <w:p w14:paraId="44FF164F" w14:textId="19B6F95C" w:rsidR="7A6072E0" w:rsidRPr="009E7CA0" w:rsidRDefault="002E4CCD" w:rsidP="006F7705">
            <w:pPr>
              <w:pStyle w:val="TableTextLeft"/>
              <w:rPr>
                <w:rFonts w:eastAsia="Calibri Light"/>
              </w:rPr>
            </w:pPr>
            <w:r w:rsidRPr="009E7CA0">
              <w:t>RBA to announce list of priorities</w:t>
            </w:r>
            <w:r w:rsidR="0050786E">
              <w:t>.</w:t>
            </w:r>
            <w:r w:rsidR="68CA3460" w:rsidRPr="009E7CA0">
              <w:t>*</w:t>
            </w:r>
          </w:p>
        </w:tc>
        <w:tc>
          <w:tcPr>
            <w:tcW w:w="1417" w:type="dxa"/>
            <w:tcBorders>
              <w:top w:val="single" w:sz="4" w:space="0" w:color="4D7861" w:themeColor="accent2"/>
              <w:bottom w:val="single" w:sz="4" w:space="0" w:color="4D7861" w:themeColor="accent2"/>
            </w:tcBorders>
            <w:shd w:val="clear" w:color="auto" w:fill="EDF2EF"/>
          </w:tcPr>
          <w:p w14:paraId="56C9838A" w14:textId="77777777" w:rsidR="00426F08" w:rsidRPr="009E7CA0" w:rsidRDefault="00426F08" w:rsidP="006F7705">
            <w:pPr>
              <w:pStyle w:val="TableTextLeft"/>
            </w:pPr>
          </w:p>
        </w:tc>
        <w:tc>
          <w:tcPr>
            <w:tcW w:w="1247" w:type="dxa"/>
            <w:tcBorders>
              <w:top w:val="single" w:sz="4" w:space="0" w:color="4D7861" w:themeColor="accent2"/>
              <w:bottom w:val="single" w:sz="4" w:space="0" w:color="4D7861" w:themeColor="accent2"/>
            </w:tcBorders>
            <w:shd w:val="clear" w:color="auto" w:fill="EDF2EF"/>
          </w:tcPr>
          <w:p w14:paraId="0BC81DDA" w14:textId="6EAB7098" w:rsidR="00426F08" w:rsidRPr="009E7CA0" w:rsidRDefault="002E4CCD" w:rsidP="006F7705">
            <w:pPr>
              <w:pStyle w:val="TableTextLeft"/>
            </w:pPr>
            <w:r w:rsidRPr="009E7CA0">
              <w:t>RBA to release Consultation Paper on prioritised issues</w:t>
            </w:r>
            <w:r w:rsidR="0050786E">
              <w:t>.</w:t>
            </w:r>
            <w:r w:rsidR="3712EA12" w:rsidRPr="009E7CA0">
              <w:t>*</w:t>
            </w:r>
          </w:p>
        </w:tc>
        <w:tc>
          <w:tcPr>
            <w:tcW w:w="1247" w:type="dxa"/>
            <w:tcBorders>
              <w:top w:val="single" w:sz="4" w:space="0" w:color="4D7861" w:themeColor="accent2"/>
              <w:bottom w:val="single" w:sz="4" w:space="0" w:color="4D7861" w:themeColor="accent2"/>
            </w:tcBorders>
            <w:shd w:val="clear" w:color="auto" w:fill="EDF2EF"/>
          </w:tcPr>
          <w:p w14:paraId="0DFC2D89" w14:textId="77777777" w:rsidR="00426F08" w:rsidRPr="009E7CA0" w:rsidRDefault="00426F08" w:rsidP="006F7705">
            <w:pPr>
              <w:pStyle w:val="TableTextLeft"/>
            </w:pPr>
          </w:p>
        </w:tc>
        <w:tc>
          <w:tcPr>
            <w:tcW w:w="1077" w:type="dxa"/>
            <w:tcBorders>
              <w:top w:val="single" w:sz="4" w:space="0" w:color="4D7861" w:themeColor="accent2"/>
              <w:bottom w:val="single" w:sz="4" w:space="0" w:color="4D7861" w:themeColor="accent2"/>
            </w:tcBorders>
            <w:shd w:val="clear" w:color="auto" w:fill="EDF2EF"/>
          </w:tcPr>
          <w:p w14:paraId="1B3B3CAE" w14:textId="28449FBE" w:rsidR="00426F08" w:rsidRPr="009E7CA0" w:rsidRDefault="002E4CCD" w:rsidP="006F7705">
            <w:pPr>
              <w:pStyle w:val="TableTextLeft"/>
            </w:pPr>
            <w:r w:rsidRPr="009E7CA0">
              <w:t>RBA to release Conclusions Paper</w:t>
            </w:r>
            <w:r w:rsidR="0050786E">
              <w:t>.</w:t>
            </w:r>
            <w:r w:rsidR="20F16B77" w:rsidRPr="009E7CA0">
              <w:t>*</w:t>
            </w:r>
          </w:p>
        </w:tc>
      </w:tr>
      <w:tr w:rsidR="00426F08" w:rsidRPr="009E7CA0" w14:paraId="490C1DB0" w14:textId="72B3BD1D" w:rsidTr="00C62CAD">
        <w:trPr>
          <w:cantSplit/>
          <w:trHeight w:val="410"/>
        </w:trPr>
        <w:tc>
          <w:tcPr>
            <w:tcW w:w="794" w:type="dxa"/>
            <w:tcBorders>
              <w:top w:val="single" w:sz="4" w:space="0" w:color="4D7861" w:themeColor="accent2"/>
              <w:bottom w:val="single" w:sz="4" w:space="0" w:color="4D7861" w:themeColor="accent2"/>
            </w:tcBorders>
          </w:tcPr>
          <w:p w14:paraId="45FD80A9" w14:textId="77777777" w:rsidR="00426F08" w:rsidRPr="009E7CA0" w:rsidRDefault="00426F08" w:rsidP="00195B9B">
            <w:pPr>
              <w:pStyle w:val="TableLeadAgency"/>
            </w:pPr>
            <w:r w:rsidRPr="009E7CA0">
              <w:t>TSY</w:t>
            </w:r>
          </w:p>
        </w:tc>
        <w:tc>
          <w:tcPr>
            <w:tcW w:w="1304" w:type="dxa"/>
            <w:tcBorders>
              <w:top w:val="single" w:sz="4" w:space="0" w:color="4D7861" w:themeColor="accent2"/>
              <w:bottom w:val="single" w:sz="4" w:space="0" w:color="4D7861" w:themeColor="accent2"/>
            </w:tcBorders>
          </w:tcPr>
          <w:p w14:paraId="293DADAF" w14:textId="77777777" w:rsidR="00426F08" w:rsidRPr="009E7CA0" w:rsidRDefault="00426F08" w:rsidP="00195B9B">
            <w:pPr>
              <w:pStyle w:val="TableTextLeft"/>
            </w:pPr>
            <w:r w:rsidRPr="009E7CA0">
              <w:t>All</w:t>
            </w:r>
          </w:p>
        </w:tc>
        <w:tc>
          <w:tcPr>
            <w:tcW w:w="3175" w:type="dxa"/>
            <w:gridSpan w:val="2"/>
            <w:tcBorders>
              <w:top w:val="single" w:sz="4" w:space="0" w:color="4D7861" w:themeColor="accent2"/>
              <w:bottom w:val="single" w:sz="4" w:space="0" w:color="4D7861" w:themeColor="accent2"/>
            </w:tcBorders>
          </w:tcPr>
          <w:p w14:paraId="3E3CE7B1" w14:textId="5D6571FF" w:rsidR="00426F08" w:rsidRPr="009E7CA0" w:rsidRDefault="00426F08" w:rsidP="00E87634">
            <w:pPr>
              <w:pStyle w:val="TableLink"/>
              <w:rPr>
                <w:rStyle w:val="Hyperlink"/>
                <w:color w:val="5D779D" w:themeColor="accent3"/>
                <w:u w:val="single"/>
              </w:rPr>
            </w:pPr>
            <w:r w:rsidRPr="009E7CA0">
              <w:rPr>
                <w:rStyle w:val="Hyperlink"/>
                <w:color w:val="5D779D" w:themeColor="accent3"/>
                <w:u w:val="single"/>
              </w:rPr>
              <w:t xml:space="preserve">Statutory review of enhanced regulatory sandbox (ERS) </w:t>
            </w:r>
          </w:p>
          <w:p w14:paraId="41915854" w14:textId="199A2483" w:rsidR="00426F08" w:rsidRPr="009E7CA0" w:rsidRDefault="00426F08" w:rsidP="00E87634">
            <w:pPr>
              <w:pStyle w:val="TableTextLeft"/>
            </w:pPr>
            <w:r w:rsidRPr="009E7CA0">
              <w:t xml:space="preserve">The </w:t>
            </w:r>
            <w:r w:rsidRPr="009E7CA0">
              <w:rPr>
                <w:rStyle w:val="Emphasis"/>
              </w:rPr>
              <w:t>Treasury Laws Amendment (2018 Measures No. 2) Act 2020</w:t>
            </w:r>
            <w:r w:rsidRPr="009E7CA0">
              <w:t xml:space="preserve"> (Cth) requires an independent review of the enhanced regulatory sandbox as soon as practicable after September 2021. The review will provide an opportunity to evaluate the effectiveness of the ERS to ensure it is achieving the objective of promoting innovation within the Australian financial technology sector while balancing associated consumer harm and other risks.  </w:t>
            </w:r>
          </w:p>
        </w:tc>
        <w:tc>
          <w:tcPr>
            <w:tcW w:w="1391" w:type="dxa"/>
            <w:tcBorders>
              <w:top w:val="single" w:sz="4" w:space="0" w:color="4D7861" w:themeColor="accent2"/>
              <w:bottom w:val="single" w:sz="4" w:space="0" w:color="4D7861" w:themeColor="accent2"/>
            </w:tcBorders>
            <w:shd w:val="clear" w:color="auto" w:fill="DBE4DF"/>
          </w:tcPr>
          <w:p w14:paraId="03DAF712" w14:textId="46F2D24E" w:rsidR="00426F08" w:rsidRPr="009E7CA0" w:rsidRDefault="00426F08" w:rsidP="00195B9B">
            <w:pPr>
              <w:pStyle w:val="TableTextLeft"/>
            </w:pPr>
            <w:r w:rsidRPr="009E7CA0">
              <w:t>Review provided to Minister</w:t>
            </w:r>
            <w:r w:rsidR="0050786E">
              <w:t>.</w:t>
            </w:r>
          </w:p>
        </w:tc>
        <w:tc>
          <w:tcPr>
            <w:tcW w:w="1103" w:type="dxa"/>
            <w:tcBorders>
              <w:top w:val="single" w:sz="4" w:space="0" w:color="4D7861" w:themeColor="accent2"/>
              <w:bottom w:val="single" w:sz="4" w:space="0" w:color="4D7861" w:themeColor="accent2"/>
            </w:tcBorders>
            <w:shd w:val="clear" w:color="auto" w:fill="DBE4DF"/>
          </w:tcPr>
          <w:p w14:paraId="024513E8" w14:textId="6BB70248" w:rsidR="00426F08" w:rsidRPr="009E7CA0" w:rsidRDefault="00426F08" w:rsidP="00195B9B">
            <w:pPr>
              <w:pStyle w:val="TableTextLeft"/>
            </w:pPr>
          </w:p>
        </w:tc>
        <w:tc>
          <w:tcPr>
            <w:tcW w:w="1247" w:type="dxa"/>
            <w:tcBorders>
              <w:top w:val="single" w:sz="4" w:space="0" w:color="4D7861" w:themeColor="accent2"/>
              <w:bottom w:val="single" w:sz="4" w:space="0" w:color="4D7861" w:themeColor="accent2"/>
            </w:tcBorders>
            <w:shd w:val="clear" w:color="auto" w:fill="DBE4DF"/>
          </w:tcPr>
          <w:p w14:paraId="2F195EC2" w14:textId="77777777" w:rsidR="00426F08" w:rsidRPr="009E7CA0" w:rsidDel="00F2023F" w:rsidRDefault="00426F08" w:rsidP="00195B9B">
            <w:pPr>
              <w:pStyle w:val="TableTextLeft"/>
            </w:pPr>
          </w:p>
        </w:tc>
        <w:tc>
          <w:tcPr>
            <w:tcW w:w="1417" w:type="dxa"/>
            <w:tcBorders>
              <w:top w:val="single" w:sz="4" w:space="0" w:color="4D7861" w:themeColor="accent2"/>
              <w:bottom w:val="single" w:sz="4" w:space="0" w:color="4D7861" w:themeColor="accent2"/>
            </w:tcBorders>
            <w:shd w:val="clear" w:color="auto" w:fill="EDF2EF"/>
          </w:tcPr>
          <w:p w14:paraId="7B550A26" w14:textId="77777777" w:rsidR="00426F08" w:rsidRPr="009E7CA0" w:rsidRDefault="00426F08"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08734433" w14:textId="77777777" w:rsidR="00426F08" w:rsidRPr="009E7CA0" w:rsidRDefault="00426F08" w:rsidP="00195B9B">
            <w:pPr>
              <w:pStyle w:val="TableTextLeft"/>
            </w:pPr>
          </w:p>
        </w:tc>
        <w:tc>
          <w:tcPr>
            <w:tcW w:w="1247" w:type="dxa"/>
            <w:tcBorders>
              <w:top w:val="single" w:sz="4" w:space="0" w:color="4D7861" w:themeColor="accent2"/>
              <w:bottom w:val="single" w:sz="4" w:space="0" w:color="4D7861" w:themeColor="accent2"/>
            </w:tcBorders>
            <w:shd w:val="clear" w:color="auto" w:fill="EDF2EF"/>
          </w:tcPr>
          <w:p w14:paraId="2D709B45" w14:textId="77777777" w:rsidR="00426F08" w:rsidRPr="009E7CA0" w:rsidRDefault="00426F08" w:rsidP="00195B9B">
            <w:pPr>
              <w:pStyle w:val="TableTextLeft"/>
            </w:pPr>
          </w:p>
        </w:tc>
        <w:tc>
          <w:tcPr>
            <w:tcW w:w="1077" w:type="dxa"/>
            <w:tcBorders>
              <w:top w:val="single" w:sz="4" w:space="0" w:color="4D7861" w:themeColor="accent2"/>
              <w:bottom w:val="single" w:sz="4" w:space="0" w:color="4D7861" w:themeColor="accent2"/>
            </w:tcBorders>
            <w:shd w:val="clear" w:color="auto" w:fill="EDF2EF"/>
          </w:tcPr>
          <w:p w14:paraId="746AF153" w14:textId="77777777" w:rsidR="00426F08" w:rsidRPr="009E7CA0" w:rsidRDefault="00426F08" w:rsidP="00195B9B">
            <w:pPr>
              <w:pStyle w:val="TableTextLeft"/>
            </w:pPr>
          </w:p>
        </w:tc>
      </w:tr>
      <w:tr w:rsidR="00426F08" w:rsidRPr="009E7CA0" w14:paraId="20F3C8A7" w14:textId="2E212FC2" w:rsidTr="00C62CAD">
        <w:trPr>
          <w:cantSplit/>
          <w:trHeight w:val="410"/>
        </w:trPr>
        <w:tc>
          <w:tcPr>
            <w:tcW w:w="794" w:type="dxa"/>
            <w:tcBorders>
              <w:top w:val="single" w:sz="4" w:space="0" w:color="4D7861" w:themeColor="accent2"/>
              <w:bottom w:val="single" w:sz="4" w:space="0" w:color="4D7861" w:themeColor="accent2"/>
            </w:tcBorders>
          </w:tcPr>
          <w:p w14:paraId="70DBB583" w14:textId="77777777" w:rsidR="00426F08" w:rsidRPr="009E7CA0" w:rsidRDefault="00426F08" w:rsidP="00195B9B">
            <w:pPr>
              <w:pStyle w:val="TableLeadAgency"/>
              <w:rPr>
                <w:rStyle w:val="Hyperlink"/>
              </w:rPr>
            </w:pPr>
            <w:r w:rsidRPr="009E7CA0">
              <w:lastRenderedPageBreak/>
              <w:t>TSY</w:t>
            </w:r>
          </w:p>
        </w:tc>
        <w:tc>
          <w:tcPr>
            <w:tcW w:w="1304" w:type="dxa"/>
            <w:tcBorders>
              <w:top w:val="single" w:sz="4" w:space="0" w:color="4D7861" w:themeColor="accent2"/>
              <w:bottom w:val="single" w:sz="4" w:space="0" w:color="4D7861" w:themeColor="accent2"/>
            </w:tcBorders>
          </w:tcPr>
          <w:p w14:paraId="37CF54DB" w14:textId="77777777" w:rsidR="00426F08" w:rsidRPr="009E7CA0" w:rsidRDefault="00426F08" w:rsidP="00195B9B">
            <w:pPr>
              <w:pStyle w:val="TableTextLeft"/>
              <w:rPr>
                <w:rStyle w:val="Hyperlink"/>
                <w:color w:val="000000"/>
              </w:rPr>
            </w:pPr>
            <w:r w:rsidRPr="009E7CA0">
              <w:t>Insurance and reinsurance</w:t>
            </w:r>
          </w:p>
        </w:tc>
        <w:tc>
          <w:tcPr>
            <w:tcW w:w="3175" w:type="dxa"/>
            <w:gridSpan w:val="2"/>
            <w:tcBorders>
              <w:top w:val="single" w:sz="4" w:space="0" w:color="4D7861" w:themeColor="accent2"/>
              <w:bottom w:val="single" w:sz="4" w:space="0" w:color="4D7861" w:themeColor="accent2"/>
            </w:tcBorders>
          </w:tcPr>
          <w:p w14:paraId="27F72F8D" w14:textId="4456FC24" w:rsidR="00426F08" w:rsidRPr="009E7CA0" w:rsidRDefault="00426F08" w:rsidP="00E87634">
            <w:pPr>
              <w:pStyle w:val="TableLink"/>
              <w:rPr>
                <w:rStyle w:val="Hyperlink"/>
                <w:color w:val="5D779D" w:themeColor="accent3"/>
                <w:u w:val="single"/>
              </w:rPr>
            </w:pPr>
            <w:r w:rsidRPr="009E7CA0">
              <w:rPr>
                <w:rStyle w:val="Hyperlink"/>
                <w:color w:val="5D779D" w:themeColor="accent3"/>
                <w:u w:val="single"/>
              </w:rPr>
              <w:t xml:space="preserve">Statutory review of the Act enabling the terrorism and cyclone reinsurance pools </w:t>
            </w:r>
          </w:p>
          <w:p w14:paraId="50E7ED78" w14:textId="1FA6DCE8" w:rsidR="00426F08" w:rsidRPr="009E7CA0" w:rsidRDefault="00426F08" w:rsidP="00E87634">
            <w:pPr>
              <w:pStyle w:val="TableTextLeft"/>
            </w:pPr>
            <w:r w:rsidRPr="009E7CA0">
              <w:t xml:space="preserve">The </w:t>
            </w:r>
            <w:r w:rsidRPr="009E7CA0">
              <w:rPr>
                <w:rStyle w:val="Emphasis"/>
              </w:rPr>
              <w:t>Terrorism and Cyclone Insurance Act 2003</w:t>
            </w:r>
            <w:r w:rsidRPr="009E7CA0">
              <w:t xml:space="preserve"> requires that a report that reviews the need for the Act to continue be prepared as soon as practicable after 1</w:t>
            </w:r>
            <w:r w:rsidR="00A83F0A" w:rsidRPr="009E7CA0">
              <w:t> </w:t>
            </w:r>
            <w:r w:rsidRPr="009E7CA0">
              <w:t xml:space="preserve">July 2025. </w:t>
            </w:r>
            <w:r w:rsidR="726191EE" w:rsidRPr="009E7CA0">
              <w:t>T</w:t>
            </w:r>
            <w:r w:rsidR="358DBEB9" w:rsidRPr="009E7CA0">
              <w:t>reasury is leading the review and undertook consultation in Q3</w:t>
            </w:r>
            <w:r w:rsidR="00A83F0A" w:rsidRPr="009E7CA0">
              <w:t> </w:t>
            </w:r>
            <w:r w:rsidR="358DBEB9" w:rsidRPr="009E7CA0">
              <w:t>and Q4</w:t>
            </w:r>
            <w:r w:rsidR="00A83F0A" w:rsidRPr="009E7CA0">
              <w:t> </w:t>
            </w:r>
            <w:r w:rsidR="358DBEB9" w:rsidRPr="009E7CA0">
              <w:t xml:space="preserve">2025. The </w:t>
            </w:r>
            <w:r w:rsidR="00914203" w:rsidRPr="009E7CA0">
              <w:t>review is continuing and a</w:t>
            </w:r>
            <w:r w:rsidR="358DBEB9" w:rsidRPr="009E7CA0">
              <w:t xml:space="preserve"> report will be provided to t</w:t>
            </w:r>
            <w:r w:rsidR="6611B845" w:rsidRPr="009E7CA0">
              <w:t>h</w:t>
            </w:r>
            <w:r w:rsidR="358DBEB9" w:rsidRPr="009E7CA0">
              <w:t xml:space="preserve">e Government in due course. </w:t>
            </w:r>
          </w:p>
        </w:tc>
        <w:tc>
          <w:tcPr>
            <w:tcW w:w="1391" w:type="dxa"/>
            <w:tcBorders>
              <w:top w:val="single" w:sz="4" w:space="0" w:color="4D7861" w:themeColor="accent2"/>
              <w:bottom w:val="single" w:sz="4" w:space="0" w:color="4D7861" w:themeColor="accent2"/>
            </w:tcBorders>
            <w:shd w:val="clear" w:color="auto" w:fill="DBE4DF"/>
          </w:tcPr>
          <w:p w14:paraId="7235B9DB" w14:textId="4302D2DE" w:rsidR="00426F08" w:rsidRPr="009E7CA0" w:rsidRDefault="00426F08" w:rsidP="00195B9B">
            <w:pPr>
              <w:pStyle w:val="TableTextLeft"/>
              <w:rPr>
                <w:rStyle w:val="Hyperlink"/>
                <w:color w:val="000000"/>
              </w:rPr>
            </w:pPr>
          </w:p>
        </w:tc>
        <w:tc>
          <w:tcPr>
            <w:tcW w:w="1103" w:type="dxa"/>
            <w:tcBorders>
              <w:top w:val="single" w:sz="4" w:space="0" w:color="4D7861" w:themeColor="accent2"/>
              <w:bottom w:val="single" w:sz="4" w:space="0" w:color="4D7861" w:themeColor="accent2"/>
            </w:tcBorders>
            <w:shd w:val="clear" w:color="auto" w:fill="DBE4DF"/>
          </w:tcPr>
          <w:p w14:paraId="122803FE" w14:textId="77777777" w:rsidR="00426F08" w:rsidRPr="009E7CA0" w:rsidRDefault="00426F08" w:rsidP="00195B9B">
            <w:pPr>
              <w:pStyle w:val="TableTextLeft"/>
              <w:rPr>
                <w:rStyle w:val="Hyperlink"/>
                <w:color w:val="000000"/>
              </w:rPr>
            </w:pPr>
          </w:p>
        </w:tc>
        <w:tc>
          <w:tcPr>
            <w:tcW w:w="1247" w:type="dxa"/>
            <w:tcBorders>
              <w:top w:val="single" w:sz="4" w:space="0" w:color="4D7861" w:themeColor="accent2"/>
              <w:bottom w:val="single" w:sz="4" w:space="0" w:color="4D7861" w:themeColor="accent2"/>
            </w:tcBorders>
            <w:shd w:val="clear" w:color="auto" w:fill="DBE4DF"/>
          </w:tcPr>
          <w:p w14:paraId="242DDD73" w14:textId="77777777" w:rsidR="00426F08" w:rsidRPr="009E7CA0" w:rsidDel="00F2023F" w:rsidRDefault="00426F08" w:rsidP="00195B9B">
            <w:pPr>
              <w:pStyle w:val="TableTextLeft"/>
              <w:rPr>
                <w:rStyle w:val="Hyperlink"/>
                <w:color w:val="000000"/>
              </w:rPr>
            </w:pPr>
          </w:p>
        </w:tc>
        <w:tc>
          <w:tcPr>
            <w:tcW w:w="1417" w:type="dxa"/>
            <w:tcBorders>
              <w:top w:val="single" w:sz="4" w:space="0" w:color="4D7861" w:themeColor="accent2"/>
              <w:bottom w:val="single" w:sz="4" w:space="0" w:color="4D7861" w:themeColor="accent2"/>
            </w:tcBorders>
            <w:shd w:val="clear" w:color="auto" w:fill="EDF2EF"/>
          </w:tcPr>
          <w:p w14:paraId="0E9544C5" w14:textId="77777777" w:rsidR="00426F08" w:rsidRPr="009E7CA0" w:rsidRDefault="00426F08" w:rsidP="00195B9B">
            <w:pPr>
              <w:pStyle w:val="TableTextLeft"/>
              <w:rPr>
                <w:rStyle w:val="Hyperlink"/>
                <w:color w:val="000000"/>
              </w:rPr>
            </w:pPr>
          </w:p>
        </w:tc>
        <w:tc>
          <w:tcPr>
            <w:tcW w:w="1247" w:type="dxa"/>
            <w:tcBorders>
              <w:top w:val="single" w:sz="4" w:space="0" w:color="4D7861" w:themeColor="accent2"/>
              <w:bottom w:val="single" w:sz="4" w:space="0" w:color="4D7861" w:themeColor="accent2"/>
            </w:tcBorders>
            <w:shd w:val="clear" w:color="auto" w:fill="EDF2EF"/>
          </w:tcPr>
          <w:p w14:paraId="0F7BF1B1" w14:textId="77777777" w:rsidR="00426F08" w:rsidRPr="009E7CA0" w:rsidRDefault="00426F08" w:rsidP="00195B9B">
            <w:pPr>
              <w:pStyle w:val="TableTextLeft"/>
              <w:rPr>
                <w:rStyle w:val="Hyperlink"/>
                <w:color w:val="000000"/>
              </w:rPr>
            </w:pPr>
          </w:p>
        </w:tc>
        <w:tc>
          <w:tcPr>
            <w:tcW w:w="1247" w:type="dxa"/>
            <w:tcBorders>
              <w:top w:val="single" w:sz="4" w:space="0" w:color="4D7861" w:themeColor="accent2"/>
              <w:bottom w:val="single" w:sz="4" w:space="0" w:color="4D7861" w:themeColor="accent2"/>
            </w:tcBorders>
            <w:shd w:val="clear" w:color="auto" w:fill="EDF2EF"/>
          </w:tcPr>
          <w:p w14:paraId="2609C73A" w14:textId="77777777" w:rsidR="00426F08" w:rsidRPr="009E7CA0" w:rsidRDefault="00426F08" w:rsidP="00195B9B">
            <w:pPr>
              <w:pStyle w:val="TableTextLeft"/>
              <w:rPr>
                <w:rStyle w:val="Hyperlink"/>
                <w:color w:val="000000"/>
              </w:rPr>
            </w:pPr>
          </w:p>
        </w:tc>
        <w:tc>
          <w:tcPr>
            <w:tcW w:w="1077" w:type="dxa"/>
            <w:tcBorders>
              <w:top w:val="single" w:sz="4" w:space="0" w:color="4D7861" w:themeColor="accent2"/>
              <w:bottom w:val="single" w:sz="4" w:space="0" w:color="4D7861" w:themeColor="accent2"/>
            </w:tcBorders>
            <w:shd w:val="clear" w:color="auto" w:fill="EDF2EF"/>
          </w:tcPr>
          <w:p w14:paraId="4A31F114" w14:textId="77777777" w:rsidR="00426F08" w:rsidRPr="009E7CA0" w:rsidRDefault="00426F08" w:rsidP="00195B9B">
            <w:pPr>
              <w:pStyle w:val="TableTextLeft"/>
              <w:rPr>
                <w:rStyle w:val="Hyperlink"/>
                <w:color w:val="000000"/>
              </w:rPr>
            </w:pPr>
          </w:p>
        </w:tc>
      </w:tr>
      <w:tr w:rsidR="00240460" w:rsidRPr="009E7CA0" w14:paraId="4A1F99BC" w14:textId="77777777" w:rsidTr="00C62CAD">
        <w:trPr>
          <w:cantSplit/>
          <w:trHeight w:val="410"/>
        </w:trPr>
        <w:tc>
          <w:tcPr>
            <w:tcW w:w="794" w:type="dxa"/>
            <w:tcBorders>
              <w:top w:val="single" w:sz="4" w:space="0" w:color="4D7861" w:themeColor="accent2"/>
              <w:bottom w:val="single" w:sz="4" w:space="0" w:color="4D7861" w:themeColor="accent2"/>
            </w:tcBorders>
          </w:tcPr>
          <w:p w14:paraId="6912359D" w14:textId="647E390B" w:rsidR="00193707" w:rsidRPr="009E7CA0" w:rsidRDefault="00193707" w:rsidP="00195B9B">
            <w:pPr>
              <w:pStyle w:val="TableLeadAgency"/>
            </w:pPr>
            <w:r w:rsidRPr="009E7CA0">
              <w:t>TSY</w:t>
            </w:r>
          </w:p>
        </w:tc>
        <w:tc>
          <w:tcPr>
            <w:tcW w:w="1304" w:type="dxa"/>
            <w:tcBorders>
              <w:top w:val="single" w:sz="4" w:space="0" w:color="4D7861" w:themeColor="accent2"/>
              <w:bottom w:val="single" w:sz="4" w:space="0" w:color="4D7861" w:themeColor="accent2"/>
            </w:tcBorders>
          </w:tcPr>
          <w:p w14:paraId="7A9FABFC" w14:textId="0C61AF7B" w:rsidR="00193707" w:rsidRPr="009E7CA0" w:rsidRDefault="000A4943" w:rsidP="00195B9B">
            <w:pPr>
              <w:pStyle w:val="TableTextLeft"/>
            </w:pPr>
            <w:r w:rsidRPr="009E7CA0">
              <w:t>All</w:t>
            </w:r>
          </w:p>
        </w:tc>
        <w:tc>
          <w:tcPr>
            <w:tcW w:w="3175" w:type="dxa"/>
            <w:gridSpan w:val="2"/>
            <w:tcBorders>
              <w:top w:val="single" w:sz="4" w:space="0" w:color="4D7861" w:themeColor="accent2"/>
              <w:bottom w:val="single" w:sz="4" w:space="0" w:color="4D7861" w:themeColor="accent2"/>
            </w:tcBorders>
          </w:tcPr>
          <w:p w14:paraId="12A2AD6E" w14:textId="36A12BC0" w:rsidR="00193707" w:rsidRPr="009E7CA0" w:rsidRDefault="00E27769" w:rsidP="00E87634">
            <w:pPr>
              <w:pStyle w:val="TableLink"/>
              <w:rPr>
                <w:rStyle w:val="Hyperlink"/>
                <w:color w:val="5D779D" w:themeColor="accent3"/>
                <w:u w:val="single"/>
              </w:rPr>
            </w:pPr>
            <w:r w:rsidRPr="009E7CA0">
              <w:rPr>
                <w:rStyle w:val="Hyperlink"/>
                <w:color w:val="5D779D" w:themeColor="accent3"/>
                <w:u w:val="single"/>
              </w:rPr>
              <w:t xml:space="preserve">Statutory review of </w:t>
            </w:r>
            <w:r w:rsidR="000B70FF" w:rsidRPr="009E7CA0">
              <w:rPr>
                <w:rStyle w:val="Hyperlink"/>
                <w:color w:val="5D779D" w:themeColor="accent3"/>
                <w:u w:val="single"/>
              </w:rPr>
              <w:t xml:space="preserve">the </w:t>
            </w:r>
            <w:r w:rsidR="009B2129" w:rsidRPr="009E7CA0">
              <w:rPr>
                <w:rStyle w:val="Hyperlink"/>
                <w:color w:val="5D779D" w:themeColor="accent3"/>
                <w:u w:val="single"/>
              </w:rPr>
              <w:t xml:space="preserve">unfair contract terms </w:t>
            </w:r>
            <w:r w:rsidR="00A538FD" w:rsidRPr="009E7CA0">
              <w:rPr>
                <w:rStyle w:val="Hyperlink"/>
                <w:color w:val="5D779D" w:themeColor="accent3"/>
                <w:u w:val="single"/>
              </w:rPr>
              <w:t>(UCT) protections</w:t>
            </w:r>
            <w:r w:rsidR="00B72AA6" w:rsidRPr="009E7CA0">
              <w:rPr>
                <w:rStyle w:val="Hyperlink"/>
                <w:color w:val="5D779D" w:themeColor="accent3"/>
                <w:u w:val="single"/>
              </w:rPr>
              <w:t xml:space="preserve"> </w:t>
            </w:r>
            <w:r w:rsidR="00B72AA6" w:rsidRPr="009E7CA0">
              <w:rPr>
                <w:rStyle w:val="Hyperlink"/>
                <w:color w:val="4D7861" w:themeColor="accent2"/>
                <w:u w:val="single"/>
              </w:rPr>
              <w:t>(new)</w:t>
            </w:r>
          </w:p>
          <w:p w14:paraId="5A95EE96" w14:textId="5AAC410D" w:rsidR="00193707" w:rsidRPr="009E7CA0" w:rsidRDefault="00A538FD" w:rsidP="00E87634">
            <w:pPr>
              <w:pStyle w:val="TableTextLeft"/>
            </w:pPr>
            <w:r w:rsidRPr="009E7CA0">
              <w:t xml:space="preserve">The </w:t>
            </w:r>
            <w:r w:rsidR="00460561" w:rsidRPr="009E7CA0">
              <w:rPr>
                <w:rStyle w:val="Emphasis"/>
              </w:rPr>
              <w:t>Treasury Laws Amendment (More Competition, Better Prices) Act 2022</w:t>
            </w:r>
            <w:r w:rsidR="00460561" w:rsidRPr="009E7CA0">
              <w:t xml:space="preserve"> requires </w:t>
            </w:r>
            <w:r w:rsidR="007E1B24" w:rsidRPr="009E7CA0">
              <w:t xml:space="preserve">a review to be undertaken of the operation of the </w:t>
            </w:r>
            <w:r w:rsidR="005E1472" w:rsidRPr="009E7CA0">
              <w:t>UCT</w:t>
            </w:r>
            <w:r w:rsidR="007E1B24" w:rsidRPr="009E7CA0">
              <w:t xml:space="preserve"> provisions introduced </w:t>
            </w:r>
            <w:r w:rsidR="11853165" w:rsidRPr="009E7CA0">
              <w:t xml:space="preserve">or amended by that Act </w:t>
            </w:r>
            <w:r w:rsidRPr="009E7CA0">
              <w:t>in</w:t>
            </w:r>
            <w:r w:rsidR="007E1B24" w:rsidRPr="009E7CA0">
              <w:t xml:space="preserve"> the </w:t>
            </w:r>
            <w:r w:rsidR="004438DA" w:rsidRPr="009E7CA0">
              <w:rPr>
                <w:rStyle w:val="Emphasis"/>
              </w:rPr>
              <w:t>Competition and Consumer Act 2010</w:t>
            </w:r>
            <w:r w:rsidR="007E1B24" w:rsidRPr="009E7CA0">
              <w:t xml:space="preserve"> and the </w:t>
            </w:r>
            <w:r w:rsidR="004438DA" w:rsidRPr="009E7CA0">
              <w:rPr>
                <w:rStyle w:val="Emphasis"/>
              </w:rPr>
              <w:t>Australian Securities and Investment Commission</w:t>
            </w:r>
            <w:r w:rsidR="007E1B24" w:rsidRPr="009E7CA0">
              <w:rPr>
                <w:rStyle w:val="Emphasis"/>
              </w:rPr>
              <w:t xml:space="preserve"> Act</w:t>
            </w:r>
            <w:r w:rsidR="00566A12" w:rsidRPr="009E7CA0">
              <w:rPr>
                <w:rStyle w:val="Emphasis"/>
              </w:rPr>
              <w:t xml:space="preserve"> 2001</w:t>
            </w:r>
            <w:r w:rsidR="00566A12" w:rsidRPr="009E7CA0">
              <w:t xml:space="preserve">. </w:t>
            </w:r>
            <w:r w:rsidR="00AA61AC" w:rsidRPr="009E7CA0">
              <w:t>The review will examine the effectiveness of the reforms and any potential changes that should be considered. </w:t>
            </w:r>
          </w:p>
        </w:tc>
        <w:tc>
          <w:tcPr>
            <w:tcW w:w="1391" w:type="dxa"/>
            <w:tcBorders>
              <w:top w:val="single" w:sz="4" w:space="0" w:color="4D7861" w:themeColor="accent2"/>
              <w:bottom w:val="single" w:sz="4" w:space="0" w:color="4D7861" w:themeColor="accent2"/>
            </w:tcBorders>
            <w:shd w:val="clear" w:color="auto" w:fill="DBE4DF"/>
          </w:tcPr>
          <w:p w14:paraId="44EEDD10" w14:textId="5E6070E1" w:rsidR="00193707" w:rsidRPr="009E7CA0" w:rsidRDefault="00054138" w:rsidP="00195B9B">
            <w:pPr>
              <w:pStyle w:val="TableTextLeft"/>
              <w:rPr>
                <w:rStyle w:val="Hyperlink"/>
                <w:color w:val="000000"/>
              </w:rPr>
            </w:pPr>
            <w:r w:rsidRPr="009E7CA0">
              <w:rPr>
                <w:rStyle w:val="Hyperlink"/>
                <w:color w:val="000000"/>
              </w:rPr>
              <w:t>Review provided to Minister</w:t>
            </w:r>
          </w:p>
        </w:tc>
        <w:tc>
          <w:tcPr>
            <w:tcW w:w="1103" w:type="dxa"/>
            <w:tcBorders>
              <w:top w:val="single" w:sz="4" w:space="0" w:color="4D7861" w:themeColor="accent2"/>
              <w:bottom w:val="single" w:sz="4" w:space="0" w:color="4D7861" w:themeColor="accent2"/>
            </w:tcBorders>
            <w:shd w:val="clear" w:color="auto" w:fill="DBE4DF"/>
          </w:tcPr>
          <w:p w14:paraId="1AA39039" w14:textId="7E823774" w:rsidR="00193707" w:rsidRPr="009E7CA0" w:rsidRDefault="00193707" w:rsidP="00195B9B">
            <w:pPr>
              <w:pStyle w:val="TableTextLeft"/>
              <w:rPr>
                <w:rStyle w:val="Hyperlink"/>
                <w:color w:val="000000"/>
              </w:rPr>
            </w:pPr>
          </w:p>
        </w:tc>
        <w:tc>
          <w:tcPr>
            <w:tcW w:w="1247" w:type="dxa"/>
            <w:tcBorders>
              <w:top w:val="single" w:sz="4" w:space="0" w:color="4D7861" w:themeColor="accent2"/>
              <w:bottom w:val="single" w:sz="4" w:space="0" w:color="4D7861" w:themeColor="accent2"/>
            </w:tcBorders>
            <w:shd w:val="clear" w:color="auto" w:fill="DBE4DF"/>
          </w:tcPr>
          <w:p w14:paraId="0FE09348" w14:textId="77777777" w:rsidR="00193707" w:rsidRPr="009E7CA0" w:rsidDel="00F2023F" w:rsidRDefault="00193707" w:rsidP="00195B9B">
            <w:pPr>
              <w:pStyle w:val="TableTextLeft"/>
              <w:rPr>
                <w:rStyle w:val="Hyperlink"/>
                <w:color w:val="000000"/>
              </w:rPr>
            </w:pPr>
          </w:p>
        </w:tc>
        <w:tc>
          <w:tcPr>
            <w:tcW w:w="1417" w:type="dxa"/>
            <w:tcBorders>
              <w:top w:val="single" w:sz="4" w:space="0" w:color="4D7861" w:themeColor="accent2"/>
              <w:bottom w:val="single" w:sz="4" w:space="0" w:color="4D7861" w:themeColor="accent2"/>
            </w:tcBorders>
            <w:shd w:val="clear" w:color="auto" w:fill="EDF2EF"/>
          </w:tcPr>
          <w:p w14:paraId="357EE9F4" w14:textId="77777777" w:rsidR="00193707" w:rsidRPr="009E7CA0" w:rsidRDefault="00193707" w:rsidP="00195B9B">
            <w:pPr>
              <w:pStyle w:val="TableTextLeft"/>
              <w:rPr>
                <w:rStyle w:val="Hyperlink"/>
                <w:color w:val="000000"/>
              </w:rPr>
            </w:pPr>
          </w:p>
        </w:tc>
        <w:tc>
          <w:tcPr>
            <w:tcW w:w="1247" w:type="dxa"/>
            <w:tcBorders>
              <w:top w:val="single" w:sz="4" w:space="0" w:color="4D7861" w:themeColor="accent2"/>
              <w:bottom w:val="single" w:sz="4" w:space="0" w:color="4D7861" w:themeColor="accent2"/>
            </w:tcBorders>
            <w:shd w:val="clear" w:color="auto" w:fill="EDF2EF"/>
          </w:tcPr>
          <w:p w14:paraId="60E20357" w14:textId="77777777" w:rsidR="00193707" w:rsidRPr="009E7CA0" w:rsidRDefault="00193707" w:rsidP="00195B9B">
            <w:pPr>
              <w:pStyle w:val="TableTextLeft"/>
              <w:rPr>
                <w:rStyle w:val="Hyperlink"/>
                <w:color w:val="000000"/>
              </w:rPr>
            </w:pPr>
          </w:p>
        </w:tc>
        <w:tc>
          <w:tcPr>
            <w:tcW w:w="1247" w:type="dxa"/>
            <w:tcBorders>
              <w:top w:val="single" w:sz="4" w:space="0" w:color="4D7861" w:themeColor="accent2"/>
              <w:bottom w:val="single" w:sz="4" w:space="0" w:color="4D7861" w:themeColor="accent2"/>
            </w:tcBorders>
            <w:shd w:val="clear" w:color="auto" w:fill="EDF2EF"/>
          </w:tcPr>
          <w:p w14:paraId="59A7084E" w14:textId="77777777" w:rsidR="00193707" w:rsidRPr="009E7CA0" w:rsidRDefault="00193707" w:rsidP="00195B9B">
            <w:pPr>
              <w:pStyle w:val="TableTextLeft"/>
              <w:rPr>
                <w:rStyle w:val="Hyperlink"/>
                <w:color w:val="000000"/>
              </w:rPr>
            </w:pPr>
          </w:p>
        </w:tc>
        <w:tc>
          <w:tcPr>
            <w:tcW w:w="1077" w:type="dxa"/>
            <w:tcBorders>
              <w:top w:val="single" w:sz="4" w:space="0" w:color="4D7861" w:themeColor="accent2"/>
              <w:bottom w:val="single" w:sz="4" w:space="0" w:color="4D7861" w:themeColor="accent2"/>
            </w:tcBorders>
            <w:shd w:val="clear" w:color="auto" w:fill="EDF2EF"/>
          </w:tcPr>
          <w:p w14:paraId="77F68128" w14:textId="77777777" w:rsidR="00193707" w:rsidRPr="009E7CA0" w:rsidRDefault="00193707" w:rsidP="00195B9B">
            <w:pPr>
              <w:pStyle w:val="TableTextLeft"/>
              <w:rPr>
                <w:rStyle w:val="Hyperlink"/>
                <w:color w:val="000000"/>
              </w:rPr>
            </w:pPr>
          </w:p>
        </w:tc>
      </w:tr>
      <w:tr w:rsidR="000D08EE" w:rsidRPr="009E7CA0" w14:paraId="45C97F83" w14:textId="77777777" w:rsidTr="00C62CAD">
        <w:trPr>
          <w:cantSplit/>
          <w:trHeight w:val="410"/>
        </w:trPr>
        <w:tc>
          <w:tcPr>
            <w:tcW w:w="794" w:type="dxa"/>
            <w:tcBorders>
              <w:top w:val="single" w:sz="4" w:space="0" w:color="4D7861" w:themeColor="accent2"/>
              <w:bottom w:val="single" w:sz="4" w:space="0" w:color="4D7861" w:themeColor="accent2"/>
            </w:tcBorders>
          </w:tcPr>
          <w:p w14:paraId="75B970A8" w14:textId="6DA228C3" w:rsidR="000D08EE" w:rsidRPr="009E7CA0" w:rsidRDefault="000D08EE" w:rsidP="00AA1EB4">
            <w:pPr>
              <w:pStyle w:val="TableLeadAgency"/>
              <w:keepNext/>
            </w:pPr>
            <w:r w:rsidRPr="009E7CA0">
              <w:lastRenderedPageBreak/>
              <w:t>ASIC</w:t>
            </w:r>
          </w:p>
        </w:tc>
        <w:tc>
          <w:tcPr>
            <w:tcW w:w="1304" w:type="dxa"/>
            <w:tcBorders>
              <w:top w:val="single" w:sz="4" w:space="0" w:color="4D7861" w:themeColor="accent2"/>
              <w:bottom w:val="single" w:sz="4" w:space="0" w:color="4D7861" w:themeColor="accent2"/>
            </w:tcBorders>
          </w:tcPr>
          <w:p w14:paraId="6623C70E" w14:textId="4FCB2862" w:rsidR="000D08EE" w:rsidRPr="009E7CA0" w:rsidRDefault="00B72AA6" w:rsidP="000D08EE">
            <w:pPr>
              <w:pStyle w:val="TableTextLeft"/>
            </w:pPr>
            <w:r w:rsidRPr="009E7CA0">
              <w:t>Collective management and investment management</w:t>
            </w:r>
          </w:p>
        </w:tc>
        <w:tc>
          <w:tcPr>
            <w:tcW w:w="3175" w:type="dxa"/>
            <w:gridSpan w:val="2"/>
            <w:tcBorders>
              <w:top w:val="single" w:sz="4" w:space="0" w:color="4D7861" w:themeColor="accent2"/>
              <w:bottom w:val="single" w:sz="4" w:space="0" w:color="4D7861" w:themeColor="accent2"/>
            </w:tcBorders>
          </w:tcPr>
          <w:p w14:paraId="6205111F" w14:textId="6C1B04C0" w:rsidR="000D08EE" w:rsidRPr="009E7CA0" w:rsidRDefault="000D08EE" w:rsidP="008901AC">
            <w:pPr>
              <w:pStyle w:val="TableLink"/>
              <w:rPr>
                <w:rStyle w:val="Hyperlink"/>
                <w:color w:val="5D779D" w:themeColor="accent3"/>
                <w:u w:val="single"/>
              </w:rPr>
            </w:pPr>
            <w:r w:rsidRPr="009E7CA0">
              <w:rPr>
                <w:rStyle w:val="Hyperlink"/>
                <w:color w:val="5D779D" w:themeColor="accent3"/>
                <w:u w:val="single"/>
              </w:rPr>
              <w:t xml:space="preserve">Reviewing CFD product intervention order </w:t>
            </w:r>
            <w:r w:rsidRPr="0015307D">
              <w:rPr>
                <w:rStyle w:val="Hyperlink"/>
                <w:color w:val="4D7861" w:themeColor="accent2"/>
                <w:u w:val="single"/>
              </w:rPr>
              <w:t>(new)</w:t>
            </w:r>
          </w:p>
          <w:p w14:paraId="05983ED4" w14:textId="71021F77" w:rsidR="000D08EE" w:rsidRPr="009E7CA0" w:rsidRDefault="000D08EE" w:rsidP="00E87634">
            <w:pPr>
              <w:pStyle w:val="TableTextLeft"/>
              <w:rPr>
                <w:rStyle w:val="Emphasis"/>
              </w:rPr>
            </w:pPr>
            <w:r w:rsidRPr="009E7CA0">
              <w:t>Consult on</w:t>
            </w:r>
            <w:r w:rsidRPr="009E7CA0">
              <w:rPr>
                <w:rStyle w:val="Emphasis"/>
              </w:rPr>
              <w:t> extending ASIC Corporations (Product Intervention Order Extension</w:t>
            </w:r>
            <w:r w:rsidR="00BD64AD" w:rsidRPr="009E7CA0">
              <w:rPr>
                <w:rStyle w:val="Emphasis"/>
              </w:rPr>
              <w:t xml:space="preserve"> </w:t>
            </w:r>
            <w:r w:rsidR="0018446B" w:rsidRPr="009E7CA0">
              <w:rPr>
                <w:rStyle w:val="Emphasis"/>
              </w:rPr>
              <w:t>–</w:t>
            </w:r>
            <w:r w:rsidRPr="009E7CA0">
              <w:rPr>
                <w:rStyle w:val="Emphasis"/>
              </w:rPr>
              <w:t xml:space="preserve"> Contracts for Difference) Instrument 2022/259 </w:t>
            </w:r>
            <w:r w:rsidRPr="009E7CA0">
              <w:t>which expires on 23</w:t>
            </w:r>
            <w:r w:rsidR="00A65F21" w:rsidRPr="009E7CA0">
              <w:t> </w:t>
            </w:r>
            <w:r w:rsidRPr="009E7CA0">
              <w:t>May</w:t>
            </w:r>
            <w:r w:rsidR="00A65F21" w:rsidRPr="009E7CA0">
              <w:t> </w:t>
            </w:r>
            <w:r w:rsidRPr="009E7CA0">
              <w:t>2027.</w:t>
            </w:r>
            <w:r w:rsidRPr="009E7CA0">
              <w:rPr>
                <w:rStyle w:val="Emphasis"/>
              </w:rPr>
              <w:t> </w:t>
            </w:r>
          </w:p>
        </w:tc>
        <w:tc>
          <w:tcPr>
            <w:tcW w:w="1391" w:type="dxa"/>
            <w:tcBorders>
              <w:top w:val="single" w:sz="4" w:space="0" w:color="4D7861" w:themeColor="accent2"/>
              <w:bottom w:val="single" w:sz="4" w:space="0" w:color="4D7861" w:themeColor="accent2"/>
            </w:tcBorders>
            <w:shd w:val="clear" w:color="auto" w:fill="DBE4DF"/>
          </w:tcPr>
          <w:p w14:paraId="3CAEFD38" w14:textId="765C33ED" w:rsidR="000D08EE" w:rsidRPr="009E7CA0" w:rsidRDefault="000D08EE" w:rsidP="000D08EE">
            <w:pPr>
              <w:pStyle w:val="TableTextLeft"/>
              <w:rPr>
                <w:rStyle w:val="Hyperlink"/>
                <w:color w:val="000000"/>
              </w:rPr>
            </w:pPr>
          </w:p>
        </w:tc>
        <w:tc>
          <w:tcPr>
            <w:tcW w:w="1103" w:type="dxa"/>
            <w:tcBorders>
              <w:top w:val="single" w:sz="4" w:space="0" w:color="4D7861" w:themeColor="accent2"/>
              <w:bottom w:val="single" w:sz="4" w:space="0" w:color="4D7861" w:themeColor="accent2"/>
            </w:tcBorders>
            <w:shd w:val="clear" w:color="auto" w:fill="DBE4DF"/>
          </w:tcPr>
          <w:p w14:paraId="20351BA5" w14:textId="1B351968" w:rsidR="000D08EE" w:rsidRPr="009E7CA0" w:rsidRDefault="000D08EE" w:rsidP="000D08EE">
            <w:pPr>
              <w:pStyle w:val="TableTextLeft"/>
              <w:rPr>
                <w:rStyle w:val="Hyperlink"/>
                <w:color w:val="000000"/>
              </w:rPr>
            </w:pPr>
            <w:r w:rsidRPr="009E7CA0">
              <w:rPr>
                <w:rStyle w:val="Hyperlink"/>
                <w:color w:val="000000"/>
              </w:rPr>
              <w:t>Review begins</w:t>
            </w:r>
          </w:p>
        </w:tc>
        <w:tc>
          <w:tcPr>
            <w:tcW w:w="1247" w:type="dxa"/>
            <w:tcBorders>
              <w:top w:val="single" w:sz="4" w:space="0" w:color="4D7861" w:themeColor="accent2"/>
              <w:bottom w:val="single" w:sz="4" w:space="0" w:color="4D7861" w:themeColor="accent2"/>
            </w:tcBorders>
            <w:shd w:val="clear" w:color="auto" w:fill="DBE4DF"/>
          </w:tcPr>
          <w:p w14:paraId="30725BAA" w14:textId="17C90712" w:rsidR="000D08EE" w:rsidRPr="009E7CA0" w:rsidDel="00F2023F" w:rsidRDefault="000D08EE" w:rsidP="000D08EE">
            <w:pPr>
              <w:pStyle w:val="TableTextLeft"/>
              <w:rPr>
                <w:rStyle w:val="Hyperlink"/>
                <w:color w:val="000000"/>
              </w:rPr>
            </w:pPr>
            <w:r w:rsidRPr="009E7CA0">
              <w:rPr>
                <w:rStyle w:val="Hyperlink"/>
                <w:color w:val="000000"/>
              </w:rPr>
              <w:t>Consultation</w:t>
            </w:r>
          </w:p>
        </w:tc>
        <w:tc>
          <w:tcPr>
            <w:tcW w:w="1417" w:type="dxa"/>
            <w:tcBorders>
              <w:top w:val="single" w:sz="4" w:space="0" w:color="4D7861" w:themeColor="accent2"/>
              <w:bottom w:val="single" w:sz="4" w:space="0" w:color="4D7861" w:themeColor="accent2"/>
            </w:tcBorders>
            <w:shd w:val="clear" w:color="auto" w:fill="EDF2EF"/>
          </w:tcPr>
          <w:p w14:paraId="2E33509E" w14:textId="21896303" w:rsidR="000D08EE" w:rsidRPr="009E7CA0" w:rsidRDefault="000D08EE" w:rsidP="000D08EE">
            <w:pPr>
              <w:pStyle w:val="TableTextLeft"/>
              <w:rPr>
                <w:rStyle w:val="Hyperlink"/>
                <w:color w:val="000000"/>
              </w:rPr>
            </w:pPr>
            <w:r w:rsidRPr="009E7CA0">
              <w:rPr>
                <w:rStyle w:val="Hyperlink"/>
                <w:color w:val="000000"/>
              </w:rPr>
              <w:t>Seek Ministerial approval</w:t>
            </w:r>
          </w:p>
        </w:tc>
        <w:tc>
          <w:tcPr>
            <w:tcW w:w="1247" w:type="dxa"/>
            <w:tcBorders>
              <w:top w:val="single" w:sz="4" w:space="0" w:color="4D7861" w:themeColor="accent2"/>
              <w:bottom w:val="single" w:sz="4" w:space="0" w:color="4D7861" w:themeColor="accent2"/>
            </w:tcBorders>
            <w:shd w:val="clear" w:color="auto" w:fill="EDF2EF"/>
          </w:tcPr>
          <w:p w14:paraId="01A8784C" w14:textId="62E550E0" w:rsidR="000D08EE" w:rsidRPr="009E7CA0" w:rsidRDefault="000D08EE" w:rsidP="000D08EE">
            <w:pPr>
              <w:pStyle w:val="TableTextLeft"/>
              <w:rPr>
                <w:rStyle w:val="Hyperlink"/>
                <w:color w:val="000000"/>
              </w:rPr>
            </w:pPr>
            <w:r w:rsidRPr="009E7CA0">
              <w:rPr>
                <w:rStyle w:val="Hyperlink"/>
                <w:color w:val="000000"/>
              </w:rPr>
              <w:t xml:space="preserve">Instrument extended or expires </w:t>
            </w:r>
          </w:p>
        </w:tc>
        <w:tc>
          <w:tcPr>
            <w:tcW w:w="1247" w:type="dxa"/>
            <w:tcBorders>
              <w:top w:val="single" w:sz="4" w:space="0" w:color="4D7861" w:themeColor="accent2"/>
              <w:bottom w:val="single" w:sz="4" w:space="0" w:color="4D7861" w:themeColor="accent2"/>
            </w:tcBorders>
            <w:shd w:val="clear" w:color="auto" w:fill="EDF2EF"/>
          </w:tcPr>
          <w:p w14:paraId="371BA63F" w14:textId="77777777" w:rsidR="000D08EE" w:rsidRPr="009E7CA0" w:rsidRDefault="000D08EE" w:rsidP="000D08EE">
            <w:pPr>
              <w:pStyle w:val="TableTextLeft"/>
              <w:rPr>
                <w:rStyle w:val="Hyperlink"/>
                <w:color w:val="000000"/>
              </w:rPr>
            </w:pPr>
          </w:p>
        </w:tc>
        <w:tc>
          <w:tcPr>
            <w:tcW w:w="1077" w:type="dxa"/>
            <w:tcBorders>
              <w:top w:val="single" w:sz="4" w:space="0" w:color="4D7861" w:themeColor="accent2"/>
              <w:bottom w:val="single" w:sz="4" w:space="0" w:color="4D7861" w:themeColor="accent2"/>
            </w:tcBorders>
            <w:shd w:val="clear" w:color="auto" w:fill="EDF2EF"/>
          </w:tcPr>
          <w:p w14:paraId="3AC57FED" w14:textId="77777777" w:rsidR="000D08EE" w:rsidRPr="009E7CA0" w:rsidRDefault="000D08EE" w:rsidP="000D08EE">
            <w:pPr>
              <w:pStyle w:val="TableTextLeft"/>
              <w:rPr>
                <w:rStyle w:val="Hyperlink"/>
                <w:color w:val="000000"/>
              </w:rPr>
            </w:pPr>
          </w:p>
        </w:tc>
      </w:tr>
      <w:tr w:rsidR="00C232B8" w:rsidRPr="009E7CA0" w14:paraId="029139CF" w14:textId="77777777" w:rsidTr="00C62CAD">
        <w:trPr>
          <w:cantSplit/>
          <w:trHeight w:val="410"/>
        </w:trPr>
        <w:tc>
          <w:tcPr>
            <w:tcW w:w="794" w:type="dxa"/>
            <w:tcBorders>
              <w:top w:val="single" w:sz="4" w:space="0" w:color="4D7861" w:themeColor="accent2"/>
              <w:bottom w:val="single" w:sz="4" w:space="0" w:color="4D7861" w:themeColor="accent2"/>
            </w:tcBorders>
          </w:tcPr>
          <w:p w14:paraId="0D03CD09" w14:textId="004418F8" w:rsidR="00C232B8" w:rsidRPr="009E7CA0" w:rsidRDefault="00C232B8" w:rsidP="000D08EE">
            <w:pPr>
              <w:pStyle w:val="TableLeadAgency"/>
            </w:pPr>
            <w:r w:rsidRPr="009E7CA0">
              <w:t>ASIC</w:t>
            </w:r>
          </w:p>
        </w:tc>
        <w:tc>
          <w:tcPr>
            <w:tcW w:w="1304" w:type="dxa"/>
            <w:tcBorders>
              <w:top w:val="single" w:sz="4" w:space="0" w:color="4D7861" w:themeColor="accent2"/>
              <w:bottom w:val="single" w:sz="4" w:space="0" w:color="4D7861" w:themeColor="accent2"/>
            </w:tcBorders>
          </w:tcPr>
          <w:p w14:paraId="65DD96AD" w14:textId="19939E27" w:rsidR="00C232B8" w:rsidRPr="009E7CA0" w:rsidRDefault="00C232B8" w:rsidP="00CE0952">
            <w:pPr>
              <w:pStyle w:val="TableTextLeft"/>
            </w:pPr>
            <w:r w:rsidRPr="009E7CA0">
              <w:t>Financial markets</w:t>
            </w:r>
          </w:p>
        </w:tc>
        <w:tc>
          <w:tcPr>
            <w:tcW w:w="3175" w:type="dxa"/>
            <w:gridSpan w:val="2"/>
            <w:tcBorders>
              <w:top w:val="single" w:sz="4" w:space="0" w:color="4D7861" w:themeColor="accent2"/>
              <w:bottom w:val="single" w:sz="4" w:space="0" w:color="4D7861" w:themeColor="accent2"/>
            </w:tcBorders>
          </w:tcPr>
          <w:p w14:paraId="04DA6EFB" w14:textId="44B491FA" w:rsidR="009B7F91" w:rsidRPr="009E7CA0" w:rsidRDefault="009B7F91" w:rsidP="005B5B43">
            <w:pPr>
              <w:pStyle w:val="TableLink"/>
              <w:rPr>
                <w:rStyle w:val="Hyperlink"/>
                <w:color w:val="5D779D" w:themeColor="accent3"/>
                <w:u w:val="single"/>
              </w:rPr>
            </w:pPr>
            <w:r w:rsidRPr="009E7CA0">
              <w:rPr>
                <w:rStyle w:val="Hyperlink"/>
                <w:color w:val="5D779D" w:themeColor="accent3"/>
                <w:u w:val="single"/>
              </w:rPr>
              <w:t>Review and update of Regulatory Guide 264 Sell side research </w:t>
            </w:r>
            <w:r w:rsidR="00A053B1" w:rsidRPr="0015307D">
              <w:rPr>
                <w:rStyle w:val="Hyperlink"/>
                <w:color w:val="4D7861" w:themeColor="accent2"/>
                <w:u w:val="single"/>
              </w:rPr>
              <w:t>(new)</w:t>
            </w:r>
          </w:p>
          <w:p w14:paraId="00EA64D6" w14:textId="4AE0568B" w:rsidR="00C232B8" w:rsidRPr="009E7CA0" w:rsidRDefault="009B7F91" w:rsidP="00CE0952">
            <w:pPr>
              <w:pStyle w:val="TableTextLeft"/>
            </w:pPr>
            <w:r w:rsidRPr="009E7CA0">
              <w:t>ASIC will review and consult on proposed changes to RG 264 Sell side research to support public markets. Initial stakeholder engagement has commenced.</w:t>
            </w:r>
          </w:p>
        </w:tc>
        <w:tc>
          <w:tcPr>
            <w:tcW w:w="1391" w:type="dxa"/>
            <w:tcBorders>
              <w:top w:val="single" w:sz="4" w:space="0" w:color="4D7861" w:themeColor="accent2"/>
              <w:bottom w:val="single" w:sz="4" w:space="0" w:color="4D7861" w:themeColor="accent2"/>
            </w:tcBorders>
            <w:shd w:val="clear" w:color="auto" w:fill="DBE4DF"/>
          </w:tcPr>
          <w:p w14:paraId="3B2B0E21" w14:textId="178A60FC" w:rsidR="00C232B8" w:rsidRPr="009E7CA0" w:rsidRDefault="004732AD" w:rsidP="000C124F">
            <w:pPr>
              <w:pStyle w:val="TableTextLeft"/>
              <w:rPr>
                <w:rStyle w:val="Hyperlink"/>
                <w:color w:val="000000"/>
              </w:rPr>
            </w:pPr>
            <w:r w:rsidRPr="009E7CA0">
              <w:t>ASIC to consult on updates to its guidance.</w:t>
            </w:r>
          </w:p>
        </w:tc>
        <w:tc>
          <w:tcPr>
            <w:tcW w:w="1103" w:type="dxa"/>
            <w:tcBorders>
              <w:top w:val="single" w:sz="4" w:space="0" w:color="4D7861" w:themeColor="accent2"/>
              <w:bottom w:val="single" w:sz="4" w:space="0" w:color="4D7861" w:themeColor="accent2"/>
            </w:tcBorders>
            <w:shd w:val="clear" w:color="auto" w:fill="DBE4DF"/>
          </w:tcPr>
          <w:p w14:paraId="7DC9DE27" w14:textId="12CBD699" w:rsidR="00C232B8" w:rsidRPr="009E7CA0" w:rsidRDefault="00A053B1" w:rsidP="000C124F">
            <w:pPr>
              <w:pStyle w:val="TableTextLeft"/>
              <w:rPr>
                <w:rStyle w:val="Hyperlink"/>
                <w:color w:val="000000"/>
              </w:rPr>
            </w:pPr>
            <w:r w:rsidRPr="009E7CA0">
              <w:t>Updated guidance published</w:t>
            </w:r>
          </w:p>
        </w:tc>
        <w:tc>
          <w:tcPr>
            <w:tcW w:w="1247" w:type="dxa"/>
            <w:tcBorders>
              <w:top w:val="single" w:sz="4" w:space="0" w:color="4D7861" w:themeColor="accent2"/>
              <w:bottom w:val="single" w:sz="4" w:space="0" w:color="4D7861" w:themeColor="accent2"/>
            </w:tcBorders>
            <w:shd w:val="clear" w:color="auto" w:fill="DBE4DF"/>
          </w:tcPr>
          <w:p w14:paraId="445C857D" w14:textId="6026B9F6" w:rsidR="00C232B8" w:rsidRPr="009E7CA0" w:rsidRDefault="00C232B8" w:rsidP="000C124F">
            <w:pPr>
              <w:pStyle w:val="TableTextLeft"/>
              <w:rPr>
                <w:rStyle w:val="Hyperlink"/>
                <w:color w:val="000000"/>
              </w:rPr>
            </w:pPr>
          </w:p>
        </w:tc>
        <w:tc>
          <w:tcPr>
            <w:tcW w:w="1417" w:type="dxa"/>
            <w:tcBorders>
              <w:top w:val="single" w:sz="4" w:space="0" w:color="4D7861" w:themeColor="accent2"/>
              <w:bottom w:val="single" w:sz="4" w:space="0" w:color="4D7861" w:themeColor="accent2"/>
            </w:tcBorders>
            <w:shd w:val="clear" w:color="auto" w:fill="EDF2EF"/>
          </w:tcPr>
          <w:p w14:paraId="2C79E80D" w14:textId="77777777" w:rsidR="00C232B8" w:rsidRPr="009E7CA0" w:rsidRDefault="00C232B8" w:rsidP="000C124F">
            <w:pPr>
              <w:pStyle w:val="TableTextLeft"/>
              <w:rPr>
                <w:rStyle w:val="Hyperlink"/>
                <w:color w:val="000000"/>
              </w:rPr>
            </w:pPr>
          </w:p>
        </w:tc>
        <w:tc>
          <w:tcPr>
            <w:tcW w:w="1247" w:type="dxa"/>
            <w:tcBorders>
              <w:top w:val="single" w:sz="4" w:space="0" w:color="4D7861" w:themeColor="accent2"/>
              <w:bottom w:val="single" w:sz="4" w:space="0" w:color="4D7861" w:themeColor="accent2"/>
            </w:tcBorders>
            <w:shd w:val="clear" w:color="auto" w:fill="EDF2EF"/>
          </w:tcPr>
          <w:p w14:paraId="5BC7F3D1" w14:textId="77777777" w:rsidR="00C232B8" w:rsidRPr="009E7CA0" w:rsidRDefault="00C232B8" w:rsidP="000C124F">
            <w:pPr>
              <w:pStyle w:val="TableTextLeft"/>
              <w:rPr>
                <w:rStyle w:val="Hyperlink"/>
                <w:color w:val="000000"/>
              </w:rPr>
            </w:pPr>
          </w:p>
        </w:tc>
        <w:tc>
          <w:tcPr>
            <w:tcW w:w="1247" w:type="dxa"/>
            <w:tcBorders>
              <w:top w:val="single" w:sz="4" w:space="0" w:color="4D7861" w:themeColor="accent2"/>
              <w:bottom w:val="single" w:sz="4" w:space="0" w:color="4D7861" w:themeColor="accent2"/>
            </w:tcBorders>
            <w:shd w:val="clear" w:color="auto" w:fill="EDF2EF"/>
          </w:tcPr>
          <w:p w14:paraId="20E18281" w14:textId="77777777" w:rsidR="00C232B8" w:rsidRPr="009E7CA0" w:rsidRDefault="00C232B8" w:rsidP="000C124F">
            <w:pPr>
              <w:pStyle w:val="TableTextLeft"/>
              <w:rPr>
                <w:rStyle w:val="Hyperlink"/>
                <w:color w:val="000000"/>
              </w:rPr>
            </w:pPr>
          </w:p>
        </w:tc>
        <w:tc>
          <w:tcPr>
            <w:tcW w:w="1077" w:type="dxa"/>
            <w:tcBorders>
              <w:top w:val="single" w:sz="4" w:space="0" w:color="4D7861" w:themeColor="accent2"/>
              <w:bottom w:val="single" w:sz="4" w:space="0" w:color="4D7861" w:themeColor="accent2"/>
            </w:tcBorders>
            <w:shd w:val="clear" w:color="auto" w:fill="EDF2EF"/>
          </w:tcPr>
          <w:p w14:paraId="06583FB8" w14:textId="77777777" w:rsidR="00C232B8" w:rsidRPr="009E7CA0" w:rsidRDefault="00C232B8" w:rsidP="000C124F">
            <w:pPr>
              <w:pStyle w:val="TableTextLeft"/>
              <w:rPr>
                <w:rStyle w:val="Hyperlink"/>
                <w:color w:val="000000"/>
              </w:rPr>
            </w:pPr>
          </w:p>
        </w:tc>
      </w:tr>
    </w:tbl>
    <w:p w14:paraId="054EBB3B" w14:textId="77777777" w:rsidR="009831FF" w:rsidRDefault="009831FF" w:rsidP="0069353D">
      <w:pPr>
        <w:spacing w:before="0" w:after="160" w:line="259" w:lineRule="auto"/>
        <w:rPr>
          <w:rFonts w:cstheme="minorBidi"/>
        </w:rPr>
        <w:sectPr w:rsidR="009831FF" w:rsidSect="00106330">
          <w:pgSz w:w="16838" w:h="11906" w:orient="landscape" w:code="9"/>
          <w:pgMar w:top="1843" w:right="1418" w:bottom="1021" w:left="1418" w:header="709" w:footer="397" w:gutter="0"/>
          <w:cols w:space="708"/>
          <w:docGrid w:linePitch="360"/>
        </w:sectPr>
      </w:pPr>
    </w:p>
    <w:p w14:paraId="784FAF6B" w14:textId="045FAEF5" w:rsidR="00EA546D" w:rsidRPr="009831FF" w:rsidRDefault="0019155C" w:rsidP="009831FF">
      <w:pPr>
        <w:pStyle w:val="Heading1"/>
        <w:spacing w:before="0"/>
      </w:pPr>
      <w:bookmarkStart w:id="48" w:name="_Toc209785820"/>
      <w:r w:rsidRPr="009831FF">
        <w:lastRenderedPageBreak/>
        <w:t xml:space="preserve">Changes to </w:t>
      </w:r>
      <w:r w:rsidR="003941BB" w:rsidRPr="009831FF">
        <w:t xml:space="preserve">initiatives included in </w:t>
      </w:r>
      <w:r w:rsidR="006F6B34" w:rsidRPr="009831FF">
        <w:t xml:space="preserve">Edition </w:t>
      </w:r>
      <w:bookmarkEnd w:id="48"/>
      <w:r w:rsidR="00DC125C">
        <w:t>2</w:t>
      </w:r>
      <w:r w:rsidR="00CF69B4" w:rsidRPr="009831FF">
        <w:t xml:space="preserve"> </w:t>
      </w:r>
    </w:p>
    <w:p w14:paraId="6361AFDF" w14:textId="4E02EC50" w:rsidR="13F0EF37" w:rsidRDefault="13F0EF37" w:rsidP="1D6F8193">
      <w:r>
        <w:t>Th</w:t>
      </w:r>
      <w:r w:rsidR="00431447">
        <w:t>is</w:t>
      </w:r>
      <w:r>
        <w:t xml:space="preserve"> table outlines changes to the initiative </w:t>
      </w:r>
      <w:r w:rsidR="00210752">
        <w:t>name</w:t>
      </w:r>
      <w:r>
        <w:t xml:space="preserve"> or to milestones between edition </w:t>
      </w:r>
      <w:r w:rsidR="00172361">
        <w:t>2</w:t>
      </w:r>
      <w:r>
        <w:t xml:space="preserve"> and this edition of the RIG. </w:t>
      </w:r>
    </w:p>
    <w:tbl>
      <w:tblPr>
        <w:tblStyle w:val="PlainTable4"/>
        <w:tblW w:w="5000" w:type="pct"/>
        <w:tblLayout w:type="fixed"/>
        <w:tblLook w:val="04A0" w:firstRow="1" w:lastRow="0" w:firstColumn="1" w:lastColumn="0" w:noHBand="0" w:noVBand="1"/>
      </w:tblPr>
      <w:tblGrid>
        <w:gridCol w:w="7230"/>
        <w:gridCol w:w="3260"/>
        <w:gridCol w:w="3512"/>
      </w:tblGrid>
      <w:tr w:rsidR="003869E6" w:rsidRPr="009E7CA0" w14:paraId="11CC1644" w14:textId="77777777" w:rsidTr="00D037A3">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7230" w:type="dxa"/>
            <w:shd w:val="clear" w:color="auto" w:fill="474747" w:themeFill="text2" w:themeFillShade="BF"/>
            <w:vAlign w:val="center"/>
          </w:tcPr>
          <w:p w14:paraId="485A9CEA" w14:textId="77777777" w:rsidR="003869E6" w:rsidRPr="009E7CA0" w:rsidRDefault="003869E6" w:rsidP="00D50A40">
            <w:pPr>
              <w:pStyle w:val="TableColumnHeadingLeft"/>
              <w:rPr>
                <w:b/>
                <w:bCs w:val="0"/>
                <w:color w:val="FFFFFF" w:themeColor="background1"/>
              </w:rPr>
            </w:pPr>
            <w:r w:rsidRPr="009E7CA0">
              <w:rPr>
                <w:b/>
                <w:bCs w:val="0"/>
                <w:color w:val="FFFFFF" w:themeColor="background1"/>
              </w:rPr>
              <w:t>Initiative</w:t>
            </w:r>
          </w:p>
        </w:tc>
        <w:tc>
          <w:tcPr>
            <w:tcW w:w="3260" w:type="dxa"/>
            <w:shd w:val="clear" w:color="auto" w:fill="474747" w:themeFill="text2" w:themeFillShade="BF"/>
            <w:vAlign w:val="center"/>
            <w:hideMark/>
          </w:tcPr>
          <w:p w14:paraId="5742AA07" w14:textId="77777777" w:rsidR="003869E6" w:rsidRPr="009E7CA0" w:rsidRDefault="003869E6" w:rsidP="00D50A40">
            <w:pPr>
              <w:pStyle w:val="TableColumnHeadingLeft"/>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9E7CA0">
              <w:rPr>
                <w:b/>
                <w:bCs w:val="0"/>
                <w:color w:val="FFFFFF" w:themeColor="background1"/>
              </w:rPr>
              <w:t>Changes</w:t>
            </w:r>
          </w:p>
        </w:tc>
        <w:tc>
          <w:tcPr>
            <w:tcW w:w="3512" w:type="dxa"/>
            <w:shd w:val="clear" w:color="auto" w:fill="474747" w:themeFill="text2" w:themeFillShade="BF"/>
            <w:vAlign w:val="center"/>
          </w:tcPr>
          <w:p w14:paraId="3381B366" w14:textId="77777777" w:rsidR="003869E6" w:rsidRPr="009E7CA0" w:rsidRDefault="003869E6" w:rsidP="00D50A40">
            <w:pPr>
              <w:pStyle w:val="TableColumnHeadingLeft"/>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9E7CA0">
              <w:rPr>
                <w:b/>
                <w:bCs w:val="0"/>
                <w:color w:val="FFFFFF" w:themeColor="background1"/>
              </w:rPr>
              <w:t>Reason for the change</w:t>
            </w:r>
          </w:p>
        </w:tc>
      </w:tr>
      <w:tr w:rsidR="2BB77C3F" w:rsidRPr="009E7CA0" w14:paraId="679EF5A8" w14:textId="77777777" w:rsidTr="000625F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230" w:type="dxa"/>
            <w:shd w:val="clear" w:color="auto" w:fill="EEEEEE" w:themeFill="background2"/>
            <w:vAlign w:val="center"/>
          </w:tcPr>
          <w:p w14:paraId="26FDC420" w14:textId="2CEC2160" w:rsidR="2BB77C3F" w:rsidRPr="009E7CA0" w:rsidRDefault="07801A86" w:rsidP="00A56651">
            <w:pPr>
              <w:pStyle w:val="TableTextLeft"/>
              <w:rPr>
                <w:rFonts w:eastAsia="Calibri Light"/>
              </w:rPr>
            </w:pPr>
            <w:hyperlink r:id="rId113" w:history="1">
              <w:r w:rsidRPr="008E101E">
                <w:rPr>
                  <w:rStyle w:val="Hyperlink"/>
                  <w:rFonts w:asciiTheme="minorHAnsi" w:hAnsiTheme="minorHAnsi" w:cstheme="minorHAnsi"/>
                  <w:b w:val="0"/>
                  <w:bCs w:val="0"/>
                  <w:color w:val="2E3B4E" w:themeColor="accent3" w:themeShade="80"/>
                  <w:szCs w:val="16"/>
                </w:rPr>
                <w:t>Perpetrators of domestic and family violence accessing victims’ superannuation death benefits</w:t>
              </w:r>
            </w:hyperlink>
          </w:p>
        </w:tc>
        <w:tc>
          <w:tcPr>
            <w:tcW w:w="3260" w:type="dxa"/>
            <w:vAlign w:val="center"/>
          </w:tcPr>
          <w:p w14:paraId="1D35231D" w14:textId="388DD8BB" w:rsidR="2BB77C3F" w:rsidRPr="009E7CA0" w:rsidRDefault="07801A86" w:rsidP="00A56651">
            <w:pPr>
              <w:pStyle w:val="TableTextLeft"/>
              <w:cnfStyle w:val="000000100000" w:firstRow="0" w:lastRow="0" w:firstColumn="0" w:lastColumn="0" w:oddVBand="0" w:evenVBand="0" w:oddHBand="1" w:evenHBand="0" w:firstRowFirstColumn="0" w:firstRowLastColumn="0" w:lastRowFirstColumn="0" w:lastRowLastColumn="0"/>
            </w:pPr>
            <w:r w:rsidRPr="009E7CA0">
              <w:t xml:space="preserve">Public consultation </w:t>
            </w:r>
            <w:r w:rsidR="3275EF4A" w:rsidRPr="009E7CA0">
              <w:t>moved to</w:t>
            </w:r>
            <w:r w:rsidRPr="009E7CA0">
              <w:t xml:space="preserve"> Q2 2026 </w:t>
            </w:r>
          </w:p>
        </w:tc>
        <w:tc>
          <w:tcPr>
            <w:tcW w:w="3512" w:type="dxa"/>
            <w:vAlign w:val="center"/>
          </w:tcPr>
          <w:p w14:paraId="56E9C414" w14:textId="7E5B22CF" w:rsidR="2BB77C3F" w:rsidRPr="009E7CA0" w:rsidRDefault="00DC2CB5" w:rsidP="00A56651">
            <w:pPr>
              <w:pStyle w:val="TableTextLeft"/>
              <w:cnfStyle w:val="000000100000" w:firstRow="0" w:lastRow="0" w:firstColumn="0" w:lastColumn="0" w:oddVBand="0" w:evenVBand="0" w:oddHBand="1" w:evenHBand="0" w:firstRowFirstColumn="0" w:firstRowLastColumn="0" w:lastRowFirstColumn="0" w:lastRowLastColumn="0"/>
            </w:pPr>
            <w:r w:rsidRPr="009E7CA0">
              <w:t>Additional time required to allow for a more comprehensive and considered approach</w:t>
            </w:r>
          </w:p>
        </w:tc>
      </w:tr>
      <w:tr w:rsidR="00C72061" w:rsidRPr="009E7CA0" w14:paraId="299A350E" w14:textId="4A8215B9" w:rsidTr="00EF0161">
        <w:trPr>
          <w:trHeight w:val="410"/>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13458501" w14:textId="7851DC52" w:rsidR="00C72061" w:rsidRPr="009E7CA0" w:rsidRDefault="00C72061" w:rsidP="00D037A3">
            <w:pPr>
              <w:pStyle w:val="TableTextLeft"/>
              <w:rPr>
                <w:b w:val="0"/>
                <w:bCs w:val="0"/>
              </w:rPr>
            </w:pPr>
            <w:r w:rsidRPr="009E7CA0">
              <w:rPr>
                <w:rFonts w:eastAsia="Calibri Light"/>
                <w:b w:val="0"/>
                <w:bCs w:val="0"/>
              </w:rPr>
              <w:t xml:space="preserve">Removing card surcharges for Australians and Small Businesses </w:t>
            </w:r>
          </w:p>
        </w:tc>
        <w:tc>
          <w:tcPr>
            <w:tcW w:w="3260" w:type="dxa"/>
            <w:vAlign w:val="center"/>
          </w:tcPr>
          <w:p w14:paraId="415044D7" w14:textId="36FE6C88" w:rsidR="00C72061" w:rsidRPr="009E7CA0" w:rsidRDefault="00C72061" w:rsidP="00A56651">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Initiative replaced            </w:t>
            </w:r>
          </w:p>
        </w:tc>
        <w:tc>
          <w:tcPr>
            <w:tcW w:w="3512" w:type="dxa"/>
            <w:vAlign w:val="center"/>
          </w:tcPr>
          <w:p w14:paraId="744759D5" w14:textId="68C06770" w:rsidR="00C72061" w:rsidRPr="009E7CA0" w:rsidRDefault="00C72061" w:rsidP="00A56651">
            <w:pPr>
              <w:pStyle w:val="TableTextLeft"/>
              <w:cnfStyle w:val="000000000000" w:firstRow="0" w:lastRow="0" w:firstColumn="0" w:lastColumn="0" w:oddVBand="0" w:evenVBand="0" w:oddHBand="0" w:evenHBand="0" w:firstRowFirstColumn="0" w:firstRowLastColumn="0" w:lastRowFirstColumn="0" w:lastRowLastColumn="0"/>
              <w:rPr>
                <w:rFonts w:eastAsia="Segoe UI"/>
              </w:rPr>
            </w:pPr>
            <w:r w:rsidRPr="009E7CA0">
              <w:t xml:space="preserve">The RBA has released the outcome of its </w:t>
            </w:r>
            <w:hyperlink r:id="rId114" w:history="1">
              <w:r w:rsidRPr="009E7CA0">
                <w:rPr>
                  <w:rStyle w:val="Hyperlink"/>
                </w:rPr>
                <w:t>Review of retail payments regulation – merchant card payment costs and surcharging.</w:t>
              </w:r>
            </w:hyperlink>
            <w:r w:rsidRPr="009E7CA0">
              <w:rPr>
                <w:rFonts w:eastAsiaTheme="minorEastAsia"/>
              </w:rPr>
              <w:t xml:space="preserve">  </w:t>
            </w:r>
          </w:p>
        </w:tc>
      </w:tr>
      <w:tr w:rsidR="0050786E" w:rsidRPr="009E7CA0" w14:paraId="4D332BD7" w14:textId="08EAD17E" w:rsidTr="00026FA1">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5F2FF79D" w14:textId="5A96A8FD" w:rsidR="0050786E" w:rsidRPr="009E7CA0" w:rsidRDefault="0050786E" w:rsidP="00D037A3">
            <w:pPr>
              <w:pStyle w:val="TableTextLeft"/>
            </w:pPr>
            <w:r w:rsidRPr="009E7CA0">
              <w:rPr>
                <w:rFonts w:eastAsia="Calibri Light"/>
                <w:b w:val="0"/>
                <w:bCs w:val="0"/>
              </w:rPr>
              <w:t>Sustainable investment product labels</w:t>
            </w:r>
          </w:p>
        </w:tc>
        <w:tc>
          <w:tcPr>
            <w:tcW w:w="3260" w:type="dxa"/>
            <w:vAlign w:val="center"/>
          </w:tcPr>
          <w:p w14:paraId="4E3B1F78" w14:textId="3CE3426C" w:rsidR="0050786E" w:rsidRPr="009E7CA0" w:rsidRDefault="0050786E" w:rsidP="00A56651">
            <w:pPr>
              <w:pStyle w:val="TableTextLeft"/>
              <w:cnfStyle w:val="000000100000" w:firstRow="0" w:lastRow="0" w:firstColumn="0" w:lastColumn="0" w:oddVBand="0" w:evenVBand="0" w:oddHBand="1" w:evenHBand="0" w:firstRowFirstColumn="0" w:firstRowLastColumn="0" w:lastRowFirstColumn="0" w:lastRowLastColumn="0"/>
            </w:pPr>
            <w:r w:rsidRPr="009E7CA0">
              <w:t xml:space="preserve">Milestone removed </w:t>
            </w:r>
          </w:p>
        </w:tc>
        <w:tc>
          <w:tcPr>
            <w:tcW w:w="3512" w:type="dxa"/>
            <w:vAlign w:val="center"/>
          </w:tcPr>
          <w:p w14:paraId="337395A8" w14:textId="3F08B949" w:rsidR="0050786E" w:rsidRPr="009E7CA0" w:rsidRDefault="0050786E" w:rsidP="00A56651">
            <w:pPr>
              <w:pStyle w:val="TableTextLeft"/>
              <w:cnfStyle w:val="000000100000" w:firstRow="0" w:lastRow="0" w:firstColumn="0" w:lastColumn="0" w:oddVBand="0" w:evenVBand="0" w:oddHBand="1" w:evenHBand="0" w:firstRowFirstColumn="0" w:firstRowLastColumn="0" w:lastRowFirstColumn="0" w:lastRowLastColumn="0"/>
            </w:pPr>
            <w:r w:rsidRPr="009E7CA0">
              <w:t xml:space="preserve">Removed as it is unclear which quarter the requirements will commence </w:t>
            </w:r>
          </w:p>
        </w:tc>
      </w:tr>
      <w:tr w:rsidR="00081F57" w:rsidRPr="009E7CA0" w14:paraId="0C42DDC1" w14:textId="77777777" w:rsidTr="00D037A3">
        <w:trPr>
          <w:trHeight w:val="410"/>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1E6B3946" w14:textId="0B274087" w:rsidR="00081F57" w:rsidRPr="009E7CA0" w:rsidRDefault="00081F57" w:rsidP="00D037A3">
            <w:pPr>
              <w:pStyle w:val="TableTextLeft"/>
              <w:rPr>
                <w:b w:val="0"/>
                <w:bCs w:val="0"/>
              </w:rPr>
            </w:pPr>
            <w:r w:rsidRPr="009E7CA0">
              <w:rPr>
                <w:rFonts w:eastAsia="Calibri Light"/>
                <w:b w:val="0"/>
                <w:bCs w:val="0"/>
              </w:rPr>
              <w:t>Cash acceptance mandate</w:t>
            </w:r>
          </w:p>
        </w:tc>
        <w:tc>
          <w:tcPr>
            <w:tcW w:w="3260" w:type="dxa"/>
            <w:vAlign w:val="center"/>
          </w:tcPr>
          <w:p w14:paraId="12810441" w14:textId="1E0A5934" w:rsidR="00081F57" w:rsidRPr="009E7CA0" w:rsidRDefault="00AB1D6C" w:rsidP="00A56651">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Included ACCC as </w:t>
            </w:r>
            <w:r w:rsidR="00A76E60" w:rsidRPr="009E7CA0">
              <w:t>a</w:t>
            </w:r>
            <w:r w:rsidRPr="009E7CA0">
              <w:t xml:space="preserve"> supporting agency</w:t>
            </w:r>
          </w:p>
        </w:tc>
        <w:tc>
          <w:tcPr>
            <w:tcW w:w="3512" w:type="dxa"/>
            <w:vAlign w:val="center"/>
          </w:tcPr>
          <w:p w14:paraId="7A8CF293" w14:textId="16860DB0" w:rsidR="00081F57" w:rsidRPr="009E7CA0" w:rsidRDefault="00AB1D6C" w:rsidP="00A56651">
            <w:pPr>
              <w:pStyle w:val="TableTextLeft"/>
              <w:cnfStyle w:val="000000000000" w:firstRow="0" w:lastRow="0" w:firstColumn="0" w:lastColumn="0" w:oddVBand="0" w:evenVBand="0" w:oddHBand="0" w:evenHBand="0" w:firstRowFirstColumn="0" w:firstRowLastColumn="0" w:lastRowFirstColumn="0" w:lastRowLastColumn="0"/>
            </w:pPr>
            <w:r w:rsidRPr="009E7CA0">
              <w:t>ACCC</w:t>
            </w:r>
            <w:r w:rsidR="00F52C79" w:rsidRPr="009E7CA0">
              <w:t xml:space="preserve"> are responsible for enforcing the cash acceptance mandate</w:t>
            </w:r>
          </w:p>
        </w:tc>
      </w:tr>
      <w:tr w:rsidR="00C8467D" w:rsidRPr="009E7CA0" w14:paraId="182D43F5" w14:textId="77777777" w:rsidTr="00D037A3">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4F36A278" w14:textId="462F2CA1" w:rsidR="00C8467D" w:rsidRPr="009E7CA0" w:rsidRDefault="00C8467D" w:rsidP="00D037A3">
            <w:pPr>
              <w:pStyle w:val="TableTextLeft"/>
              <w:rPr>
                <w:rStyle w:val="Hyperlink"/>
                <w:b w:val="0"/>
                <w:bCs w:val="0"/>
                <w:color w:val="000000"/>
              </w:rPr>
            </w:pPr>
            <w:r w:rsidRPr="009E7CA0">
              <w:rPr>
                <w:rStyle w:val="Hyperlink"/>
                <w:rFonts w:eastAsia="Calibri Light"/>
                <w:b w:val="0"/>
                <w:bCs w:val="0"/>
                <w:color w:val="000000"/>
              </w:rPr>
              <w:t>Anti</w:t>
            </w:r>
            <w:r w:rsidR="00591D4E" w:rsidRPr="009E7CA0">
              <w:rPr>
                <w:rStyle w:val="Hyperlink"/>
                <w:rFonts w:eastAsia="Calibri Light"/>
                <w:b w:val="0"/>
                <w:bCs w:val="0"/>
                <w:color w:val="000000"/>
              </w:rPr>
              <w:t xml:space="preserve"> – </w:t>
            </w:r>
            <w:r w:rsidRPr="009E7CA0">
              <w:rPr>
                <w:rStyle w:val="Hyperlink"/>
                <w:rFonts w:eastAsia="Calibri Light"/>
                <w:b w:val="0"/>
                <w:bCs w:val="0"/>
                <w:color w:val="000000"/>
              </w:rPr>
              <w:t>Money</w:t>
            </w:r>
            <w:r w:rsidR="00591D4E" w:rsidRPr="009E7CA0">
              <w:rPr>
                <w:rStyle w:val="Hyperlink"/>
                <w:rFonts w:eastAsia="Calibri Light"/>
                <w:b w:val="0"/>
                <w:bCs w:val="0"/>
                <w:color w:val="000000"/>
              </w:rPr>
              <w:t xml:space="preserve"> </w:t>
            </w:r>
            <w:r w:rsidRPr="009E7CA0">
              <w:rPr>
                <w:rStyle w:val="Hyperlink"/>
                <w:rFonts w:eastAsia="Calibri Light"/>
                <w:b w:val="0"/>
                <w:bCs w:val="0"/>
                <w:color w:val="000000"/>
              </w:rPr>
              <w:t>Laundering and</w:t>
            </w:r>
            <w:r w:rsidR="00591D4E" w:rsidRPr="009E7CA0">
              <w:rPr>
                <w:rStyle w:val="Hyperlink"/>
                <w:rFonts w:eastAsia="Calibri Light"/>
                <w:b w:val="0"/>
                <w:bCs w:val="0"/>
                <w:color w:val="000000"/>
              </w:rPr>
              <w:t xml:space="preserve"> </w:t>
            </w:r>
            <w:r w:rsidRPr="009E7CA0">
              <w:rPr>
                <w:rStyle w:val="Hyperlink"/>
                <w:rFonts w:eastAsia="Calibri Light"/>
                <w:b w:val="0"/>
                <w:bCs w:val="0"/>
                <w:color w:val="000000"/>
              </w:rPr>
              <w:t>Counter-Terrorism</w:t>
            </w:r>
            <w:r w:rsidR="00591D4E" w:rsidRPr="009E7CA0">
              <w:rPr>
                <w:rStyle w:val="Hyperlink"/>
                <w:rFonts w:eastAsia="Calibri Light"/>
                <w:b w:val="0"/>
                <w:bCs w:val="0"/>
                <w:color w:val="000000"/>
              </w:rPr>
              <w:t xml:space="preserve"> </w:t>
            </w:r>
            <w:r w:rsidR="008A05C7" w:rsidRPr="009E7CA0">
              <w:rPr>
                <w:rStyle w:val="Hyperlink"/>
                <w:rFonts w:eastAsia="Calibri Light"/>
                <w:b w:val="0"/>
                <w:bCs w:val="0"/>
                <w:color w:val="000000"/>
              </w:rPr>
              <w:t>initiatives</w:t>
            </w:r>
          </w:p>
        </w:tc>
        <w:tc>
          <w:tcPr>
            <w:tcW w:w="3260" w:type="dxa"/>
            <w:vAlign w:val="center"/>
          </w:tcPr>
          <w:p w14:paraId="7E03A491" w14:textId="6AC634F5" w:rsidR="00C8467D" w:rsidRPr="009E7CA0" w:rsidRDefault="00B94750" w:rsidP="00A56651">
            <w:pPr>
              <w:pStyle w:val="TableTextLeft"/>
              <w:cnfStyle w:val="000000100000" w:firstRow="0" w:lastRow="0" w:firstColumn="0" w:lastColumn="0" w:oddVBand="0" w:evenVBand="0" w:oddHBand="1" w:evenHBand="0" w:firstRowFirstColumn="0" w:firstRowLastColumn="0" w:lastRowFirstColumn="0" w:lastRowLastColumn="0"/>
            </w:pPr>
            <w:r w:rsidRPr="009E7CA0">
              <w:t xml:space="preserve">Initiative name changes </w:t>
            </w:r>
          </w:p>
        </w:tc>
        <w:tc>
          <w:tcPr>
            <w:tcW w:w="3512" w:type="dxa"/>
            <w:vAlign w:val="center"/>
          </w:tcPr>
          <w:p w14:paraId="6CCD39BF" w14:textId="000BF12E" w:rsidR="00C8467D" w:rsidRPr="009E7CA0" w:rsidRDefault="00727538" w:rsidP="00A56651">
            <w:pPr>
              <w:pStyle w:val="TableTextLeft"/>
              <w:cnfStyle w:val="000000100000" w:firstRow="0" w:lastRow="0" w:firstColumn="0" w:lastColumn="0" w:oddVBand="0" w:evenVBand="0" w:oddHBand="1" w:evenHBand="0" w:firstRowFirstColumn="0" w:firstRowLastColumn="0" w:lastRowFirstColumn="0" w:lastRowLastColumn="0"/>
            </w:pPr>
            <w:r w:rsidRPr="009E7CA0">
              <w:t>All</w:t>
            </w:r>
            <w:r w:rsidR="00D54E9C" w:rsidRPr="009E7CA0">
              <w:t xml:space="preserve"> Anti-Money Laundering and </w:t>
            </w:r>
            <w:r w:rsidR="00EB52CC" w:rsidRPr="009E7CA0">
              <w:t>Counter</w:t>
            </w:r>
            <w:r w:rsidR="00D54E9C" w:rsidRPr="009E7CA0">
              <w:t xml:space="preserve">-Terrorism </w:t>
            </w:r>
            <w:r w:rsidR="00EB52CC" w:rsidRPr="009E7CA0">
              <w:t xml:space="preserve">initiatives </w:t>
            </w:r>
            <w:r w:rsidRPr="009E7CA0">
              <w:t xml:space="preserve">begin with ‘the’ </w:t>
            </w:r>
            <w:r w:rsidR="00EB52CC" w:rsidRPr="009E7CA0">
              <w:t>to</w:t>
            </w:r>
            <w:r w:rsidR="0076278F" w:rsidRPr="009E7CA0">
              <w:t xml:space="preserve"> ensure initiatives are grouped </w:t>
            </w:r>
            <w:r w:rsidR="00EB52CC" w:rsidRPr="009E7CA0">
              <w:t>together</w:t>
            </w:r>
          </w:p>
        </w:tc>
      </w:tr>
      <w:tr w:rsidR="0B9C6121" w:rsidRPr="009E7CA0" w14:paraId="62248276" w14:textId="77777777" w:rsidTr="00D037A3">
        <w:trPr>
          <w:trHeight w:val="410"/>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3A18CDBB" w14:textId="024C7FB6" w:rsidR="0B9C6121" w:rsidRPr="009E7CA0" w:rsidRDefault="00FB1F5E" w:rsidP="00A56651">
            <w:pPr>
              <w:pStyle w:val="TableTextLeft"/>
              <w:rPr>
                <w:rStyle w:val="Hyperlink"/>
                <w:rFonts w:asciiTheme="minorHAnsi" w:eastAsia="Calibri Light" w:hAnsiTheme="minorHAnsi" w:cstheme="minorHAnsi"/>
                <w:b w:val="0"/>
                <w:color w:val="5D779D" w:themeColor="accent3"/>
                <w:sz w:val="16"/>
                <w:szCs w:val="16"/>
              </w:rPr>
            </w:pPr>
            <w:hyperlink r:id="rId115" w:history="1">
              <w:r w:rsidRPr="000625FA">
                <w:rPr>
                  <w:rStyle w:val="Hyperlink"/>
                  <w:rFonts w:asciiTheme="minorHAnsi" w:hAnsiTheme="minorHAnsi" w:cstheme="minorHAnsi"/>
                  <w:b w:val="0"/>
                  <w:bCs w:val="0"/>
                  <w:color w:val="2E3B4E" w:themeColor="accent3" w:themeShade="80"/>
                  <w:szCs w:val="16"/>
                </w:rPr>
                <w:t>Enhanced beneficial ownership disclosure for listed entities</w:t>
              </w:r>
            </w:hyperlink>
            <w:r w:rsidRPr="000625FA">
              <w:rPr>
                <w:rStyle w:val="Hyperlink"/>
                <w:rFonts w:asciiTheme="minorHAnsi" w:hAnsiTheme="minorHAnsi" w:cstheme="minorHAnsi"/>
                <w:b w:val="0"/>
                <w:color w:val="2E3B4E" w:themeColor="accent3" w:themeShade="80"/>
                <w:sz w:val="16"/>
                <w:szCs w:val="16"/>
              </w:rPr>
              <w:t xml:space="preserve"> </w:t>
            </w:r>
          </w:p>
        </w:tc>
        <w:tc>
          <w:tcPr>
            <w:tcW w:w="3260" w:type="dxa"/>
            <w:vAlign w:val="center"/>
          </w:tcPr>
          <w:p w14:paraId="3199BC40" w14:textId="505CB73F" w:rsidR="0B9C6121" w:rsidRPr="009E7CA0" w:rsidRDefault="00FB1F5E" w:rsidP="00A56651">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Initiative moved from </w:t>
            </w:r>
            <w:r w:rsidR="6263994D" w:rsidRPr="009E7CA0">
              <w:t>"Development of legislation, regulations and instruments”</w:t>
            </w:r>
            <w:r w:rsidR="00B36168" w:rsidRPr="009E7CA0">
              <w:t xml:space="preserve"> to </w:t>
            </w:r>
            <w:r w:rsidR="41FB1247" w:rsidRPr="009E7CA0">
              <w:t>“O</w:t>
            </w:r>
            <w:r w:rsidR="00B36168" w:rsidRPr="009E7CA0">
              <w:t xml:space="preserve">ngoing program </w:t>
            </w:r>
            <w:r w:rsidR="004A5354" w:rsidRPr="009E7CA0">
              <w:t>implementation</w:t>
            </w:r>
            <w:r w:rsidR="09BCB56B" w:rsidRPr="009E7CA0">
              <w:t>”</w:t>
            </w:r>
          </w:p>
        </w:tc>
        <w:tc>
          <w:tcPr>
            <w:tcW w:w="3512" w:type="dxa"/>
            <w:vAlign w:val="center"/>
          </w:tcPr>
          <w:p w14:paraId="06EB660B" w14:textId="21FF83ED" w:rsidR="0B9C6121" w:rsidRPr="009E7CA0" w:rsidRDefault="009A68C2" w:rsidP="00A56651">
            <w:pPr>
              <w:pStyle w:val="TableTextLeft"/>
              <w:cnfStyle w:val="000000000000" w:firstRow="0" w:lastRow="0" w:firstColumn="0" w:lastColumn="0" w:oddVBand="0" w:evenVBand="0" w:oddHBand="0" w:evenHBand="0" w:firstRowFirstColumn="0" w:firstRowLastColumn="0" w:lastRowFirstColumn="0" w:lastRowLastColumn="0"/>
            </w:pPr>
            <w:r w:rsidRPr="009E7CA0">
              <w:t>To reflect that it has moved to program implementation following the introduction of the legislation.</w:t>
            </w:r>
          </w:p>
        </w:tc>
      </w:tr>
      <w:tr w:rsidR="0050786E" w:rsidRPr="009E7CA0" w14:paraId="44040B24" w14:textId="61041F4F" w:rsidTr="00026FA1">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59C3A391" w14:textId="45D214C6" w:rsidR="0050786E" w:rsidRPr="009E7CA0" w:rsidRDefault="0050786E" w:rsidP="00D037A3">
            <w:pPr>
              <w:pStyle w:val="TableTextLeft"/>
            </w:pPr>
            <w:r w:rsidRPr="009E7CA0">
              <w:rPr>
                <w:b w:val="0"/>
                <w:bCs w:val="0"/>
              </w:rPr>
              <w:t>Reforms to the Payment Systems (Regulation) Act 1998</w:t>
            </w:r>
          </w:p>
        </w:tc>
        <w:tc>
          <w:tcPr>
            <w:tcW w:w="3260" w:type="dxa"/>
            <w:vAlign w:val="center"/>
          </w:tcPr>
          <w:p w14:paraId="267D5195" w14:textId="2C382152" w:rsidR="0050786E" w:rsidRPr="009E7CA0" w:rsidRDefault="0050786E" w:rsidP="00A56651">
            <w:pPr>
              <w:pStyle w:val="TableTextLeft"/>
              <w:cnfStyle w:val="000000100000" w:firstRow="0" w:lastRow="0" w:firstColumn="0" w:lastColumn="0" w:oddVBand="0" w:evenVBand="0" w:oddHBand="1" w:evenHBand="0" w:firstRowFirstColumn="0" w:firstRowLastColumn="0" w:lastRowFirstColumn="0" w:lastRowLastColumn="0"/>
            </w:pPr>
            <w:r w:rsidRPr="009E7CA0">
              <w:t>Initiative removed</w:t>
            </w:r>
          </w:p>
        </w:tc>
        <w:tc>
          <w:tcPr>
            <w:tcW w:w="3512" w:type="dxa"/>
            <w:vAlign w:val="center"/>
          </w:tcPr>
          <w:p w14:paraId="004D2403" w14:textId="20275DF9" w:rsidR="0050786E" w:rsidRPr="009E7CA0" w:rsidRDefault="0050786E" w:rsidP="00A56651">
            <w:pPr>
              <w:pStyle w:val="TableTextLeft"/>
              <w:cnfStyle w:val="000000100000" w:firstRow="0" w:lastRow="0" w:firstColumn="0" w:lastColumn="0" w:oddVBand="0" w:evenVBand="0" w:oddHBand="1" w:evenHBand="0" w:firstRowFirstColumn="0" w:firstRowLastColumn="0" w:lastRowFirstColumn="0" w:lastRowLastColumn="0"/>
            </w:pPr>
            <w:r w:rsidRPr="009E7CA0">
              <w:t>Initiative completed</w:t>
            </w:r>
          </w:p>
        </w:tc>
      </w:tr>
      <w:tr w:rsidR="5FD21BFF" w:rsidRPr="009E7CA0" w14:paraId="3526AF88" w14:textId="77777777" w:rsidTr="00D037A3">
        <w:trPr>
          <w:trHeight w:val="410"/>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622C4B36" w14:textId="699E2388" w:rsidR="5FD21BFF" w:rsidRPr="009E7CA0" w:rsidRDefault="00D00185" w:rsidP="00A56651">
            <w:pPr>
              <w:pStyle w:val="TableTextLeft"/>
              <w:rPr>
                <w:b w:val="0"/>
                <w:bCs w:val="0"/>
              </w:rPr>
            </w:pPr>
            <w:hyperlink r:id="rId116" w:tgtFrame="_blank" w:history="1">
              <w:r w:rsidRPr="000625FA">
                <w:rPr>
                  <w:rStyle w:val="Hyperlink"/>
                  <w:rFonts w:asciiTheme="minorHAnsi" w:hAnsiTheme="minorHAnsi" w:cstheme="minorHAnsi"/>
                  <w:b w:val="0"/>
                  <w:bCs w:val="0"/>
                  <w:color w:val="2E3B4E" w:themeColor="accent3" w:themeShade="80"/>
                  <w:szCs w:val="16"/>
                </w:rPr>
                <w:t>Better targeted superannuation concessions</w:t>
              </w:r>
            </w:hyperlink>
            <w:r w:rsidRPr="000625FA">
              <w:rPr>
                <w:rStyle w:val="Hyperlink"/>
                <w:rFonts w:asciiTheme="minorHAnsi" w:hAnsiTheme="minorHAnsi" w:cstheme="minorHAnsi"/>
                <w:b w:val="0"/>
                <w:bCs w:val="0"/>
                <w:color w:val="2E3B4E" w:themeColor="accent3" w:themeShade="80"/>
                <w:szCs w:val="16"/>
              </w:rPr>
              <w:t> (Division 296 tax)</w:t>
            </w:r>
          </w:p>
        </w:tc>
        <w:tc>
          <w:tcPr>
            <w:tcW w:w="3260" w:type="dxa"/>
            <w:vAlign w:val="center"/>
          </w:tcPr>
          <w:p w14:paraId="53122213" w14:textId="0E62D07E" w:rsidR="5FD21BFF" w:rsidRPr="009E7CA0" w:rsidRDefault="0535CAF5" w:rsidP="00A56651">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Name change </w:t>
            </w:r>
            <w:r w:rsidR="00D00185" w:rsidRPr="009E7CA0">
              <w:t>to include “(Division</w:t>
            </w:r>
            <w:r w:rsidR="00810A89" w:rsidRPr="009E7CA0">
              <w:t> </w:t>
            </w:r>
            <w:r w:rsidR="00D00185" w:rsidRPr="009E7CA0">
              <w:t>296</w:t>
            </w:r>
            <w:r w:rsidR="00810A89" w:rsidRPr="009E7CA0">
              <w:t> </w:t>
            </w:r>
            <w:r w:rsidR="00D00185" w:rsidRPr="009E7CA0">
              <w:t xml:space="preserve">tax)” </w:t>
            </w:r>
          </w:p>
        </w:tc>
        <w:tc>
          <w:tcPr>
            <w:tcW w:w="3512" w:type="dxa"/>
            <w:vAlign w:val="center"/>
          </w:tcPr>
          <w:p w14:paraId="72C3D227" w14:textId="3ADA5A3E" w:rsidR="5FD21BFF" w:rsidRPr="009E7CA0" w:rsidRDefault="009157CD" w:rsidP="00A56651">
            <w:pPr>
              <w:pStyle w:val="TableTextLeft"/>
              <w:cnfStyle w:val="000000000000" w:firstRow="0" w:lastRow="0" w:firstColumn="0" w:lastColumn="0" w:oddVBand="0" w:evenVBand="0" w:oddHBand="0" w:evenHBand="0" w:firstRowFirstColumn="0" w:firstRowLastColumn="0" w:lastRowFirstColumn="0" w:lastRowLastColumn="0"/>
            </w:pPr>
            <w:r w:rsidRPr="009E7CA0">
              <w:t>Change to reflect updated initiative</w:t>
            </w:r>
          </w:p>
        </w:tc>
      </w:tr>
      <w:tr w:rsidR="00B249FE" w:rsidRPr="009E7CA0" w14:paraId="5DBF7ACA" w14:textId="77777777" w:rsidTr="00D037A3">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3B2E49AB" w14:textId="3D68EE66" w:rsidR="00B249FE" w:rsidRPr="000625FA" w:rsidRDefault="00B249FE" w:rsidP="00A56651">
            <w:pPr>
              <w:pStyle w:val="TableTextLeft"/>
              <w:rPr>
                <w:b w:val="0"/>
                <w:bCs w:val="0"/>
                <w:color w:val="2E3B4E" w:themeColor="accent3" w:themeShade="80"/>
              </w:rPr>
            </w:pPr>
            <w:hyperlink r:id="rId117" w:tgtFrame="_blank" w:history="1">
              <w:r w:rsidRPr="000625FA">
                <w:rPr>
                  <w:rStyle w:val="Hyperlink"/>
                  <w:rFonts w:asciiTheme="minorHAnsi" w:hAnsiTheme="minorHAnsi" w:cstheme="minorHAnsi"/>
                  <w:b w:val="0"/>
                  <w:bCs w:val="0"/>
                  <w:color w:val="2E3B4E" w:themeColor="accent3" w:themeShade="80"/>
                  <w:szCs w:val="16"/>
                </w:rPr>
                <w:t>Climate-related financial disclosures</w:t>
              </w:r>
            </w:hyperlink>
          </w:p>
        </w:tc>
        <w:tc>
          <w:tcPr>
            <w:tcW w:w="3260" w:type="dxa"/>
            <w:vAlign w:val="center"/>
          </w:tcPr>
          <w:p w14:paraId="79CCF391" w14:textId="2B425F95" w:rsidR="00B249FE" w:rsidRPr="009E7CA0" w:rsidRDefault="00981754" w:rsidP="00A56651">
            <w:pPr>
              <w:pStyle w:val="TableTextLeft"/>
              <w:cnfStyle w:val="000000100000" w:firstRow="0" w:lastRow="0" w:firstColumn="0" w:lastColumn="0" w:oddVBand="0" w:evenVBand="0" w:oddHBand="1" w:evenHBand="0" w:firstRowFirstColumn="0" w:firstRowLastColumn="0" w:lastRowFirstColumn="0" w:lastRowLastColumn="0"/>
            </w:pPr>
            <w:r w:rsidRPr="009E7CA0">
              <w:t>Q2-</w:t>
            </w:r>
            <w:r w:rsidR="00F674EE" w:rsidRPr="009E7CA0">
              <w:t>3 2027 milestone changed to H2 2027</w:t>
            </w:r>
          </w:p>
        </w:tc>
        <w:tc>
          <w:tcPr>
            <w:tcW w:w="3512" w:type="dxa"/>
            <w:vAlign w:val="center"/>
          </w:tcPr>
          <w:p w14:paraId="46A908B2" w14:textId="4C99AC69" w:rsidR="00B249FE" w:rsidRPr="009E7CA0" w:rsidRDefault="00FA54DD" w:rsidP="00A56651">
            <w:pPr>
              <w:pStyle w:val="TableTextLeft"/>
              <w:cnfStyle w:val="000000100000" w:firstRow="0" w:lastRow="0" w:firstColumn="0" w:lastColumn="0" w:oddVBand="0" w:evenVBand="0" w:oddHBand="1" w:evenHBand="0" w:firstRowFirstColumn="0" w:firstRowLastColumn="0" w:lastRowFirstColumn="0" w:lastRowLastColumn="0"/>
            </w:pPr>
            <w:r w:rsidRPr="009E7CA0">
              <w:t>Commencement date provided</w:t>
            </w:r>
          </w:p>
        </w:tc>
      </w:tr>
      <w:tr w:rsidR="002543F4" w:rsidRPr="009E7CA0" w14:paraId="5B867591" w14:textId="77777777" w:rsidTr="00D037A3">
        <w:trPr>
          <w:trHeight w:val="410"/>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5A08B552" w14:textId="2C59ABB9" w:rsidR="002543F4" w:rsidRPr="000625FA" w:rsidRDefault="00123ACF" w:rsidP="00A56651">
            <w:pPr>
              <w:pStyle w:val="TableTextLeft"/>
              <w:rPr>
                <w:b w:val="0"/>
                <w:bCs w:val="0"/>
                <w:color w:val="2E3B4E" w:themeColor="accent3" w:themeShade="80"/>
              </w:rPr>
            </w:pPr>
            <w:hyperlink r:id="rId118" w:history="1">
              <w:r w:rsidRPr="000625FA">
                <w:rPr>
                  <w:rStyle w:val="Hyperlink"/>
                  <w:rFonts w:asciiTheme="minorHAnsi" w:hAnsiTheme="minorHAnsi" w:cstheme="minorHAnsi"/>
                  <w:b w:val="0"/>
                  <w:bCs w:val="0"/>
                  <w:color w:val="2E3B4E" w:themeColor="accent3" w:themeShade="80"/>
                  <w:szCs w:val="16"/>
                </w:rPr>
                <w:t>Compensation Scheme of Last Resort (CS</w:t>
              </w:r>
              <w:r w:rsidR="00D44A58" w:rsidRPr="000625FA">
                <w:rPr>
                  <w:rStyle w:val="Hyperlink"/>
                  <w:rFonts w:asciiTheme="minorHAnsi" w:hAnsiTheme="minorHAnsi" w:cstheme="minorHAnsi"/>
                  <w:b w:val="0"/>
                  <w:bCs w:val="0"/>
                  <w:color w:val="2E3B4E" w:themeColor="accent3" w:themeShade="80"/>
                  <w:szCs w:val="16"/>
                </w:rPr>
                <w:t>L</w:t>
              </w:r>
              <w:r w:rsidRPr="000625FA">
                <w:rPr>
                  <w:rStyle w:val="Hyperlink"/>
                  <w:rFonts w:asciiTheme="minorHAnsi" w:hAnsiTheme="minorHAnsi" w:cstheme="minorHAnsi"/>
                  <w:b w:val="0"/>
                  <w:bCs w:val="0"/>
                  <w:color w:val="2E3B4E" w:themeColor="accent3" w:themeShade="80"/>
                  <w:szCs w:val="16"/>
                </w:rPr>
                <w:t xml:space="preserve">R) </w:t>
              </w:r>
              <w:r w:rsidR="00474EFD" w:rsidRPr="000625FA">
                <w:rPr>
                  <w:rStyle w:val="Hyperlink"/>
                  <w:rFonts w:asciiTheme="minorHAnsi" w:hAnsiTheme="minorHAnsi" w:cstheme="minorHAnsi"/>
                  <w:b w:val="0"/>
                  <w:bCs w:val="0"/>
                  <w:color w:val="2E3B4E" w:themeColor="accent3" w:themeShade="80"/>
                  <w:szCs w:val="16"/>
                </w:rPr>
                <w:t>–</w:t>
              </w:r>
              <w:r w:rsidRPr="000625FA">
                <w:rPr>
                  <w:rStyle w:val="Hyperlink"/>
                  <w:rFonts w:asciiTheme="minorHAnsi" w:hAnsiTheme="minorHAnsi" w:cstheme="minorHAnsi"/>
                  <w:b w:val="0"/>
                  <w:bCs w:val="0"/>
                  <w:color w:val="2E3B4E" w:themeColor="accent3" w:themeShade="80"/>
                  <w:szCs w:val="16"/>
                </w:rPr>
                <w:t xml:space="preserve"> </w:t>
              </w:r>
              <w:r w:rsidR="00474EFD" w:rsidRPr="000625FA">
                <w:rPr>
                  <w:rStyle w:val="Hyperlink"/>
                  <w:rFonts w:asciiTheme="minorHAnsi" w:hAnsiTheme="minorHAnsi" w:cstheme="minorHAnsi"/>
                  <w:b w:val="0"/>
                  <w:bCs w:val="0"/>
                  <w:color w:val="2E3B4E" w:themeColor="accent3" w:themeShade="80"/>
                  <w:szCs w:val="16"/>
                </w:rPr>
                <w:t>exceeding the sub-sector levy cap</w:t>
              </w:r>
            </w:hyperlink>
          </w:p>
        </w:tc>
        <w:tc>
          <w:tcPr>
            <w:tcW w:w="3260" w:type="dxa"/>
            <w:vAlign w:val="center"/>
          </w:tcPr>
          <w:p w14:paraId="1B20EBF9" w14:textId="204C7098" w:rsidR="002543F4" w:rsidRPr="009E7CA0" w:rsidRDefault="002B0AC7" w:rsidP="00A56651">
            <w:pPr>
              <w:pStyle w:val="TableTextLeft"/>
              <w:cnfStyle w:val="000000000000" w:firstRow="0" w:lastRow="0" w:firstColumn="0" w:lastColumn="0" w:oddVBand="0" w:evenVBand="0" w:oddHBand="0" w:evenHBand="0" w:firstRowFirstColumn="0" w:firstRowLastColumn="0" w:lastRowFirstColumn="0" w:lastRowLastColumn="0"/>
            </w:pPr>
            <w:r w:rsidRPr="009E7CA0">
              <w:t>Initiative removed</w:t>
            </w:r>
          </w:p>
        </w:tc>
        <w:tc>
          <w:tcPr>
            <w:tcW w:w="3512" w:type="dxa"/>
            <w:vAlign w:val="center"/>
          </w:tcPr>
          <w:p w14:paraId="5909797C" w14:textId="3F3100FD" w:rsidR="002543F4" w:rsidRPr="009E7CA0" w:rsidRDefault="00105306" w:rsidP="00A56651">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Initiative </w:t>
            </w:r>
            <w:r w:rsidR="002633C4" w:rsidRPr="009E7CA0">
              <w:t xml:space="preserve">completed </w:t>
            </w:r>
          </w:p>
        </w:tc>
      </w:tr>
      <w:tr w:rsidR="00CA49BA" w:rsidRPr="009E7CA0" w14:paraId="75B588D9" w14:textId="77777777" w:rsidTr="00D037A3">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43E05355" w14:textId="78CAF202" w:rsidR="00CA49BA" w:rsidRPr="009E7CA0" w:rsidRDefault="00CA49BA" w:rsidP="00A56651">
            <w:pPr>
              <w:pStyle w:val="TableTextLeft"/>
              <w:rPr>
                <w:b w:val="0"/>
                <w:bCs w:val="0"/>
              </w:rPr>
            </w:pPr>
            <w:r w:rsidRPr="009E7CA0">
              <w:rPr>
                <w:b w:val="0"/>
                <w:bCs w:val="0"/>
              </w:rPr>
              <w:t>Consumer</w:t>
            </w:r>
            <w:r w:rsidR="00774DB7" w:rsidRPr="009E7CA0">
              <w:rPr>
                <w:b w:val="0"/>
                <w:bCs w:val="0"/>
              </w:rPr>
              <w:t xml:space="preserve"> Data Right (CDR) Rules (Consent</w:t>
            </w:r>
            <w:r w:rsidR="00955048" w:rsidRPr="009E7CA0">
              <w:rPr>
                <w:b w:val="0"/>
                <w:bCs w:val="0"/>
              </w:rPr>
              <w:t xml:space="preserve"> amendments and operational enhancements) </w:t>
            </w:r>
          </w:p>
        </w:tc>
        <w:tc>
          <w:tcPr>
            <w:tcW w:w="3260" w:type="dxa"/>
            <w:vAlign w:val="center"/>
          </w:tcPr>
          <w:p w14:paraId="0FE9C9B6" w14:textId="416539A5" w:rsidR="00CA49BA" w:rsidRPr="009E7CA0" w:rsidRDefault="00955048" w:rsidP="00A56651">
            <w:pPr>
              <w:pStyle w:val="TableTextLeft"/>
              <w:cnfStyle w:val="000000100000" w:firstRow="0" w:lastRow="0" w:firstColumn="0" w:lastColumn="0" w:oddVBand="0" w:evenVBand="0" w:oddHBand="1" w:evenHBand="0" w:firstRowFirstColumn="0" w:firstRowLastColumn="0" w:lastRowFirstColumn="0" w:lastRowLastColumn="0"/>
            </w:pPr>
            <w:r w:rsidRPr="009E7CA0">
              <w:t>Initiative removed</w:t>
            </w:r>
          </w:p>
        </w:tc>
        <w:tc>
          <w:tcPr>
            <w:tcW w:w="3512" w:type="dxa"/>
            <w:vAlign w:val="center"/>
          </w:tcPr>
          <w:p w14:paraId="16EBF8D4" w14:textId="0B37D4E0" w:rsidR="00CA49BA" w:rsidRPr="009E7CA0" w:rsidRDefault="00226EBE" w:rsidP="00A56651">
            <w:pPr>
              <w:pStyle w:val="TableTextLeft"/>
              <w:cnfStyle w:val="000000100000" w:firstRow="0" w:lastRow="0" w:firstColumn="0" w:lastColumn="0" w:oddVBand="0" w:evenVBand="0" w:oddHBand="1" w:evenHBand="0" w:firstRowFirstColumn="0" w:firstRowLastColumn="0" w:lastRowFirstColumn="0" w:lastRowLastColumn="0"/>
            </w:pPr>
            <w:r w:rsidRPr="009E7CA0">
              <w:t>Initiative completed</w:t>
            </w:r>
          </w:p>
        </w:tc>
      </w:tr>
      <w:tr w:rsidR="00EE6326" w:rsidRPr="009E7CA0" w14:paraId="3FBBFE06" w14:textId="77777777" w:rsidTr="00D037A3">
        <w:trPr>
          <w:trHeight w:val="410"/>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5B5A94E5" w14:textId="4FF05A46" w:rsidR="00EE6326" w:rsidRPr="009E7CA0" w:rsidRDefault="00EE6326" w:rsidP="00A56651">
            <w:pPr>
              <w:pStyle w:val="TableTextLeft"/>
              <w:rPr>
                <w:b w:val="0"/>
                <w:bCs w:val="0"/>
              </w:rPr>
            </w:pPr>
            <w:r w:rsidRPr="009E7CA0">
              <w:rPr>
                <w:b w:val="0"/>
                <w:bCs w:val="0"/>
              </w:rPr>
              <w:t>Prominent Payment Systems (PPS) oversight regime</w:t>
            </w:r>
          </w:p>
        </w:tc>
        <w:tc>
          <w:tcPr>
            <w:tcW w:w="3260" w:type="dxa"/>
            <w:vAlign w:val="center"/>
          </w:tcPr>
          <w:p w14:paraId="3D0F00F0" w14:textId="4F7230C0" w:rsidR="00EE6326" w:rsidRPr="009E7CA0" w:rsidRDefault="00583A96" w:rsidP="00A56651">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Q1 2027 </w:t>
            </w:r>
            <w:r w:rsidR="00D86737" w:rsidRPr="009E7CA0">
              <w:t>m</w:t>
            </w:r>
            <w:r w:rsidRPr="009E7CA0">
              <w:t>ilestone removed</w:t>
            </w:r>
          </w:p>
        </w:tc>
        <w:tc>
          <w:tcPr>
            <w:tcW w:w="3512" w:type="dxa"/>
            <w:vAlign w:val="center"/>
          </w:tcPr>
          <w:p w14:paraId="03A3D8AC" w14:textId="064AD8B9" w:rsidR="00EE6326" w:rsidRPr="009E7CA0" w:rsidRDefault="004920F6" w:rsidP="00A56651">
            <w:pPr>
              <w:pStyle w:val="TableTextLeft"/>
              <w:cnfStyle w:val="000000000000" w:firstRow="0" w:lastRow="0" w:firstColumn="0" w:lastColumn="0" w:oddVBand="0" w:evenVBand="0" w:oddHBand="0" w:evenHBand="0" w:firstRowFirstColumn="0" w:firstRowLastColumn="0" w:lastRowFirstColumn="0" w:lastRowLastColumn="0"/>
            </w:pPr>
            <w:r w:rsidRPr="009E7CA0">
              <w:t>Planned program activities being reviewed</w:t>
            </w:r>
          </w:p>
        </w:tc>
      </w:tr>
      <w:tr w:rsidR="00E305C0" w:rsidRPr="009E7CA0" w14:paraId="49A2FB40" w14:textId="77777777" w:rsidTr="00D037A3">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50F316C0" w14:textId="45B90E5A" w:rsidR="00E305C0" w:rsidRPr="009E7CA0" w:rsidRDefault="00D33895" w:rsidP="00A56651">
            <w:pPr>
              <w:pStyle w:val="TableTextLeft"/>
              <w:rPr>
                <w:b w:val="0"/>
                <w:bCs w:val="0"/>
              </w:rPr>
            </w:pPr>
            <w:r w:rsidRPr="009E7CA0">
              <w:rPr>
                <w:b w:val="0"/>
                <w:bCs w:val="0"/>
              </w:rPr>
              <w:t>Administration of penalties that apply where employers or superannuation funds fail to comply with event-based reporting obligations</w:t>
            </w:r>
          </w:p>
        </w:tc>
        <w:tc>
          <w:tcPr>
            <w:tcW w:w="3260" w:type="dxa"/>
            <w:vAlign w:val="center"/>
          </w:tcPr>
          <w:p w14:paraId="18BCA8AE" w14:textId="6CBD7D0E" w:rsidR="00E305C0" w:rsidRPr="009E7CA0" w:rsidRDefault="00D33895" w:rsidP="00A56651">
            <w:pPr>
              <w:pStyle w:val="TableTextLeft"/>
              <w:cnfStyle w:val="000000100000" w:firstRow="0" w:lastRow="0" w:firstColumn="0" w:lastColumn="0" w:oddVBand="0" w:evenVBand="0" w:oddHBand="1" w:evenHBand="0" w:firstRowFirstColumn="0" w:firstRowLastColumn="0" w:lastRowFirstColumn="0" w:lastRowLastColumn="0"/>
            </w:pPr>
            <w:r w:rsidRPr="009E7CA0">
              <w:t>Change to milestone</w:t>
            </w:r>
          </w:p>
        </w:tc>
        <w:tc>
          <w:tcPr>
            <w:tcW w:w="3512" w:type="dxa"/>
            <w:vAlign w:val="center"/>
          </w:tcPr>
          <w:p w14:paraId="189FE864" w14:textId="0E3F93E8" w:rsidR="00E305C0" w:rsidRPr="009E7CA0" w:rsidRDefault="00D33895" w:rsidP="00A56651">
            <w:pPr>
              <w:pStyle w:val="TableTextLeft"/>
              <w:cnfStyle w:val="000000100000" w:firstRow="0" w:lastRow="0" w:firstColumn="0" w:lastColumn="0" w:oddVBand="0" w:evenVBand="0" w:oddHBand="1" w:evenHBand="0" w:firstRowFirstColumn="0" w:firstRowLastColumn="0" w:lastRowFirstColumn="0" w:lastRowLastColumn="0"/>
            </w:pPr>
            <w:r w:rsidRPr="009E7CA0">
              <w:t>Additional time required to allow for a more comprehensive and considered approach</w:t>
            </w:r>
          </w:p>
        </w:tc>
      </w:tr>
      <w:tr w:rsidR="002B0743" w:rsidRPr="009E7CA0" w14:paraId="42BE7873" w14:textId="77777777" w:rsidTr="00D037A3">
        <w:trPr>
          <w:trHeight w:val="410"/>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354656D7" w14:textId="71180EF1" w:rsidR="002B0743" w:rsidRPr="009E7CA0" w:rsidRDefault="002B0743" w:rsidP="00A56651">
            <w:pPr>
              <w:pStyle w:val="TableTextLeft"/>
              <w:rPr>
                <w:b w:val="0"/>
                <w:bCs w:val="0"/>
              </w:rPr>
            </w:pPr>
            <w:r w:rsidRPr="009E7CA0">
              <w:rPr>
                <w:b w:val="0"/>
                <w:bCs w:val="0"/>
              </w:rPr>
              <w:lastRenderedPageBreak/>
              <w:t>Market integrity rules -regulatory guidance</w:t>
            </w:r>
          </w:p>
        </w:tc>
        <w:tc>
          <w:tcPr>
            <w:tcW w:w="3260" w:type="dxa"/>
            <w:vAlign w:val="center"/>
          </w:tcPr>
          <w:p w14:paraId="667E3DBC" w14:textId="6EA5B213" w:rsidR="002B0743" w:rsidRPr="009E7CA0" w:rsidRDefault="00352774" w:rsidP="007F436F">
            <w:pPr>
              <w:pStyle w:val="TableTextLeft"/>
              <w:cnfStyle w:val="000000000000" w:firstRow="0" w:lastRow="0" w:firstColumn="0" w:lastColumn="0" w:oddVBand="0" w:evenVBand="0" w:oddHBand="0" w:evenHBand="0" w:firstRowFirstColumn="0" w:firstRowLastColumn="0" w:lastRowFirstColumn="0" w:lastRowLastColumn="0"/>
            </w:pPr>
            <w:r w:rsidRPr="009E7CA0">
              <w:t>Changes to milestones</w:t>
            </w:r>
          </w:p>
        </w:tc>
        <w:tc>
          <w:tcPr>
            <w:tcW w:w="3512" w:type="dxa"/>
            <w:vAlign w:val="center"/>
          </w:tcPr>
          <w:p w14:paraId="14134804" w14:textId="31AD65F4" w:rsidR="002B0743" w:rsidRPr="009E7CA0" w:rsidRDefault="00352774" w:rsidP="007F436F">
            <w:pPr>
              <w:pStyle w:val="TableTextLeft"/>
              <w:cnfStyle w:val="000000000000" w:firstRow="0" w:lastRow="0" w:firstColumn="0" w:lastColumn="0" w:oddVBand="0" w:evenVBand="0" w:oddHBand="0" w:evenHBand="0" w:firstRowFirstColumn="0" w:firstRowLastColumn="0" w:lastRowFirstColumn="0" w:lastRowLastColumn="0"/>
            </w:pPr>
            <w:r w:rsidRPr="009E7CA0">
              <w:t>Additional time required to allow for a more comprehensive and considered approach</w:t>
            </w:r>
          </w:p>
        </w:tc>
      </w:tr>
      <w:tr w:rsidR="54E08FBF" w:rsidRPr="009E7CA0" w14:paraId="66D58E41" w14:textId="77777777" w:rsidTr="00D037A3">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6D9C531E" w14:textId="1FA4B577" w:rsidR="54E08FBF" w:rsidRPr="009E7CA0" w:rsidRDefault="39617210" w:rsidP="007F436F">
            <w:pPr>
              <w:pStyle w:val="TableTextLeft"/>
              <w:rPr>
                <w:b w:val="0"/>
                <w:bCs w:val="0"/>
              </w:rPr>
            </w:pPr>
            <w:r w:rsidRPr="009E7CA0">
              <w:rPr>
                <w:b w:val="0"/>
                <w:bCs w:val="0"/>
              </w:rPr>
              <w:t>System stress test</w:t>
            </w:r>
          </w:p>
        </w:tc>
        <w:tc>
          <w:tcPr>
            <w:tcW w:w="3260" w:type="dxa"/>
            <w:vAlign w:val="center"/>
          </w:tcPr>
          <w:p w14:paraId="6296CC3C" w14:textId="73DA568B" w:rsidR="54E08FBF" w:rsidRPr="009E7CA0" w:rsidRDefault="39617210" w:rsidP="007F436F">
            <w:pPr>
              <w:pStyle w:val="TableTextLeft"/>
              <w:cnfStyle w:val="000000100000" w:firstRow="0" w:lastRow="0" w:firstColumn="0" w:lastColumn="0" w:oddVBand="0" w:evenVBand="0" w:oddHBand="1" w:evenHBand="0" w:firstRowFirstColumn="0" w:firstRowLastColumn="0" w:lastRowFirstColumn="0" w:lastRowLastColumn="0"/>
            </w:pPr>
            <w:r w:rsidRPr="009E7CA0">
              <w:t>Milestone wording updated</w:t>
            </w:r>
          </w:p>
        </w:tc>
        <w:tc>
          <w:tcPr>
            <w:tcW w:w="3512" w:type="dxa"/>
            <w:vAlign w:val="center"/>
          </w:tcPr>
          <w:p w14:paraId="3B449C6F" w14:textId="55EBDCCA" w:rsidR="54E08FBF" w:rsidRPr="009E7CA0" w:rsidRDefault="009831B2" w:rsidP="007F436F">
            <w:pPr>
              <w:pStyle w:val="TableTextLeft"/>
              <w:cnfStyle w:val="000000100000" w:firstRow="0" w:lastRow="0" w:firstColumn="0" w:lastColumn="0" w:oddVBand="0" w:evenVBand="0" w:oddHBand="1" w:evenHBand="0" w:firstRowFirstColumn="0" w:firstRowLastColumn="0" w:lastRowFirstColumn="0" w:lastRowLastColumn="0"/>
            </w:pPr>
            <w:r w:rsidRPr="009E7CA0">
              <w:t>More detail provided</w:t>
            </w:r>
          </w:p>
        </w:tc>
      </w:tr>
      <w:tr w:rsidR="00A67F14" w:rsidRPr="009E7CA0" w14:paraId="455BAD12" w14:textId="77777777" w:rsidTr="00D037A3">
        <w:trPr>
          <w:trHeight w:val="410"/>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386E2EBB" w14:textId="09583633" w:rsidR="00A67F14" w:rsidRPr="009E7CA0" w:rsidRDefault="00BB3B38" w:rsidP="007F436F">
            <w:pPr>
              <w:pStyle w:val="TableTextLeft"/>
              <w:rPr>
                <w:b w:val="0"/>
                <w:bCs w:val="0"/>
              </w:rPr>
            </w:pPr>
            <w:r w:rsidRPr="009E7CA0">
              <w:rPr>
                <w:b w:val="0"/>
                <w:bCs w:val="0"/>
              </w:rPr>
              <w:t xml:space="preserve">Public and private markets – </w:t>
            </w:r>
            <w:r w:rsidR="00A0519C" w:rsidRPr="009E7CA0">
              <w:rPr>
                <w:b w:val="0"/>
                <w:bCs w:val="0"/>
              </w:rPr>
              <w:t>responding</w:t>
            </w:r>
            <w:r w:rsidRPr="009E7CA0">
              <w:rPr>
                <w:b w:val="0"/>
                <w:bCs w:val="0"/>
              </w:rPr>
              <w:t xml:space="preserve"> to changing market dynamics (ASIC</w:t>
            </w:r>
            <w:r w:rsidR="006C39AC" w:rsidRPr="009E7CA0">
              <w:rPr>
                <w:b w:val="0"/>
                <w:bCs w:val="0"/>
              </w:rPr>
              <w:t>, Markets Hub)</w:t>
            </w:r>
          </w:p>
        </w:tc>
        <w:tc>
          <w:tcPr>
            <w:tcW w:w="3260" w:type="dxa"/>
            <w:vAlign w:val="center"/>
          </w:tcPr>
          <w:p w14:paraId="760382D0" w14:textId="4A432C01" w:rsidR="00A67F14" w:rsidRPr="009E7CA0" w:rsidRDefault="00B66A72" w:rsidP="007F436F">
            <w:pPr>
              <w:pStyle w:val="TableTextLeft"/>
              <w:cnfStyle w:val="000000000000" w:firstRow="0" w:lastRow="0" w:firstColumn="0" w:lastColumn="0" w:oddVBand="0" w:evenVBand="0" w:oddHBand="0" w:evenHBand="0" w:firstRowFirstColumn="0" w:firstRowLastColumn="0" w:lastRowFirstColumn="0" w:lastRowLastColumn="0"/>
            </w:pPr>
            <w:r w:rsidRPr="009E7CA0">
              <w:t>Initiative removed</w:t>
            </w:r>
          </w:p>
        </w:tc>
        <w:tc>
          <w:tcPr>
            <w:tcW w:w="3512" w:type="dxa"/>
            <w:vAlign w:val="center"/>
          </w:tcPr>
          <w:p w14:paraId="7FBE5F51" w14:textId="7A0C14F5" w:rsidR="00A67F14" w:rsidRPr="009E7CA0" w:rsidRDefault="000C49A4" w:rsidP="007F436F">
            <w:pPr>
              <w:pStyle w:val="TableTextLeft"/>
              <w:cnfStyle w:val="000000000000" w:firstRow="0" w:lastRow="0" w:firstColumn="0" w:lastColumn="0" w:oddVBand="0" w:evenVBand="0" w:oddHBand="0" w:evenHBand="0" w:firstRowFirstColumn="0" w:firstRowLastColumn="0" w:lastRowFirstColumn="0" w:lastRowLastColumn="0"/>
            </w:pPr>
            <w:r w:rsidRPr="009E7CA0">
              <w:t>Initiative completed</w:t>
            </w:r>
          </w:p>
        </w:tc>
      </w:tr>
      <w:tr w:rsidR="004F38D6" w:rsidRPr="009E7CA0" w14:paraId="5C61B593" w14:textId="77777777" w:rsidTr="00D037A3">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519D809E" w14:textId="20EAD2C4" w:rsidR="004F38D6" w:rsidRPr="009E7CA0" w:rsidRDefault="00086E8A" w:rsidP="007F436F">
            <w:pPr>
              <w:pStyle w:val="TableTextLeft"/>
              <w:rPr>
                <w:b w:val="0"/>
                <w:bCs w:val="0"/>
              </w:rPr>
            </w:pPr>
            <w:r w:rsidRPr="009E7CA0">
              <w:rPr>
                <w:b w:val="0"/>
                <w:bCs w:val="0"/>
              </w:rPr>
              <w:t>Receipt of Security of Critical Infrastructure (SOCI) Act 2018 annual attestations </w:t>
            </w:r>
          </w:p>
        </w:tc>
        <w:tc>
          <w:tcPr>
            <w:tcW w:w="3260" w:type="dxa"/>
            <w:vAlign w:val="center"/>
          </w:tcPr>
          <w:p w14:paraId="225C1B3F" w14:textId="6DF25021" w:rsidR="004F38D6" w:rsidRPr="009E7CA0" w:rsidRDefault="00086E8A" w:rsidP="007F436F">
            <w:pPr>
              <w:pStyle w:val="TableTextLeft"/>
              <w:cnfStyle w:val="000000100000" w:firstRow="0" w:lastRow="0" w:firstColumn="0" w:lastColumn="0" w:oddVBand="0" w:evenVBand="0" w:oddHBand="1" w:evenHBand="0" w:firstRowFirstColumn="0" w:firstRowLastColumn="0" w:lastRowFirstColumn="0" w:lastRowLastColumn="0"/>
            </w:pPr>
            <w:r w:rsidRPr="009E7CA0">
              <w:t xml:space="preserve">Q3 2026 </w:t>
            </w:r>
            <w:r w:rsidR="00D86737" w:rsidRPr="009E7CA0">
              <w:t>milestone removed</w:t>
            </w:r>
          </w:p>
        </w:tc>
        <w:tc>
          <w:tcPr>
            <w:tcW w:w="3512" w:type="dxa"/>
            <w:vAlign w:val="center"/>
          </w:tcPr>
          <w:p w14:paraId="428DFE4D" w14:textId="3694ADC5" w:rsidR="004F38D6" w:rsidRPr="009E7CA0" w:rsidRDefault="00A27600" w:rsidP="007F436F">
            <w:pPr>
              <w:pStyle w:val="TableTextLeft"/>
              <w:cnfStyle w:val="000000100000" w:firstRow="0" w:lastRow="0" w:firstColumn="0" w:lastColumn="0" w:oddVBand="0" w:evenVBand="0" w:oddHBand="1" w:evenHBand="0" w:firstRowFirstColumn="0" w:firstRowLastColumn="0" w:lastRowFirstColumn="0" w:lastRowLastColumn="0"/>
            </w:pPr>
            <w:r w:rsidRPr="009E7CA0">
              <w:t xml:space="preserve">Business as usual </w:t>
            </w:r>
            <w:r w:rsidR="00112E9B" w:rsidRPr="009E7CA0">
              <w:t>data collection</w:t>
            </w:r>
          </w:p>
        </w:tc>
      </w:tr>
      <w:tr w:rsidR="00876807" w:rsidRPr="009E7CA0" w14:paraId="3EF2F780" w14:textId="77777777" w:rsidTr="00D037A3">
        <w:trPr>
          <w:trHeight w:val="410"/>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775C5136" w14:textId="5928A50B" w:rsidR="00876807" w:rsidRPr="008719F2" w:rsidRDefault="0041081E" w:rsidP="007F436F">
            <w:pPr>
              <w:pStyle w:val="TableTextLeft"/>
              <w:rPr>
                <w:rStyle w:val="Hyperlink"/>
                <w:rFonts w:asciiTheme="minorHAnsi" w:hAnsiTheme="minorHAnsi" w:cstheme="minorHAnsi"/>
                <w:b w:val="0"/>
                <w:bCs w:val="0"/>
                <w:color w:val="2E3B4E" w:themeColor="accent3" w:themeShade="80"/>
                <w:szCs w:val="16"/>
              </w:rPr>
            </w:pPr>
            <w:hyperlink r:id="rId119" w:history="1">
              <w:r w:rsidRPr="008719F2">
                <w:rPr>
                  <w:rStyle w:val="Hyperlink"/>
                  <w:rFonts w:asciiTheme="minorHAnsi" w:hAnsiTheme="minorHAnsi" w:cstheme="minorHAnsi"/>
                  <w:b w:val="0"/>
                  <w:bCs w:val="0"/>
                  <w:color w:val="2E3B4E" w:themeColor="accent3" w:themeShade="80"/>
                  <w:szCs w:val="16"/>
                </w:rPr>
                <w:t xml:space="preserve">Update </w:t>
              </w:r>
              <w:r w:rsidRPr="008719F2" w:rsidDel="006F47E2">
                <w:rPr>
                  <w:rStyle w:val="Hyperlink"/>
                  <w:rFonts w:asciiTheme="minorHAnsi" w:hAnsiTheme="minorHAnsi" w:cstheme="minorHAnsi"/>
                  <w:b w:val="0"/>
                  <w:bCs w:val="0"/>
                  <w:color w:val="2E3B4E" w:themeColor="accent3" w:themeShade="80"/>
                  <w:szCs w:val="16"/>
                </w:rPr>
                <w:t xml:space="preserve">crypto </w:t>
              </w:r>
              <w:r w:rsidRPr="008719F2">
                <w:rPr>
                  <w:rStyle w:val="Hyperlink"/>
                  <w:rFonts w:asciiTheme="minorHAnsi" w:hAnsiTheme="minorHAnsi" w:cstheme="minorHAnsi"/>
                  <w:b w:val="0"/>
                  <w:bCs w:val="0"/>
                  <w:color w:val="2E3B4E" w:themeColor="accent3" w:themeShade="80"/>
                  <w:szCs w:val="16"/>
                </w:rPr>
                <w:t>assets guidance</w:t>
              </w:r>
            </w:hyperlink>
          </w:p>
        </w:tc>
        <w:tc>
          <w:tcPr>
            <w:tcW w:w="3260" w:type="dxa"/>
            <w:vAlign w:val="center"/>
          </w:tcPr>
          <w:p w14:paraId="2BA47F6D" w14:textId="28A2CDF3" w:rsidR="00876807" w:rsidRPr="009E7CA0" w:rsidRDefault="0041081E" w:rsidP="007F436F">
            <w:pPr>
              <w:pStyle w:val="TableTextLeft"/>
              <w:cnfStyle w:val="000000000000" w:firstRow="0" w:lastRow="0" w:firstColumn="0" w:lastColumn="0" w:oddVBand="0" w:evenVBand="0" w:oddHBand="0" w:evenHBand="0" w:firstRowFirstColumn="0" w:firstRowLastColumn="0" w:lastRowFirstColumn="0" w:lastRowLastColumn="0"/>
            </w:pPr>
            <w:r w:rsidRPr="009E7CA0">
              <w:t xml:space="preserve">Initiative removed </w:t>
            </w:r>
          </w:p>
        </w:tc>
        <w:tc>
          <w:tcPr>
            <w:tcW w:w="3512" w:type="dxa"/>
            <w:vAlign w:val="center"/>
          </w:tcPr>
          <w:p w14:paraId="60B94758" w14:textId="0AC52873" w:rsidR="00876807" w:rsidRPr="009E7CA0" w:rsidRDefault="00C74784" w:rsidP="007F436F">
            <w:pPr>
              <w:pStyle w:val="TableTextLeft"/>
              <w:cnfStyle w:val="000000000000" w:firstRow="0" w:lastRow="0" w:firstColumn="0" w:lastColumn="0" w:oddVBand="0" w:evenVBand="0" w:oddHBand="0" w:evenHBand="0" w:firstRowFirstColumn="0" w:firstRowLastColumn="0" w:lastRowFirstColumn="0" w:lastRowLastColumn="0"/>
            </w:pPr>
            <w:r w:rsidRPr="009E7CA0">
              <w:t>Initiative completed</w:t>
            </w:r>
          </w:p>
        </w:tc>
      </w:tr>
      <w:tr w:rsidR="0052088C" w:rsidRPr="009E7CA0" w14:paraId="3894D02B" w14:textId="77777777" w:rsidTr="00D037A3">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511DFBB7" w14:textId="192EB0AE" w:rsidR="0052088C" w:rsidRPr="008719F2" w:rsidRDefault="00B26080" w:rsidP="007F436F">
            <w:pPr>
              <w:pStyle w:val="TableTextLeft"/>
              <w:rPr>
                <w:rStyle w:val="Hyperlink"/>
                <w:rFonts w:asciiTheme="minorHAnsi" w:hAnsiTheme="minorHAnsi" w:cstheme="minorHAnsi"/>
                <w:b w:val="0"/>
                <w:bCs w:val="0"/>
                <w:color w:val="2E3B4E" w:themeColor="accent3" w:themeShade="80"/>
                <w:szCs w:val="16"/>
              </w:rPr>
            </w:pPr>
            <w:hyperlink r:id="rId120" w:history="1">
              <w:r w:rsidRPr="008719F2">
                <w:rPr>
                  <w:rStyle w:val="Hyperlink"/>
                  <w:rFonts w:asciiTheme="minorHAnsi" w:hAnsiTheme="minorHAnsi" w:cstheme="minorHAnsi"/>
                  <w:b w:val="0"/>
                  <w:bCs w:val="0"/>
                  <w:color w:val="2E3B4E" w:themeColor="accent3" w:themeShade="80"/>
                  <w:szCs w:val="16"/>
                </w:rPr>
                <w:t xml:space="preserve">Update Regulatory </w:t>
              </w:r>
              <w:r w:rsidR="00E74E63" w:rsidRPr="008719F2">
                <w:rPr>
                  <w:rStyle w:val="Hyperlink"/>
                  <w:rFonts w:asciiTheme="minorHAnsi" w:hAnsiTheme="minorHAnsi" w:cstheme="minorHAnsi"/>
                  <w:b w:val="0"/>
                  <w:bCs w:val="0"/>
                  <w:color w:val="2E3B4E" w:themeColor="accent3" w:themeShade="80"/>
                  <w:szCs w:val="16"/>
                </w:rPr>
                <w:t>Guide 168 Product Disclosure Statements (and other disclosure documents)</w:t>
              </w:r>
            </w:hyperlink>
          </w:p>
        </w:tc>
        <w:tc>
          <w:tcPr>
            <w:tcW w:w="3260" w:type="dxa"/>
            <w:vAlign w:val="center"/>
          </w:tcPr>
          <w:p w14:paraId="064E7ADE" w14:textId="56C50953" w:rsidR="0052088C" w:rsidRPr="009E7CA0" w:rsidRDefault="00CD2C0E" w:rsidP="007F436F">
            <w:pPr>
              <w:pStyle w:val="TableTextLeft"/>
              <w:cnfStyle w:val="000000100000" w:firstRow="0" w:lastRow="0" w:firstColumn="0" w:lastColumn="0" w:oddVBand="0" w:evenVBand="0" w:oddHBand="1" w:evenHBand="0" w:firstRowFirstColumn="0" w:firstRowLastColumn="0" w:lastRowFirstColumn="0" w:lastRowLastColumn="0"/>
            </w:pPr>
            <w:r w:rsidRPr="009E7CA0">
              <w:t>Initiative removed</w:t>
            </w:r>
          </w:p>
        </w:tc>
        <w:tc>
          <w:tcPr>
            <w:tcW w:w="3512" w:type="dxa"/>
            <w:vAlign w:val="center"/>
          </w:tcPr>
          <w:p w14:paraId="0BCC52E5" w14:textId="48398E4E" w:rsidR="0052088C" w:rsidRPr="009E7CA0" w:rsidRDefault="00176098" w:rsidP="007F436F">
            <w:pPr>
              <w:pStyle w:val="TableTextLeft"/>
              <w:cnfStyle w:val="000000100000" w:firstRow="0" w:lastRow="0" w:firstColumn="0" w:lastColumn="0" w:oddVBand="0" w:evenVBand="0" w:oddHBand="1" w:evenHBand="0" w:firstRowFirstColumn="0" w:firstRowLastColumn="0" w:lastRowFirstColumn="0" w:lastRowLastColumn="0"/>
            </w:pPr>
            <w:r w:rsidRPr="009E7CA0">
              <w:t>Initiative completed</w:t>
            </w:r>
          </w:p>
        </w:tc>
      </w:tr>
      <w:tr w:rsidR="00082405" w:rsidRPr="009E7CA0" w14:paraId="259C7172" w14:textId="77777777" w:rsidTr="00D037A3">
        <w:trPr>
          <w:trHeight w:val="410"/>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5AB0D8C0" w14:textId="1CF660DB" w:rsidR="00082405" w:rsidRPr="008719F2" w:rsidRDefault="00B8330D" w:rsidP="007F436F">
            <w:pPr>
              <w:pStyle w:val="TableTextLeft"/>
              <w:rPr>
                <w:rStyle w:val="Hyperlink"/>
                <w:rFonts w:asciiTheme="minorHAnsi" w:hAnsiTheme="minorHAnsi" w:cstheme="minorHAnsi"/>
                <w:b w:val="0"/>
                <w:bCs w:val="0"/>
                <w:color w:val="2E3B4E" w:themeColor="accent3" w:themeShade="80"/>
                <w:szCs w:val="16"/>
              </w:rPr>
            </w:pPr>
            <w:hyperlink r:id="rId121" w:history="1">
              <w:r w:rsidRPr="008719F2">
                <w:rPr>
                  <w:rStyle w:val="Hyperlink"/>
                  <w:rFonts w:asciiTheme="minorHAnsi" w:hAnsiTheme="minorHAnsi" w:cstheme="minorHAnsi"/>
                  <w:b w:val="0"/>
                  <w:bCs w:val="0"/>
                  <w:color w:val="2E3B4E" w:themeColor="accent3" w:themeShade="80"/>
                  <w:szCs w:val="16"/>
                </w:rPr>
                <w:t>Update of Regulatory Guide 181 Licensing: Managing conflicts of interest</w:t>
              </w:r>
            </w:hyperlink>
          </w:p>
        </w:tc>
        <w:tc>
          <w:tcPr>
            <w:tcW w:w="3260" w:type="dxa"/>
            <w:vAlign w:val="center"/>
          </w:tcPr>
          <w:p w14:paraId="4D782AC5" w14:textId="60DB472D" w:rsidR="00082405" w:rsidRPr="009E7CA0" w:rsidRDefault="00B8330D" w:rsidP="007F436F">
            <w:pPr>
              <w:pStyle w:val="TableTextLeft"/>
              <w:cnfStyle w:val="000000000000" w:firstRow="0" w:lastRow="0" w:firstColumn="0" w:lastColumn="0" w:oddVBand="0" w:evenVBand="0" w:oddHBand="0" w:evenHBand="0" w:firstRowFirstColumn="0" w:firstRowLastColumn="0" w:lastRowFirstColumn="0" w:lastRowLastColumn="0"/>
            </w:pPr>
            <w:r w:rsidRPr="009E7CA0">
              <w:t>Initiative removed</w:t>
            </w:r>
          </w:p>
        </w:tc>
        <w:tc>
          <w:tcPr>
            <w:tcW w:w="3512" w:type="dxa"/>
            <w:vAlign w:val="center"/>
          </w:tcPr>
          <w:p w14:paraId="160DAC6C" w14:textId="1C57CC3D" w:rsidR="00082405" w:rsidRPr="009E7CA0" w:rsidRDefault="00176098" w:rsidP="007F436F">
            <w:pPr>
              <w:pStyle w:val="TableTextLeft"/>
              <w:cnfStyle w:val="000000000000" w:firstRow="0" w:lastRow="0" w:firstColumn="0" w:lastColumn="0" w:oddVBand="0" w:evenVBand="0" w:oddHBand="0" w:evenHBand="0" w:firstRowFirstColumn="0" w:firstRowLastColumn="0" w:lastRowFirstColumn="0" w:lastRowLastColumn="0"/>
            </w:pPr>
            <w:r w:rsidRPr="009E7CA0">
              <w:t>Initiative completed</w:t>
            </w:r>
          </w:p>
        </w:tc>
      </w:tr>
      <w:tr w:rsidR="00B8330D" w:rsidRPr="009E7CA0" w14:paraId="356F41B1" w14:textId="77777777" w:rsidTr="00D037A3">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4A62E6F0" w14:textId="71FE4537" w:rsidR="00B8330D" w:rsidRPr="008719F2" w:rsidRDefault="00325642" w:rsidP="007F436F">
            <w:pPr>
              <w:pStyle w:val="TableTextLeft"/>
              <w:rPr>
                <w:rStyle w:val="Hyperlink"/>
                <w:rFonts w:asciiTheme="minorHAnsi" w:hAnsiTheme="minorHAnsi" w:cstheme="minorHAnsi"/>
                <w:b w:val="0"/>
                <w:bCs w:val="0"/>
                <w:color w:val="2E3B4E" w:themeColor="accent3" w:themeShade="80"/>
                <w:szCs w:val="16"/>
              </w:rPr>
            </w:pPr>
            <w:hyperlink r:id="rId122" w:history="1">
              <w:r w:rsidRPr="008719F2">
                <w:rPr>
                  <w:rStyle w:val="Hyperlink"/>
                  <w:rFonts w:asciiTheme="minorHAnsi" w:hAnsiTheme="minorHAnsi" w:cstheme="minorHAnsi"/>
                  <w:b w:val="0"/>
                  <w:bCs w:val="0"/>
                  <w:color w:val="2E3B4E" w:themeColor="accent3" w:themeShade="80"/>
                  <w:szCs w:val="16"/>
                </w:rPr>
                <w:t>Update of Regulatory Guide 183 Approval of financial services sector codes of conduct</w:t>
              </w:r>
            </w:hyperlink>
            <w:r w:rsidRPr="008719F2">
              <w:rPr>
                <w:rStyle w:val="Hyperlink"/>
                <w:rFonts w:asciiTheme="minorHAnsi" w:hAnsiTheme="minorHAnsi" w:cstheme="minorHAnsi"/>
                <w:b w:val="0"/>
                <w:bCs w:val="0"/>
                <w:color w:val="2E3B4E" w:themeColor="accent3" w:themeShade="80"/>
                <w:szCs w:val="16"/>
              </w:rPr>
              <w:t xml:space="preserve"> </w:t>
            </w:r>
          </w:p>
        </w:tc>
        <w:tc>
          <w:tcPr>
            <w:tcW w:w="3260" w:type="dxa"/>
            <w:vAlign w:val="center"/>
          </w:tcPr>
          <w:p w14:paraId="4F42714F" w14:textId="6369477D" w:rsidR="00B8330D" w:rsidRPr="009E7CA0" w:rsidRDefault="00325642" w:rsidP="007F436F">
            <w:pPr>
              <w:pStyle w:val="TableTextLeft"/>
              <w:cnfStyle w:val="000000100000" w:firstRow="0" w:lastRow="0" w:firstColumn="0" w:lastColumn="0" w:oddVBand="0" w:evenVBand="0" w:oddHBand="1" w:evenHBand="0" w:firstRowFirstColumn="0" w:firstRowLastColumn="0" w:lastRowFirstColumn="0" w:lastRowLastColumn="0"/>
            </w:pPr>
            <w:r w:rsidRPr="009E7CA0">
              <w:t xml:space="preserve">Initiative removed </w:t>
            </w:r>
          </w:p>
        </w:tc>
        <w:tc>
          <w:tcPr>
            <w:tcW w:w="3512" w:type="dxa"/>
            <w:vAlign w:val="center"/>
          </w:tcPr>
          <w:p w14:paraId="4301C1A9" w14:textId="706E23E2" w:rsidR="00B8330D" w:rsidRPr="009E7CA0" w:rsidRDefault="00176098" w:rsidP="007F436F">
            <w:pPr>
              <w:pStyle w:val="TableTextLeft"/>
              <w:cnfStyle w:val="000000100000" w:firstRow="0" w:lastRow="0" w:firstColumn="0" w:lastColumn="0" w:oddVBand="0" w:evenVBand="0" w:oddHBand="1" w:evenHBand="0" w:firstRowFirstColumn="0" w:firstRowLastColumn="0" w:lastRowFirstColumn="0" w:lastRowLastColumn="0"/>
            </w:pPr>
            <w:r w:rsidRPr="009E7CA0">
              <w:t xml:space="preserve">Initiative completed </w:t>
            </w:r>
          </w:p>
        </w:tc>
      </w:tr>
      <w:tr w:rsidR="00353789" w:rsidRPr="009E7CA0" w14:paraId="1930D796" w14:textId="77777777" w:rsidTr="00D037A3">
        <w:trPr>
          <w:trHeight w:val="410"/>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576119C5" w14:textId="3FA3E820" w:rsidR="00353789" w:rsidRPr="008719F2" w:rsidRDefault="00353789" w:rsidP="007F436F">
            <w:pPr>
              <w:pStyle w:val="TableTextLeft"/>
              <w:rPr>
                <w:rStyle w:val="Hyperlink"/>
                <w:rFonts w:asciiTheme="minorHAnsi" w:hAnsiTheme="minorHAnsi" w:cstheme="minorHAnsi"/>
                <w:b w:val="0"/>
                <w:bCs w:val="0"/>
                <w:color w:val="2E3B4E" w:themeColor="accent3" w:themeShade="80"/>
                <w:szCs w:val="16"/>
              </w:rPr>
            </w:pPr>
            <w:hyperlink r:id="rId123" w:history="1">
              <w:r w:rsidRPr="008719F2">
                <w:rPr>
                  <w:rStyle w:val="Hyperlink"/>
                  <w:rFonts w:asciiTheme="minorHAnsi" w:hAnsiTheme="minorHAnsi" w:cstheme="minorHAnsi"/>
                  <w:b w:val="0"/>
                  <w:bCs w:val="0"/>
                  <w:color w:val="2E3B4E" w:themeColor="accent3" w:themeShade="80"/>
                  <w:szCs w:val="16"/>
                </w:rPr>
                <w:t>Review of the 202</w:t>
              </w:r>
              <w:r w:rsidR="00FC203F" w:rsidRPr="008719F2">
                <w:rPr>
                  <w:rStyle w:val="Hyperlink"/>
                  <w:rFonts w:asciiTheme="minorHAnsi" w:hAnsiTheme="minorHAnsi" w:cstheme="minorHAnsi"/>
                  <w:b w:val="0"/>
                  <w:bCs w:val="0"/>
                  <w:color w:val="2E3B4E" w:themeColor="accent3" w:themeShade="80"/>
                  <w:szCs w:val="16"/>
                </w:rPr>
                <w:t>1</w:t>
              </w:r>
              <w:r w:rsidRPr="008719F2">
                <w:rPr>
                  <w:rStyle w:val="Hyperlink"/>
                  <w:rFonts w:asciiTheme="minorHAnsi" w:hAnsiTheme="minorHAnsi" w:cstheme="minorHAnsi"/>
                  <w:b w:val="0"/>
                  <w:bCs w:val="0"/>
                  <w:color w:val="2E3B4E" w:themeColor="accent3" w:themeShade="80"/>
                  <w:szCs w:val="16"/>
                </w:rPr>
                <w:t xml:space="preserve"> Foreign Investment reforms</w:t>
              </w:r>
            </w:hyperlink>
          </w:p>
        </w:tc>
        <w:tc>
          <w:tcPr>
            <w:tcW w:w="3260" w:type="dxa"/>
            <w:vAlign w:val="center"/>
          </w:tcPr>
          <w:p w14:paraId="43268005" w14:textId="0F7D5F89" w:rsidR="00353789" w:rsidRPr="009E7CA0" w:rsidRDefault="00353789" w:rsidP="007F436F">
            <w:pPr>
              <w:pStyle w:val="TableTextLeft"/>
              <w:cnfStyle w:val="000000000000" w:firstRow="0" w:lastRow="0" w:firstColumn="0" w:lastColumn="0" w:oddVBand="0" w:evenVBand="0" w:oddHBand="0" w:evenHBand="0" w:firstRowFirstColumn="0" w:firstRowLastColumn="0" w:lastRowFirstColumn="0" w:lastRowLastColumn="0"/>
            </w:pPr>
            <w:r w:rsidRPr="009E7CA0">
              <w:t>Initiative removed</w:t>
            </w:r>
          </w:p>
        </w:tc>
        <w:tc>
          <w:tcPr>
            <w:tcW w:w="3512" w:type="dxa"/>
            <w:vAlign w:val="center"/>
          </w:tcPr>
          <w:p w14:paraId="370A1769" w14:textId="6AF6B81B" w:rsidR="00353789" w:rsidRPr="009E7CA0" w:rsidRDefault="00A171BA" w:rsidP="007F436F">
            <w:pPr>
              <w:pStyle w:val="TableTextLeft"/>
              <w:cnfStyle w:val="000000000000" w:firstRow="0" w:lastRow="0" w:firstColumn="0" w:lastColumn="0" w:oddVBand="0" w:evenVBand="0" w:oddHBand="0" w:evenHBand="0" w:firstRowFirstColumn="0" w:firstRowLastColumn="0" w:lastRowFirstColumn="0" w:lastRowLastColumn="0"/>
            </w:pPr>
            <w:r w:rsidRPr="009E7CA0">
              <w:t>Initiative completed</w:t>
            </w:r>
          </w:p>
        </w:tc>
      </w:tr>
    </w:tbl>
    <w:p w14:paraId="12E1B5D8" w14:textId="202464B3" w:rsidR="00152331" w:rsidRPr="00152331" w:rsidRDefault="00152331" w:rsidP="007C3A1C">
      <w:pPr>
        <w:spacing w:before="0" w:after="160" w:line="259" w:lineRule="auto"/>
      </w:pPr>
    </w:p>
    <w:sectPr w:rsidR="00152331" w:rsidRPr="00152331" w:rsidSect="007E0632">
      <w:pgSz w:w="16838" w:h="11906" w:orient="landscape" w:code="9"/>
      <w:pgMar w:top="1843" w:right="1418" w:bottom="1021"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7B09F" w14:textId="77777777" w:rsidR="00754D0F" w:rsidRDefault="00754D0F">
      <w:pPr>
        <w:spacing w:before="0" w:after="0"/>
      </w:pPr>
      <w:r>
        <w:separator/>
      </w:r>
    </w:p>
  </w:endnote>
  <w:endnote w:type="continuationSeparator" w:id="0">
    <w:p w14:paraId="2EBD5749" w14:textId="77777777" w:rsidR="00754D0F" w:rsidRDefault="00754D0F">
      <w:pPr>
        <w:spacing w:before="0" w:after="0"/>
      </w:pPr>
      <w:r>
        <w:continuationSeparator/>
      </w:r>
    </w:p>
  </w:endnote>
  <w:endnote w:type="continuationNotice" w:id="1">
    <w:p w14:paraId="5AF0A205" w14:textId="77777777" w:rsidR="00754D0F" w:rsidRDefault="00754D0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040"/>
      <w:gridCol w:w="2040"/>
      <w:gridCol w:w="2040"/>
    </w:tblGrid>
    <w:tr w:rsidR="5190A120" w14:paraId="6D5F797B" w14:textId="77777777" w:rsidTr="5190A120">
      <w:trPr>
        <w:trHeight w:val="300"/>
      </w:trPr>
      <w:tc>
        <w:tcPr>
          <w:tcW w:w="2040" w:type="dxa"/>
        </w:tcPr>
        <w:p w14:paraId="37A28EDC" w14:textId="07CB31BB" w:rsidR="5190A120" w:rsidRDefault="5190A120" w:rsidP="5190A120">
          <w:pPr>
            <w:pStyle w:val="Header"/>
            <w:ind w:left="-115"/>
          </w:pPr>
        </w:p>
      </w:tc>
      <w:tc>
        <w:tcPr>
          <w:tcW w:w="2040" w:type="dxa"/>
        </w:tcPr>
        <w:p w14:paraId="4C3BCF1C" w14:textId="3D917B69" w:rsidR="5190A120" w:rsidRDefault="5190A120" w:rsidP="5190A120">
          <w:pPr>
            <w:pStyle w:val="Header"/>
            <w:jc w:val="center"/>
          </w:pPr>
        </w:p>
      </w:tc>
      <w:tc>
        <w:tcPr>
          <w:tcW w:w="2040" w:type="dxa"/>
        </w:tcPr>
        <w:p w14:paraId="43391351" w14:textId="3E875557" w:rsidR="5190A120" w:rsidRDefault="5190A120" w:rsidP="5190A120">
          <w:pPr>
            <w:pStyle w:val="Header"/>
            <w:ind w:right="-115"/>
          </w:pPr>
        </w:p>
      </w:tc>
    </w:tr>
  </w:tbl>
  <w:p w14:paraId="6156EEFC" w14:textId="4782100A" w:rsidR="0053272D" w:rsidRDefault="0053272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789C9" w14:textId="2E7016C4" w:rsidR="00DD58E6" w:rsidRPr="00E34DAB" w:rsidRDefault="00DD58E6" w:rsidP="00FB3A7B">
    <w:pPr>
      <w:pStyle w:val="FooterEven"/>
    </w:pPr>
    <w:r>
      <w:rPr>
        <w:spacing w:val="-2"/>
      </w:rPr>
      <w:t>R</w:t>
    </w:r>
    <w:r w:rsidRPr="00434E3C">
      <w:rPr>
        <w:spacing w:val="-2"/>
      </w:rPr>
      <w:t xml:space="preserve">egulatory </w:t>
    </w:r>
    <w:r>
      <w:rPr>
        <w:spacing w:val="-2"/>
      </w:rPr>
      <w:t>I</w:t>
    </w:r>
    <w:r w:rsidRPr="00434E3C">
      <w:rPr>
        <w:spacing w:val="-2"/>
      </w:rPr>
      <w:t xml:space="preserve">nitiatives </w:t>
    </w:r>
    <w:r>
      <w:rPr>
        <w:spacing w:val="-2"/>
      </w:rPr>
      <w:t>G</w:t>
    </w:r>
    <w:r w:rsidRPr="00434E3C">
      <w:rPr>
        <w:spacing w:val="-2"/>
      </w:rPr>
      <w:t>rid</w:t>
    </w:r>
    <w:r>
      <w:tab/>
    </w:r>
    <w:fldSimple w:instr="STYLEREF  &quot;Heading 1&quot;  \* MERGEFORMAT">
      <w:r w:rsidR="00002908" w:rsidRPr="00002908">
        <w:rPr>
          <w:lang w:val="en-US"/>
        </w:rPr>
        <w:t>Snapshot of regulatory initiatives</w:t>
      </w:r>
    </w:fldSimple>
    <w:r>
      <w:t xml:space="preserve"> | </w:t>
    </w:r>
    <w:r>
      <w:fldChar w:fldCharType="begin"/>
    </w:r>
    <w:r>
      <w:instrText xml:space="preserve"> PAGE   \* MERGEFORMAT </w:instrText>
    </w:r>
    <w:r>
      <w:fldChar w:fldCharType="separate"/>
    </w:r>
    <w:r>
      <w:t>7</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9B4DB" w14:textId="32FB864F" w:rsidR="00DF73F9" w:rsidRDefault="00002908" w:rsidP="00DF73F9">
    <w:pPr>
      <w:pStyle w:val="Footer"/>
      <w:tabs>
        <w:tab w:val="right" w:pos="13999"/>
      </w:tabs>
      <w:jc w:val="left"/>
    </w:pPr>
    <w:fldSimple w:instr="SUBJECT  \* Caps  \* MERGEFORMAT">
      <w:r>
        <w:t>Regulatory Initiatives Grid | April 2026</w:t>
      </w:r>
    </w:fldSimple>
    <w:r w:rsidR="00DF73F9">
      <w:ptab w:relativeTo="margin" w:alignment="right" w:leader="none"/>
    </w:r>
    <w:r w:rsidR="00DF73F9">
      <w:t xml:space="preserve"> </w:t>
    </w:r>
    <w:fldSimple w:instr="STYLEREF  &quot;Heading 1&quot;  \* MERGEFORMAT">
      <w:r w:rsidR="00F22510">
        <w:rPr>
          <w:noProof/>
        </w:rPr>
        <w:t>Supporting improved regulatory coordination</w:t>
      </w:r>
    </w:fldSimple>
    <w:r w:rsidR="00DF73F9">
      <w:t xml:space="preserve"> | </w:t>
    </w:r>
    <w:r w:rsidR="00DF73F9">
      <w:fldChar w:fldCharType="begin"/>
    </w:r>
    <w:r w:rsidR="00DF73F9">
      <w:instrText xml:space="preserve"> PAGE   \* MERGEFORMAT </w:instrText>
    </w:r>
    <w:r w:rsidR="00DF73F9">
      <w:fldChar w:fldCharType="separate"/>
    </w:r>
    <w:r w:rsidR="00DF73F9">
      <w:t>6</w:t>
    </w:r>
    <w:r w:rsidR="00DF73F9">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253EF" w14:textId="77777777" w:rsidR="00DD58E6" w:rsidRDefault="00DD58E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2A4B7" w14:textId="2E2B26EB" w:rsidR="00565631" w:rsidRPr="00E34DAB" w:rsidRDefault="00547963" w:rsidP="00E34DAB">
    <w:pPr>
      <w:pStyle w:val="FooterOdd"/>
      <w:tabs>
        <w:tab w:val="right" w:pos="14002"/>
      </w:tabs>
      <w:jc w:val="left"/>
    </w:pPr>
    <w:r>
      <w:rPr>
        <w:spacing w:val="-2"/>
      </w:rPr>
      <w:t>R</w:t>
    </w:r>
    <w:r w:rsidRPr="00434E3C">
      <w:rPr>
        <w:spacing w:val="-2"/>
      </w:rPr>
      <w:t xml:space="preserve">egulatory </w:t>
    </w:r>
    <w:r>
      <w:rPr>
        <w:spacing w:val="-2"/>
      </w:rPr>
      <w:t>I</w:t>
    </w:r>
    <w:r w:rsidRPr="00434E3C">
      <w:rPr>
        <w:spacing w:val="-2"/>
      </w:rPr>
      <w:t xml:space="preserve">nitiatives </w:t>
    </w:r>
    <w:r>
      <w:rPr>
        <w:spacing w:val="-2"/>
      </w:rPr>
      <w:t>G</w:t>
    </w:r>
    <w:r w:rsidRPr="00434E3C">
      <w:rPr>
        <w:spacing w:val="-2"/>
      </w:rPr>
      <w:t>rid |</w:t>
    </w:r>
    <w:r>
      <w:rPr>
        <w:spacing w:val="-2"/>
      </w:rPr>
      <w:t xml:space="preserve"> </w:t>
    </w:r>
    <w:r w:rsidRPr="00434E3C">
      <w:rPr>
        <w:spacing w:val="-2"/>
      </w:rPr>
      <w:t>December 2024</w:t>
    </w:r>
    <w:r w:rsidR="00565631">
      <w:tab/>
    </w:r>
    <w:fldSimple w:instr="STYLEREF  &quot;Heading 1&quot;  \* MERGEFORMAT">
      <w:r w:rsidR="00002908">
        <w:rPr>
          <w:noProof/>
        </w:rPr>
        <w:t>Supporting improved regulatory coordination</w:t>
      </w:r>
    </w:fldSimple>
    <w:r w:rsidR="00565631">
      <w:rPr>
        <w:noProof/>
      </w:rPr>
      <w:t xml:space="preserve"> </w:t>
    </w:r>
    <w:r w:rsidR="00565631">
      <w:t xml:space="preserve">| </w:t>
    </w:r>
    <w:r w:rsidR="00565631">
      <w:fldChar w:fldCharType="begin"/>
    </w:r>
    <w:r w:rsidR="00565631">
      <w:instrText xml:space="preserve"> PAGE   \* MERGEFORMAT </w:instrText>
    </w:r>
    <w:r w:rsidR="00565631">
      <w:fldChar w:fldCharType="separate"/>
    </w:r>
    <w:r w:rsidR="00565631">
      <w:t>7</w:t>
    </w:r>
    <w:r w:rsidR="00565631">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C84B9" w14:textId="12C009FF" w:rsidR="004125A1" w:rsidRDefault="00002908" w:rsidP="000505D0">
    <w:pPr>
      <w:pStyle w:val="Footer"/>
      <w:tabs>
        <w:tab w:val="right" w:pos="13999"/>
      </w:tabs>
      <w:jc w:val="left"/>
    </w:pPr>
    <w:fldSimple w:instr="SUBJECT  \* Caps  \* MERGEFORMAT">
      <w:r>
        <w:t>Regulatory Initiatives Grid | April 2026</w:t>
      </w:r>
    </w:fldSimple>
    <w:r w:rsidR="004125A1">
      <w:ptab w:relativeTo="margin" w:alignment="right" w:leader="none"/>
    </w:r>
    <w:r w:rsidR="004125A1">
      <w:t xml:space="preserve"> </w:t>
    </w:r>
    <w:fldSimple w:instr="STYLEREF  &quot;Heading 1 Numbered&quot;  \* MERGEFORMAT">
      <w:r w:rsidR="00F22510">
        <w:rPr>
          <w:noProof/>
        </w:rPr>
        <w:t>Development of legislation, regulations and instruments</w:t>
      </w:r>
    </w:fldSimple>
    <w:r w:rsidR="004125A1">
      <w:t xml:space="preserve"> | </w:t>
    </w:r>
    <w:r w:rsidR="004125A1">
      <w:fldChar w:fldCharType="begin"/>
    </w:r>
    <w:r w:rsidR="004125A1">
      <w:instrText xml:space="preserve"> PAGE   \* MERGEFORMAT </w:instrText>
    </w:r>
    <w:r w:rsidR="004125A1">
      <w:fldChar w:fldCharType="separate"/>
    </w:r>
    <w:r w:rsidR="004125A1">
      <w:rPr>
        <w:noProof/>
      </w:rPr>
      <w:t>i</w:t>
    </w:r>
    <w:r w:rsidR="004125A1">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6A785" w14:textId="6C4F3C3A" w:rsidR="00822849" w:rsidRDefault="008228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44133" w14:textId="2B638990" w:rsidR="00B55B04" w:rsidRDefault="00B55B04" w:rsidP="00D5567B">
    <w:pPr>
      <w:pStyle w:val="FooterEven"/>
    </w:pPr>
    <w:r>
      <w:drawing>
        <wp:anchor distT="0" distB="0" distL="114300" distR="114300" simplePos="0" relativeHeight="251658244" behindDoc="1" locked="0" layoutInCell="1" allowOverlap="0" wp14:anchorId="104885E1" wp14:editId="5568990E">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2103841781" name="Picture 2103841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fldSimple w:instr="STYLEREF  &quot;Heading 1&quot;  \* MERGEFORMAT">
      <w:r w:rsidR="00002908">
        <w:t>Contents</w:t>
      </w:r>
    </w:fldSimple>
    <w:r>
      <w:t xml:space="preserve"> | </w:t>
    </w:r>
    <w:r>
      <w:rPr>
        <w:noProof w:val="0"/>
      </w:rPr>
      <w:fldChar w:fldCharType="begin"/>
    </w:r>
    <w:r>
      <w:instrText xml:space="preserve"> PAGE   \* MERGEFORMAT </w:instrText>
    </w:r>
    <w:r>
      <w:rPr>
        <w:noProof w:val="0"/>
      </w:rPr>
      <w:fldChar w:fldCharType="separate"/>
    </w:r>
    <w: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4663A" w14:textId="079F842C" w:rsidR="00822849" w:rsidRDefault="00002908" w:rsidP="00DC3FC0">
    <w:pPr>
      <w:pStyle w:val="Footer"/>
      <w:tabs>
        <w:tab w:val="right" w:pos="13999"/>
      </w:tabs>
      <w:jc w:val="left"/>
    </w:pPr>
    <w:fldSimple w:instr="SUBJECT  \* Caps  \* MERGEFORMAT">
      <w:r>
        <w:t>Regulatory Initiatives Grid | April 2026</w:t>
      </w:r>
    </w:fldSimple>
    <w:r w:rsidR="00005520">
      <w:ptab w:relativeTo="margin" w:alignment="right" w:leader="none"/>
    </w:r>
    <w:fldSimple w:instr="STYLEREF  &quot;Heading 1&quot;  \* MERGEFORMAT">
      <w:r w:rsidR="00F22510">
        <w:rPr>
          <w:noProof/>
        </w:rPr>
        <w:t>Foreword</w:t>
      </w:r>
    </w:fldSimple>
    <w:r w:rsidR="00DC3FC0">
      <w:t xml:space="preserve"> | </w:t>
    </w:r>
    <w:r w:rsidR="00DC3FC0">
      <w:fldChar w:fldCharType="begin"/>
    </w:r>
    <w:r w:rsidR="00DC3FC0">
      <w:instrText xml:space="preserve"> PAGE   \* MERGEFORMAT </w:instrText>
    </w:r>
    <w:r w:rsidR="00DC3FC0">
      <w:fldChar w:fldCharType="separate"/>
    </w:r>
    <w:r w:rsidR="00DC3FC0">
      <w:rPr>
        <w:noProof/>
      </w:rPr>
      <w:t>i</w:t>
    </w:r>
    <w:r w:rsidR="00DC3FC0">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0A1FD" w14:textId="5421E26F" w:rsidR="00B55B04" w:rsidRPr="00152534" w:rsidRDefault="00002908" w:rsidP="00DC3FC0">
    <w:pPr>
      <w:pStyle w:val="Footer"/>
      <w:tabs>
        <w:tab w:val="right" w:pos="13999"/>
        <w:tab w:val="right" w:pos="15876"/>
      </w:tabs>
      <w:jc w:val="left"/>
    </w:pPr>
    <w:fldSimple w:instr="SUBJECT  \* Caps  \* MERGEFORMAT">
      <w:r>
        <w:t>Regulatory Initiatives Grid | April 2026</w:t>
      </w:r>
    </w:fldSimple>
    <w:r w:rsidR="00005520">
      <w:ptab w:relativeTo="margin" w:alignment="right" w:leader="none"/>
    </w:r>
    <w:fldSimple w:instr="STYLEREF  &quot;Heading 1&quot;  \* MERGEFORMAT">
      <w:r w:rsidR="00F22510">
        <w:rPr>
          <w:noProof/>
        </w:rPr>
        <w:t>Contents</w:t>
      </w:r>
    </w:fldSimple>
    <w:r w:rsidR="00DC3FC0">
      <w:t xml:space="preserve"> | </w:t>
    </w:r>
    <w:r w:rsidR="00047F04">
      <w:fldChar w:fldCharType="begin"/>
    </w:r>
    <w:r w:rsidR="00047F04">
      <w:instrText xml:space="preserve"> PAGE   \* MERGEFORMAT </w:instrText>
    </w:r>
    <w:r w:rsidR="00047F04">
      <w:fldChar w:fldCharType="separate"/>
    </w:r>
    <w:r w:rsidR="00047F04">
      <w:rPr>
        <w:noProof/>
      </w:rPr>
      <w:t>i</w:t>
    </w:r>
    <w:r w:rsidR="00047F0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17581" w14:textId="4BF50B76" w:rsidR="00822849" w:rsidRDefault="0082284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5D0F7" w14:textId="5D75A269" w:rsidR="00822849" w:rsidRDefault="0082284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60C7B" w14:textId="32D2D4F1" w:rsidR="00672B5D" w:rsidRPr="00434E3C" w:rsidRDefault="00434E3C" w:rsidP="00434E3C">
    <w:pPr>
      <w:pStyle w:val="FooterOdd"/>
      <w:tabs>
        <w:tab w:val="right" w:pos="14002"/>
      </w:tabs>
      <w:jc w:val="left"/>
    </w:pPr>
    <w:r>
      <w:rPr>
        <w:spacing w:val="-2"/>
      </w:rPr>
      <w:t>R</w:t>
    </w:r>
    <w:r w:rsidRPr="00434E3C">
      <w:rPr>
        <w:spacing w:val="-2"/>
      </w:rPr>
      <w:t xml:space="preserve">egulatory </w:t>
    </w:r>
    <w:r>
      <w:rPr>
        <w:spacing w:val="-2"/>
      </w:rPr>
      <w:t>I</w:t>
    </w:r>
    <w:r w:rsidRPr="00434E3C">
      <w:rPr>
        <w:spacing w:val="-2"/>
      </w:rPr>
      <w:t xml:space="preserve">nitiatives </w:t>
    </w:r>
    <w:r>
      <w:rPr>
        <w:spacing w:val="-2"/>
      </w:rPr>
      <w:t>G</w:t>
    </w:r>
    <w:r w:rsidRPr="00434E3C">
      <w:rPr>
        <w:spacing w:val="-2"/>
      </w:rPr>
      <w:t>rid | December 2024</w:t>
    </w:r>
    <w:r>
      <w:tab/>
    </w:r>
    <w:fldSimple w:instr="STYLEREF  &quot;Heading 1&quot;  \* MERGEFORMAT">
      <w:r w:rsidR="00002908">
        <w:rPr>
          <w:noProof/>
        </w:rPr>
        <w:t>Foreword</w:t>
      </w:r>
    </w:fldSimple>
    <w:r>
      <w:rPr>
        <w:noProof/>
      </w:rPr>
      <w:t xml:space="preserve"> </w:t>
    </w:r>
    <w:r>
      <w:t xml:space="preserve">| </w:t>
    </w:r>
    <w:r>
      <w:fldChar w:fldCharType="begin"/>
    </w:r>
    <w:r>
      <w:instrText xml:space="preserve"> PAGE   \* MERGEFORMAT </w:instrText>
    </w:r>
    <w:r>
      <w:fldChar w:fldCharType="separate"/>
    </w:r>
    <w: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CDC87" w14:textId="31B9BF41" w:rsidR="00822849" w:rsidRDefault="00002908" w:rsidP="00DC3FC0">
    <w:pPr>
      <w:pStyle w:val="Footer"/>
      <w:tabs>
        <w:tab w:val="right" w:pos="13999"/>
      </w:tabs>
      <w:jc w:val="left"/>
    </w:pPr>
    <w:fldSimple w:instr="SUBJECT  \* Caps  \* MERGEFORMAT">
      <w:r>
        <w:t>Regulatory Initiatives Grid | April 2026</w:t>
      </w:r>
    </w:fldSimple>
    <w:r w:rsidR="00005520">
      <w:ptab w:relativeTo="margin" w:alignment="right" w:leader="none"/>
    </w:r>
    <w:fldSimple w:instr="STYLEREF  &quot;Heading 1&quot;  \* MERGEFORMAT">
      <w:r w:rsidR="00F22510">
        <w:rPr>
          <w:noProof/>
        </w:rPr>
        <w:t>Snapshot of regulatory initiatives</w:t>
      </w:r>
    </w:fldSimple>
    <w:r w:rsidR="00DC3FC0">
      <w:t xml:space="preserve"> | </w:t>
    </w:r>
    <w:r w:rsidR="00DC3FC0">
      <w:fldChar w:fldCharType="begin"/>
    </w:r>
    <w:r w:rsidR="00DC3FC0">
      <w:instrText xml:space="preserve"> PAGE   \* MERGEFORMAT </w:instrText>
    </w:r>
    <w:r w:rsidR="00DC3FC0">
      <w:fldChar w:fldCharType="separate"/>
    </w:r>
    <w:r w:rsidR="00DC3FC0">
      <w:rPr>
        <w:noProof/>
      </w:rPr>
      <w:t>i</w:t>
    </w:r>
    <w:r w:rsidR="00DC3FC0">
      <w:fldChar w:fldCharType="end"/>
    </w:r>
    <w:r w:rsidR="00053534">
      <w:rPr>
        <w:noProof/>
      </w:rPr>
      <mc:AlternateContent>
        <mc:Choice Requires="wps">
          <w:drawing>
            <wp:anchor distT="0" distB="0" distL="114300" distR="114300" simplePos="0" relativeHeight="251658240" behindDoc="1" locked="0" layoutInCell="1" allowOverlap="1" wp14:anchorId="207FD8D4" wp14:editId="0AE0A0B8">
              <wp:simplePos x="0" y="0"/>
              <wp:positionH relativeFrom="page">
                <wp:align>center</wp:align>
              </wp:positionH>
              <wp:positionV relativeFrom="page">
                <wp:align>center</wp:align>
              </wp:positionV>
              <wp:extent cx="10724400" cy="7570800"/>
              <wp:effectExtent l="0" t="0" r="1270" b="0"/>
              <wp:wrapNone/>
              <wp:docPr id="1421049705" name="Rectangle 14210497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4400" cy="7570800"/>
                      </a:xfrm>
                      <a:prstGeom prst="rect">
                        <a:avLst/>
                      </a:prstGeom>
                      <a:solidFill>
                        <a:schemeClr val="accent5">
                          <a:lumMod val="20000"/>
                          <a:lumOff val="80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A02BD" id="Rectangle 1421049705" o:spid="_x0000_s1026" alt="&quot;&quot;" style="position:absolute;margin-left:0;margin-top:0;width:844.45pt;height:596.1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ismAIAALUFAAAOAAAAZHJzL2Uyb0RvYy54bWysVFFv2yAQfp+0/4B4X21nzdJZdaqoVadJ&#10;XRutnfpMMdSWMMeAxMl+/Q6wnayt9jDtBcPd8d3H57s7v9h1imyFdS3oihYnOSVCc6hb/VzRHw/X&#10;H84ocZ7pminQoqJ74ejF8v27896UYgYNqFpYgiDalb2paOO9KbPM8UZ0zJ2AERqdEmzHPB7tc1Zb&#10;1iN6p7JZnn/KerC1scCFc2i9Sk66jPhSCu7vpHTCE1VR5ObjauP6FNZsec7KZ8tM0/KBBvsHFh1r&#10;NSadoK6YZ2Rj21dQXcstOJD+hEOXgZQtF/EN+Joif/Ga+4YZEd+C4jgzyeT+Hyy/3d6btUUZeuNK&#10;h9vwip20XfgiP7KLYu0nscTOE47GIl/MTk9zFJWjczFf5Gd4QKDscN9Y578I6EjYVNTi74gqse2N&#10;8yl0DAnpHKi2vm6ViodQAuJSWbJl+PMY50L7ebyuNt03qJMdiyClZSWa8WcnM3IZzUyZhiXrx9GK&#10;HGOJBfzI+I/USgcCGgKVxDJYsoNCcef3SoQ4pb8LSdoaNZlFehPyMfMiuRpWi2Qu5gPDV1wiYECW&#10;mH/CHgDeUqUYZB/iw1URa3+6nP+NWHridCNmBu2ny12rwb4FoPyUOcWPIiVpgkpPUO/XllhInecM&#10;v26xFm6Y82tmsdWwfnB8+DtcpIK+ojDsKGnA/nrLHuKxA9BLSY+tW1H3c8OsoER91dgbnwusS+z1&#10;eDidL2Z4sMeep2OP3nSXgAVW4KAyPG5DvFfjVlroHnHKrEJWdDHNMXdFubfj4dKnkYJziovVKoZh&#10;fxvmb/S94QE8qBpq/WH3yKwZGsJjM93C2OasfNEXKTbc1LDaeJBtbJqDroPeOBtiEQ9zLAyf43OM&#10;Okzb5W8AAAD//wMAUEsDBBQABgAIAAAAIQATpO0z2wAAAAcBAAAPAAAAZHJzL2Rvd25yZXYueG1s&#10;TI9BT8MwDIXvSPyHyEhcEEs3xNSVptME4sQBNhBntzFpReNUTbYVfj0eF7hYz3rWe5/L9eR7daAx&#10;doENzGcZKOIm2I6dgbfXx+scVEzIFvvAZOCLIqyr87MSCxuOvKXDLjklIRwLNNCmNBRax6Ylj3EW&#10;BmLxPsLoMck6Om1HPEq47/Uiy5baY8fS0OJA9y01n7u9N/BirXuonbd0+83PT++duwq4MebyYtrc&#10;gUo0pb9jOOELOlTCVIc926h6A/JI+p0nb5nnK1C1qPlqcQO6KvV//uoHAAD//wMAUEsBAi0AFAAG&#10;AAgAAAAhALaDOJL+AAAA4QEAABMAAAAAAAAAAAAAAAAAAAAAAFtDb250ZW50X1R5cGVzXS54bWxQ&#10;SwECLQAUAAYACAAAACEAOP0h/9YAAACUAQAACwAAAAAAAAAAAAAAAAAvAQAAX3JlbHMvLnJlbHNQ&#10;SwECLQAUAAYACAAAACEAD564rJgCAAC1BQAADgAAAAAAAAAAAAAAAAAuAgAAZHJzL2Uyb0RvYy54&#10;bWxQSwECLQAUAAYACAAAACEAE6TtM9sAAAAHAQAADwAAAAAAAAAAAAAAAADyBAAAZHJzL2Rvd25y&#10;ZXYueG1sUEsFBgAAAAAEAAQA8wAAAPoFAAAAAA==&#10;" fillcolor="#e8f0fc [664]" stroked="f" strokeweight="2pt">
              <v:fill opacity="19789f"/>
              <w10:wrap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93DD4" w14:textId="41EE66B2" w:rsidR="00095D88" w:rsidRPr="00095D88" w:rsidRDefault="00095D88" w:rsidP="00095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84F88" w14:textId="77777777" w:rsidR="00754D0F" w:rsidRPr="00ED5A20" w:rsidRDefault="00754D0F" w:rsidP="000F6233">
      <w:pPr>
        <w:rPr>
          <w:color w:val="4D7861" w:themeColor="accent2"/>
        </w:rPr>
      </w:pPr>
      <w:r w:rsidRPr="00ED5A20">
        <w:rPr>
          <w:color w:val="4D7861" w:themeColor="accent2"/>
        </w:rPr>
        <w:separator/>
      </w:r>
    </w:p>
  </w:footnote>
  <w:footnote w:type="continuationSeparator" w:id="0">
    <w:p w14:paraId="72B12DE1" w14:textId="77777777" w:rsidR="00754D0F" w:rsidRPr="00B737EB" w:rsidRDefault="00754D0F">
      <w:pPr>
        <w:spacing w:before="0" w:after="0"/>
        <w:rPr>
          <w:color w:val="2C384A" w:themeColor="accent1"/>
        </w:rPr>
      </w:pPr>
      <w:r w:rsidRPr="00B737EB">
        <w:rPr>
          <w:color w:val="2C384A" w:themeColor="accent1"/>
        </w:rPr>
        <w:continuationSeparator/>
      </w:r>
    </w:p>
  </w:footnote>
  <w:footnote w:type="continuationNotice" w:id="1">
    <w:p w14:paraId="591E99EB" w14:textId="77777777" w:rsidR="00754D0F" w:rsidRDefault="00754D0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040"/>
      <w:gridCol w:w="2040"/>
      <w:gridCol w:w="2040"/>
    </w:tblGrid>
    <w:tr w:rsidR="5190A120" w14:paraId="135EE329" w14:textId="77777777" w:rsidTr="5190A120">
      <w:trPr>
        <w:trHeight w:val="300"/>
      </w:trPr>
      <w:tc>
        <w:tcPr>
          <w:tcW w:w="2040" w:type="dxa"/>
        </w:tcPr>
        <w:p w14:paraId="517AB25C" w14:textId="081B1F95" w:rsidR="5190A120" w:rsidRDefault="5190A120" w:rsidP="5190A120">
          <w:pPr>
            <w:pStyle w:val="Header"/>
            <w:ind w:left="-115"/>
          </w:pPr>
        </w:p>
      </w:tc>
      <w:tc>
        <w:tcPr>
          <w:tcW w:w="2040" w:type="dxa"/>
        </w:tcPr>
        <w:p w14:paraId="46800401" w14:textId="2AF02F45" w:rsidR="5190A120" w:rsidRDefault="5190A120" w:rsidP="5190A120">
          <w:pPr>
            <w:pStyle w:val="Header"/>
            <w:jc w:val="center"/>
          </w:pPr>
        </w:p>
      </w:tc>
      <w:tc>
        <w:tcPr>
          <w:tcW w:w="2040" w:type="dxa"/>
        </w:tcPr>
        <w:p w14:paraId="281ECB05" w14:textId="48E839C1" w:rsidR="5190A120" w:rsidRDefault="5190A120" w:rsidP="5190A120">
          <w:pPr>
            <w:pStyle w:val="Header"/>
            <w:ind w:right="-115"/>
          </w:pPr>
        </w:p>
      </w:tc>
    </w:tr>
  </w:tbl>
  <w:p w14:paraId="7C7B7A9E" w14:textId="6705C5C2" w:rsidR="0053272D" w:rsidRDefault="0053272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A3D32" w14:textId="5224E262" w:rsidR="00095D88" w:rsidRPr="00095D88" w:rsidRDefault="00095D88" w:rsidP="00095D8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15070" w14:textId="77777777" w:rsidR="00DD58E6" w:rsidRPr="00AC75E2" w:rsidRDefault="00DD58E6" w:rsidP="00AC75E2">
    <w:pPr>
      <w:pStyle w:val="HeaderEven"/>
    </w:pPr>
    <w:r>
      <w:t xml:space="preserve"> </w:t>
    </w:r>
    <w:r>
      <w:rPr>
        <w:noProof/>
      </w:rPr>
      <w:drawing>
        <wp:anchor distT="0" distB="0" distL="114300" distR="114300" simplePos="0" relativeHeight="251658252" behindDoc="1" locked="1" layoutInCell="1" allowOverlap="1" wp14:anchorId="4E07527B" wp14:editId="09F42914">
          <wp:simplePos x="0" y="0"/>
          <wp:positionH relativeFrom="page">
            <wp:align>center</wp:align>
          </wp:positionH>
          <wp:positionV relativeFrom="page">
            <wp:align>top</wp:align>
          </wp:positionV>
          <wp:extent cx="10674350" cy="721995"/>
          <wp:effectExtent l="0" t="0" r="0" b="1905"/>
          <wp:wrapNone/>
          <wp:docPr id="696920642" name="Picture 696920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22560" name="Picture 3128225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74428" cy="722401"/>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A029" w14:textId="074EF612" w:rsidR="00DD58E6" w:rsidRPr="00670BC6" w:rsidRDefault="00DD58E6" w:rsidP="00670BC6">
    <w:r>
      <w:rPr>
        <w:noProof/>
      </w:rPr>
      <w:drawing>
        <wp:anchor distT="0" distB="0" distL="114300" distR="114300" simplePos="0" relativeHeight="251658253" behindDoc="1" locked="1" layoutInCell="1" allowOverlap="1" wp14:anchorId="76D8A96C" wp14:editId="70E8872C">
          <wp:simplePos x="0" y="0"/>
          <wp:positionH relativeFrom="page">
            <wp:align>center</wp:align>
          </wp:positionH>
          <wp:positionV relativeFrom="page">
            <wp:align>top</wp:align>
          </wp:positionV>
          <wp:extent cx="10674350" cy="721995"/>
          <wp:effectExtent l="0" t="0" r="0" b="1905"/>
          <wp:wrapNone/>
          <wp:docPr id="257325873" name="Picture 2573258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09478" name="Picture 195010947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74428" cy="722401"/>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60677" w14:textId="77777777" w:rsidR="00DD58E6" w:rsidRDefault="00DD58E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FE8E8" w14:textId="7E5EAF7B" w:rsidR="00E10AB3" w:rsidRPr="00AC75E2" w:rsidRDefault="00E10AB3" w:rsidP="00AC75E2">
    <w:pPr>
      <w:pStyle w:val="HeaderEven"/>
    </w:pPr>
    <w:r>
      <w:t xml:space="preserve"> </w:t>
    </w:r>
    <w:r>
      <w:rPr>
        <w:noProof/>
      </w:rPr>
      <w:drawing>
        <wp:anchor distT="0" distB="0" distL="114300" distR="114300" simplePos="0" relativeHeight="251658249" behindDoc="1" locked="1" layoutInCell="1" allowOverlap="1" wp14:anchorId="0342DE42" wp14:editId="2C3576B6">
          <wp:simplePos x="0" y="0"/>
          <wp:positionH relativeFrom="page">
            <wp:align>center</wp:align>
          </wp:positionH>
          <wp:positionV relativeFrom="page">
            <wp:align>top</wp:align>
          </wp:positionV>
          <wp:extent cx="10677525" cy="721995"/>
          <wp:effectExtent l="0" t="0" r="0" b="1905"/>
          <wp:wrapNone/>
          <wp:docPr id="1542528787" name="Picture 1542528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7409" name="Picture 3875740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77596" cy="722401"/>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0E1E0" w14:textId="4355AC04" w:rsidR="00E10AB3" w:rsidRPr="00F60198" w:rsidRDefault="00E10AB3" w:rsidP="00A12F62">
    <w:pPr>
      <w:pStyle w:val="HeaderOdd"/>
    </w:pPr>
    <w:r>
      <w:rPr>
        <w:noProof/>
      </w:rPr>
      <w:drawing>
        <wp:anchor distT="0" distB="0" distL="114300" distR="114300" simplePos="0" relativeHeight="251658248" behindDoc="1" locked="1" layoutInCell="1" allowOverlap="1" wp14:anchorId="715DD36D" wp14:editId="6B355B57">
          <wp:simplePos x="0" y="0"/>
          <wp:positionH relativeFrom="page">
            <wp:align>center</wp:align>
          </wp:positionH>
          <wp:positionV relativeFrom="page">
            <wp:align>top</wp:align>
          </wp:positionV>
          <wp:extent cx="10674350" cy="721995"/>
          <wp:effectExtent l="0" t="0" r="0" b="1905"/>
          <wp:wrapNone/>
          <wp:docPr id="1184111306" name="Picture 1184111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09478" name="Picture 195010947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74428" cy="722401"/>
                  </a:xfrm>
                  <a:prstGeom prst="rect">
                    <a:avLst/>
                  </a:prstGeom>
                </pic:spPr>
              </pic:pic>
            </a:graphicData>
          </a:graphic>
          <wp14:sizeRelH relativeFrom="margin">
            <wp14:pctWidth>0</wp14:pctWidth>
          </wp14:sizeRelH>
          <wp14:sizeRelV relativeFrom="margin">
            <wp14:pctHeight>0</wp14:pctHeight>
          </wp14:sizeRelV>
        </wp:anchor>
      </w:drawing>
    </w:r>
    <w:r w:rsidRPr="00F60198">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5D3B6" w14:textId="245BB7EF" w:rsidR="00822849" w:rsidRDefault="008228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F0DD5" w14:textId="1DD289DE" w:rsidR="00095D88" w:rsidRPr="00095D88" w:rsidRDefault="00E10AB3" w:rsidP="00095D88">
    <w:pPr>
      <w:pStyle w:val="Header"/>
    </w:pPr>
    <w:r>
      <w:rPr>
        <w:noProof/>
      </w:rPr>
      <mc:AlternateContent>
        <mc:Choice Requires="wps">
          <w:drawing>
            <wp:anchor distT="0" distB="0" distL="114300" distR="114300" simplePos="0" relativeHeight="251658246" behindDoc="1" locked="0" layoutInCell="1" allowOverlap="1" wp14:anchorId="575D6C41" wp14:editId="5E1549D2">
              <wp:simplePos x="0" y="0"/>
              <wp:positionH relativeFrom="page">
                <wp:posOffset>5080</wp:posOffset>
              </wp:positionH>
              <wp:positionV relativeFrom="page">
                <wp:posOffset>1905</wp:posOffset>
              </wp:positionV>
              <wp:extent cx="10724400" cy="7570800"/>
              <wp:effectExtent l="0" t="0" r="1270" b="0"/>
              <wp:wrapNone/>
              <wp:docPr id="2075033694" name="Rectangle 20750336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4400" cy="7570800"/>
                      </a:xfrm>
                      <a:prstGeom prst="rect">
                        <a:avLst/>
                      </a:prstGeom>
                      <a:solidFill>
                        <a:schemeClr val="accent5">
                          <a:lumMod val="20000"/>
                          <a:lumOff val="80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FA794" id="Rectangle 2075033694" o:spid="_x0000_s1026" alt="&quot;&quot;" style="position:absolute;margin-left:.4pt;margin-top:.15pt;width:844.45pt;height:596.1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ismAIAALUFAAAOAAAAZHJzL2Uyb0RvYy54bWysVFFv2yAQfp+0/4B4X21nzdJZdaqoVadJ&#10;XRutnfpMMdSWMMeAxMl+/Q6wnayt9jDtBcPd8d3H57s7v9h1imyFdS3oihYnOSVCc6hb/VzRHw/X&#10;H84ocZ7pminQoqJ74ejF8v27896UYgYNqFpYgiDalb2paOO9KbPM8UZ0zJ2AERqdEmzHPB7tc1Zb&#10;1iN6p7JZnn/KerC1scCFc2i9Sk66jPhSCu7vpHTCE1VR5ObjauP6FNZsec7KZ8tM0/KBBvsHFh1r&#10;NSadoK6YZ2Rj21dQXcstOJD+hEOXgZQtF/EN+Joif/Ga+4YZEd+C4jgzyeT+Hyy/3d6btUUZeuNK&#10;h9vwip20XfgiP7KLYu0nscTOE47GIl/MTk9zFJWjczFf5Gd4QKDscN9Y578I6EjYVNTi74gqse2N&#10;8yl0DAnpHKi2vm6ViodQAuJSWbJl+PMY50L7ebyuNt03qJMdiyClZSWa8WcnM3IZzUyZhiXrx9GK&#10;HGOJBfzI+I/USgcCGgKVxDJYsoNCcef3SoQ4pb8LSdoaNZlFehPyMfMiuRpWi2Qu5gPDV1wiYECW&#10;mH/CHgDeUqUYZB/iw1URa3+6nP+NWHridCNmBu2ny12rwb4FoPyUOcWPIiVpgkpPUO/XllhInecM&#10;v26xFm6Y82tmsdWwfnB8+DtcpIK+ojDsKGnA/nrLHuKxA9BLSY+tW1H3c8OsoER91dgbnwusS+z1&#10;eDidL2Z4sMeep2OP3nSXgAVW4KAyPG5DvFfjVlroHnHKrEJWdDHNMXdFubfj4dKnkYJziovVKoZh&#10;fxvmb/S94QE8qBpq/WH3yKwZGsJjM93C2OasfNEXKTbc1LDaeJBtbJqDroPeOBtiEQ9zLAyf43OM&#10;Okzb5W8AAAD//wMAUEsDBBQABgAIAAAAIQDGksfB2wAAAAcBAAAPAAAAZHJzL2Rvd25yZXYueG1s&#10;TM7BTsMwDAbgOxLvEBmJC2LphihbqTtNIE4cGANxdhuTVjRO1WRb4enJTnCz9Vu/v3I9uV4deAyd&#10;F4T5LAPF0njTiUV4f3u6XoIKkcRQ74URvjnAujo/K6kw/iivfNhFq1KJhIIQ2hiHQuvQtOwozPzA&#10;krJPPzqKaR2tNiMdU7nr9SLLcu2ok/ShpYEfWm6+dnuHsDXGPtbWGb79kZfnj85eedogXl5Mm3tQ&#10;kaf4dwwnfqJDlUy134sJqkdI7ohwA+qU5cvVHag6TfPVIgddlfq/v/oFAAD//wMAUEsBAi0AFAAG&#10;AAgAAAAhALaDOJL+AAAA4QEAABMAAAAAAAAAAAAAAAAAAAAAAFtDb250ZW50X1R5cGVzXS54bWxQ&#10;SwECLQAUAAYACAAAACEAOP0h/9YAAACUAQAACwAAAAAAAAAAAAAAAAAvAQAAX3JlbHMvLnJlbHNQ&#10;SwECLQAUAAYACAAAACEAD564rJgCAAC1BQAADgAAAAAAAAAAAAAAAAAuAgAAZHJzL2Uyb0RvYy54&#10;bWxQSwECLQAUAAYACAAAACEAxpLHwdsAAAAHAQAADwAAAAAAAAAAAAAAAADyBAAAZHJzL2Rvd25y&#10;ZXYueG1sUEsFBgAAAAAEAAQA8wAAAPoFAAAAAA==&#10;" fillcolor="#e8f0fc [664]" stroked="f" strokeweight="2pt">
              <v:fill opacity="19789f"/>
              <w10:wrap anchorx="page" anchory="page"/>
            </v:rect>
          </w:pict>
        </mc:Fallback>
      </mc:AlternateContent>
    </w:r>
    <w:r>
      <w:rPr>
        <w:noProof/>
      </w:rPr>
      <w:drawing>
        <wp:anchor distT="0" distB="0" distL="114300" distR="114300" simplePos="0" relativeHeight="251658247" behindDoc="1" locked="1" layoutInCell="1" allowOverlap="1" wp14:anchorId="734E49BD" wp14:editId="0BAF96A9">
          <wp:simplePos x="0" y="0"/>
          <wp:positionH relativeFrom="page">
            <wp:align>center</wp:align>
          </wp:positionH>
          <wp:positionV relativeFrom="page">
            <wp:align>top</wp:align>
          </wp:positionV>
          <wp:extent cx="10677525" cy="721995"/>
          <wp:effectExtent l="0" t="0" r="0" b="1905"/>
          <wp:wrapNone/>
          <wp:docPr id="1189830113" name="Picture 1189830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742" name="Picture 620374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77600" cy="72240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085CA" w14:textId="7C4010AD" w:rsidR="00095D88" w:rsidRPr="00095D88" w:rsidRDefault="00095D88" w:rsidP="00095D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58411" w14:textId="6C5FE063" w:rsidR="00095D88" w:rsidRPr="00670BC6" w:rsidRDefault="00095D88" w:rsidP="00670BC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ABC9F" w14:textId="1EFB0AB4" w:rsidR="00822849" w:rsidRDefault="00E46B8C">
    <w:pPr>
      <w:pStyle w:val="Header"/>
    </w:pPr>
    <w:r>
      <w:rPr>
        <w:noProof/>
      </w:rPr>
      <w:drawing>
        <wp:anchor distT="0" distB="0" distL="114300" distR="114300" simplePos="0" relativeHeight="251658251" behindDoc="1" locked="1" layoutInCell="1" allowOverlap="1" wp14:anchorId="1FD65D7B" wp14:editId="5D7BE750">
          <wp:simplePos x="0" y="0"/>
          <wp:positionH relativeFrom="page">
            <wp:align>center</wp:align>
          </wp:positionH>
          <wp:positionV relativeFrom="page">
            <wp:align>top</wp:align>
          </wp:positionV>
          <wp:extent cx="10677525" cy="721995"/>
          <wp:effectExtent l="0" t="0" r="0" b="1905"/>
          <wp:wrapNone/>
          <wp:docPr id="3679151" name="Picture 3679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86985" name="Picture 41168698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77600" cy="722401"/>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90C3E" w14:textId="2D9E6874" w:rsidR="00B55B04" w:rsidRPr="00F60198" w:rsidRDefault="004472C0" w:rsidP="00670BC6">
    <w:r>
      <w:rPr>
        <w:noProof/>
      </w:rPr>
      <mc:AlternateContent>
        <mc:Choice Requires="wps">
          <w:drawing>
            <wp:anchor distT="0" distB="0" distL="114300" distR="114300" simplePos="0" relativeHeight="251658241" behindDoc="1" locked="0" layoutInCell="1" allowOverlap="1" wp14:anchorId="05E46926" wp14:editId="6F86C362">
              <wp:simplePos x="0" y="0"/>
              <wp:positionH relativeFrom="page">
                <wp:posOffset>-41275</wp:posOffset>
              </wp:positionH>
              <wp:positionV relativeFrom="page">
                <wp:posOffset>-36195</wp:posOffset>
              </wp:positionV>
              <wp:extent cx="10724400" cy="7570800"/>
              <wp:effectExtent l="0" t="0" r="1270" b="0"/>
              <wp:wrapNone/>
              <wp:docPr id="1031860308" name="Rectangle 10318603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4400" cy="7570800"/>
                      </a:xfrm>
                      <a:prstGeom prst="rect">
                        <a:avLst/>
                      </a:prstGeom>
                      <a:solidFill>
                        <a:schemeClr val="accent5">
                          <a:lumMod val="20000"/>
                          <a:lumOff val="80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BD64F" id="Rectangle 1031860308" o:spid="_x0000_s1026" alt="&quot;&quot;" style="position:absolute;margin-left:-3.25pt;margin-top:-2.85pt;width:844.45pt;height:596.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ismAIAALUFAAAOAAAAZHJzL2Uyb0RvYy54bWysVFFv2yAQfp+0/4B4X21nzdJZdaqoVadJ&#10;XRutnfpMMdSWMMeAxMl+/Q6wnayt9jDtBcPd8d3H57s7v9h1imyFdS3oihYnOSVCc6hb/VzRHw/X&#10;H84ocZ7pminQoqJ74ejF8v27896UYgYNqFpYgiDalb2paOO9KbPM8UZ0zJ2AERqdEmzHPB7tc1Zb&#10;1iN6p7JZnn/KerC1scCFc2i9Sk66jPhSCu7vpHTCE1VR5ObjauP6FNZsec7KZ8tM0/KBBvsHFh1r&#10;NSadoK6YZ2Rj21dQXcstOJD+hEOXgZQtF/EN+Joif/Ga+4YZEd+C4jgzyeT+Hyy/3d6btUUZeuNK&#10;h9vwip20XfgiP7KLYu0nscTOE47GIl/MTk9zFJWjczFf5Gd4QKDscN9Y578I6EjYVNTi74gqse2N&#10;8yl0DAnpHKi2vm6ViodQAuJSWbJl+PMY50L7ebyuNt03qJMdiyClZSWa8WcnM3IZzUyZhiXrx9GK&#10;HGOJBfzI+I/USgcCGgKVxDJYsoNCcef3SoQ4pb8LSdoaNZlFehPyMfMiuRpWi2Qu5gPDV1wiYECW&#10;mH/CHgDeUqUYZB/iw1URa3+6nP+NWHridCNmBu2ny12rwb4FoPyUOcWPIiVpgkpPUO/XllhInecM&#10;v26xFm6Y82tmsdWwfnB8+DtcpIK+ojDsKGnA/nrLHuKxA9BLSY+tW1H3c8OsoER91dgbnwusS+z1&#10;eDidL2Z4sMeep2OP3nSXgAVW4KAyPG5DvFfjVlroHnHKrEJWdDHNMXdFubfj4dKnkYJziovVKoZh&#10;fxvmb/S94QE8qBpq/WH3yKwZGsJjM93C2OasfNEXKTbc1LDaeJBtbJqDroPeOBtiEQ9zLAyf43OM&#10;Okzb5W8AAAD//wMAUEsDBBQABgAIAAAAIQC5PJqx3wAAAAsBAAAPAAAAZHJzL2Rvd25yZXYueG1s&#10;TI9BT8MwDIXvSPyHyEhc0JZuoqEqTacJxIkDMBBntzFpReNUTbYVfj3ZiZ1s6z09f6/azG4QB5pC&#10;71nDapmBIG696dlq+Hh/WhQgQkQ2OHgmDT8UYFNfXlRYGn/kNzrsohUphEOJGroYx1LK0HbkMCz9&#10;SJy0Lz85jOmcrDQTHlO4G+Q6y5R02HP60OFIDx2137u90/BqjH1srDOU//LL82dvbzxutb6+mrf3&#10;ICLN8d8MJ/yEDnViavyeTRCDhoXKkzPN/A7ESVfF+hZEk7ZVoRTIupLnHeo/AAAA//8DAFBLAQIt&#10;ABQABgAIAAAAIQC2gziS/gAAAOEBAAATAAAAAAAAAAAAAAAAAAAAAABbQ29udGVudF9UeXBlc10u&#10;eG1sUEsBAi0AFAAGAAgAAAAhADj9If/WAAAAlAEAAAsAAAAAAAAAAAAAAAAALwEAAF9yZWxzLy5y&#10;ZWxzUEsBAi0AFAAGAAgAAAAhAA+euKyYAgAAtQUAAA4AAAAAAAAAAAAAAAAALgIAAGRycy9lMm9E&#10;b2MueG1sUEsBAi0AFAAGAAgAAAAhALk8mrHfAAAACwEAAA8AAAAAAAAAAAAAAAAA8gQAAGRycy9k&#10;b3ducmV2LnhtbFBLBQYAAAAABAAEAPMAAAD+BQAAAAA=&#10;" fillcolor="#e8f0fc [664]" stroked="f" strokeweight="2pt">
              <v:fill opacity="19789f"/>
              <w10:wrap anchorx="page" anchory="page"/>
            </v:rect>
          </w:pict>
        </mc:Fallback>
      </mc:AlternateContent>
    </w:r>
    <w:r w:rsidR="00B55B04">
      <w:rPr>
        <w:noProof/>
      </w:rPr>
      <w:drawing>
        <wp:anchor distT="0" distB="0" distL="114300" distR="114300" simplePos="0" relativeHeight="251658243" behindDoc="1" locked="1" layoutInCell="1" allowOverlap="1" wp14:anchorId="7A758478" wp14:editId="75C61D93">
          <wp:simplePos x="0" y="0"/>
          <wp:positionH relativeFrom="page">
            <wp:align>center</wp:align>
          </wp:positionH>
          <wp:positionV relativeFrom="page">
            <wp:align>top</wp:align>
          </wp:positionV>
          <wp:extent cx="10674350" cy="721995"/>
          <wp:effectExtent l="0" t="0" r="0" b="1905"/>
          <wp:wrapNone/>
          <wp:docPr id="1873060664" name="Picture 1873060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61743" name="Picture 156446174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74428" cy="722401"/>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239FF" w14:textId="1D97A0AC" w:rsidR="00822849" w:rsidRDefault="0082284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EB2B1" w14:textId="140FFFDD" w:rsidR="00672B5D" w:rsidRPr="00AC75E2" w:rsidRDefault="004472C0" w:rsidP="00AC75E2">
    <w:pPr>
      <w:pStyle w:val="HeaderEven"/>
    </w:pPr>
    <w:r>
      <w:rPr>
        <w:noProof/>
      </w:rPr>
      <mc:AlternateContent>
        <mc:Choice Requires="wps">
          <w:drawing>
            <wp:anchor distT="0" distB="0" distL="114300" distR="114300" simplePos="0" relativeHeight="251658242" behindDoc="1" locked="0" layoutInCell="1" allowOverlap="1" wp14:anchorId="39FB62F4" wp14:editId="60DFF2A7">
              <wp:simplePos x="0" y="0"/>
              <wp:positionH relativeFrom="page">
                <wp:posOffset>5080</wp:posOffset>
              </wp:positionH>
              <wp:positionV relativeFrom="page">
                <wp:posOffset>1905</wp:posOffset>
              </wp:positionV>
              <wp:extent cx="10724400" cy="7570800"/>
              <wp:effectExtent l="0" t="0" r="1270" b="0"/>
              <wp:wrapNone/>
              <wp:docPr id="1690949819" name="Rectangle 16909498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24400" cy="7570800"/>
                      </a:xfrm>
                      <a:prstGeom prst="rect">
                        <a:avLst/>
                      </a:prstGeom>
                      <a:solidFill>
                        <a:schemeClr val="accent5">
                          <a:lumMod val="20000"/>
                          <a:lumOff val="80000"/>
                          <a:alpha val="3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2582A" id="Rectangle 1690949819" o:spid="_x0000_s1026" alt="&quot;&quot;" style="position:absolute;margin-left:.4pt;margin-top:.15pt;width:844.45pt;height:596.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ismAIAALUFAAAOAAAAZHJzL2Uyb0RvYy54bWysVFFv2yAQfp+0/4B4X21nzdJZdaqoVadJ&#10;XRutnfpMMdSWMMeAxMl+/Q6wnayt9jDtBcPd8d3H57s7v9h1imyFdS3oihYnOSVCc6hb/VzRHw/X&#10;H84ocZ7pminQoqJ74ejF8v27896UYgYNqFpYgiDalb2paOO9KbPM8UZ0zJ2AERqdEmzHPB7tc1Zb&#10;1iN6p7JZnn/KerC1scCFc2i9Sk66jPhSCu7vpHTCE1VR5ObjauP6FNZsec7KZ8tM0/KBBvsHFh1r&#10;NSadoK6YZ2Rj21dQXcstOJD+hEOXgZQtF/EN+Joif/Ga+4YZEd+C4jgzyeT+Hyy/3d6btUUZeuNK&#10;h9vwip20XfgiP7KLYu0nscTOE47GIl/MTk9zFJWjczFf5Gd4QKDscN9Y578I6EjYVNTi74gqse2N&#10;8yl0DAnpHKi2vm6ViodQAuJSWbJl+PMY50L7ebyuNt03qJMdiyClZSWa8WcnM3IZzUyZhiXrx9GK&#10;HGOJBfzI+I/USgcCGgKVxDJYsoNCcef3SoQ4pb8LSdoaNZlFehPyMfMiuRpWi2Qu5gPDV1wiYECW&#10;mH/CHgDeUqUYZB/iw1URa3+6nP+NWHridCNmBu2ny12rwb4FoPyUOcWPIiVpgkpPUO/XllhInecM&#10;v26xFm6Y82tmsdWwfnB8+DtcpIK+ojDsKGnA/nrLHuKxA9BLSY+tW1H3c8OsoER91dgbnwusS+z1&#10;eDidL2Z4sMeep2OP3nSXgAVW4KAyPG5DvFfjVlroHnHKrEJWdDHNMXdFubfj4dKnkYJziovVKoZh&#10;fxvmb/S94QE8qBpq/WH3yKwZGsJjM93C2OasfNEXKTbc1LDaeJBtbJqDroPeOBtiEQ9zLAyf43OM&#10;Okzb5W8AAAD//wMAUEsDBBQABgAIAAAAIQDGksfB2wAAAAcBAAAPAAAAZHJzL2Rvd25yZXYueG1s&#10;TM7BTsMwDAbgOxLvEBmJC2LphihbqTtNIE4cGANxdhuTVjRO1WRb4enJTnCz9Vu/v3I9uV4deAyd&#10;F4T5LAPF0njTiUV4f3u6XoIKkcRQ74URvjnAujo/K6kw/iivfNhFq1KJhIIQ2hiHQuvQtOwozPzA&#10;krJPPzqKaR2tNiMdU7nr9SLLcu2ok/ShpYEfWm6+dnuHsDXGPtbWGb79kZfnj85eedogXl5Mm3tQ&#10;kaf4dwwnfqJDlUy134sJqkdI7ohwA+qU5cvVHag6TfPVIgddlfq/v/oFAAD//wMAUEsBAi0AFAAG&#10;AAgAAAAhALaDOJL+AAAA4QEAABMAAAAAAAAAAAAAAAAAAAAAAFtDb250ZW50X1R5cGVzXS54bWxQ&#10;SwECLQAUAAYACAAAACEAOP0h/9YAAACUAQAACwAAAAAAAAAAAAAAAAAvAQAAX3JlbHMvLnJlbHNQ&#10;SwECLQAUAAYACAAAACEAD564rJgCAAC1BQAADgAAAAAAAAAAAAAAAAAuAgAAZHJzL2Uyb0RvYy54&#10;bWxQSwECLQAUAAYACAAAACEAxpLHwdsAAAAHAQAADwAAAAAAAAAAAAAAAADyBAAAZHJzL2Rvd25y&#10;ZXYueG1sUEsFBgAAAAAEAAQA8wAAAPoFAAAAAA==&#10;" fillcolor="#e8f0fc [664]" stroked="f" strokeweight="2pt">
              <v:fill opacity="19789f"/>
              <w10:wrap anchorx="page" anchory="page"/>
            </v:rect>
          </w:pict>
        </mc:Fallback>
      </mc:AlternateContent>
    </w:r>
    <w:r w:rsidR="008E24D2">
      <w:t xml:space="preserve"> </w:t>
    </w:r>
    <w:r w:rsidR="00CC3AF8">
      <w:rPr>
        <w:noProof/>
      </w:rPr>
      <w:drawing>
        <wp:anchor distT="0" distB="0" distL="114300" distR="114300" simplePos="0" relativeHeight="251658245" behindDoc="1" locked="1" layoutInCell="1" allowOverlap="1" wp14:anchorId="3F6137CA" wp14:editId="08320703">
          <wp:simplePos x="0" y="0"/>
          <wp:positionH relativeFrom="page">
            <wp:align>center</wp:align>
          </wp:positionH>
          <wp:positionV relativeFrom="page">
            <wp:align>top</wp:align>
          </wp:positionV>
          <wp:extent cx="10677525" cy="721995"/>
          <wp:effectExtent l="0" t="0" r="0" b="1905"/>
          <wp:wrapNone/>
          <wp:docPr id="119065619" name="Picture 119065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77596" cy="722401"/>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BBC68" w14:textId="49E76F9F" w:rsidR="00822849" w:rsidRDefault="00E46B8C" w:rsidP="00670BC6">
    <w:r>
      <w:rPr>
        <w:noProof/>
      </w:rPr>
      <w:drawing>
        <wp:anchor distT="0" distB="0" distL="114300" distR="114300" simplePos="0" relativeHeight="251658250" behindDoc="1" locked="1" layoutInCell="1" allowOverlap="1" wp14:anchorId="4EB1FD74" wp14:editId="20688F42">
          <wp:simplePos x="0" y="0"/>
          <wp:positionH relativeFrom="page">
            <wp:posOffset>9525</wp:posOffset>
          </wp:positionH>
          <wp:positionV relativeFrom="page">
            <wp:posOffset>0</wp:posOffset>
          </wp:positionV>
          <wp:extent cx="10668000" cy="721995"/>
          <wp:effectExtent l="0" t="0" r="0" b="1905"/>
          <wp:wrapNone/>
          <wp:docPr id="965171943" name="Picture 9651719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65756" name="Picture 80226575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68000" cy="7219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10;&#10;Description automatically generated with medium confidence" style="width:104.25pt;height:16.5pt;visibility:visible" o:bullet="t">
        <v:imagedata r:id="rId1" o:title="Logo&#10;&#10;Description automatically generated with medium confidence"/>
      </v:shape>
    </w:pict>
  </w:numPicBullet>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A32382"/>
    <w:multiLevelType w:val="hybridMultilevel"/>
    <w:tmpl w:val="BC6AB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F83C5B"/>
    <w:multiLevelType w:val="hybridMultilevel"/>
    <w:tmpl w:val="7554A572"/>
    <w:lvl w:ilvl="0" w:tplc="93FEE756">
      <w:start w:val="1"/>
      <w:numFmt w:val="bullet"/>
      <w:lvlText w:val=""/>
      <w:lvlJc w:val="left"/>
      <w:pPr>
        <w:ind w:left="1440" w:hanging="360"/>
      </w:pPr>
      <w:rPr>
        <w:rFonts w:ascii="Symbol" w:hAnsi="Symbol"/>
      </w:rPr>
    </w:lvl>
    <w:lvl w:ilvl="1" w:tplc="87DC855C">
      <w:start w:val="1"/>
      <w:numFmt w:val="bullet"/>
      <w:lvlText w:val=""/>
      <w:lvlJc w:val="left"/>
      <w:pPr>
        <w:ind w:left="1440" w:hanging="360"/>
      </w:pPr>
      <w:rPr>
        <w:rFonts w:ascii="Symbol" w:hAnsi="Symbol"/>
      </w:rPr>
    </w:lvl>
    <w:lvl w:ilvl="2" w:tplc="7FC892EC">
      <w:start w:val="1"/>
      <w:numFmt w:val="bullet"/>
      <w:lvlText w:val=""/>
      <w:lvlJc w:val="left"/>
      <w:pPr>
        <w:ind w:left="1440" w:hanging="360"/>
      </w:pPr>
      <w:rPr>
        <w:rFonts w:ascii="Symbol" w:hAnsi="Symbol"/>
      </w:rPr>
    </w:lvl>
    <w:lvl w:ilvl="3" w:tplc="FBE66098">
      <w:start w:val="1"/>
      <w:numFmt w:val="bullet"/>
      <w:lvlText w:val=""/>
      <w:lvlJc w:val="left"/>
      <w:pPr>
        <w:ind w:left="1440" w:hanging="360"/>
      </w:pPr>
      <w:rPr>
        <w:rFonts w:ascii="Symbol" w:hAnsi="Symbol"/>
      </w:rPr>
    </w:lvl>
    <w:lvl w:ilvl="4" w:tplc="2CD09496">
      <w:start w:val="1"/>
      <w:numFmt w:val="bullet"/>
      <w:lvlText w:val=""/>
      <w:lvlJc w:val="left"/>
      <w:pPr>
        <w:ind w:left="1440" w:hanging="360"/>
      </w:pPr>
      <w:rPr>
        <w:rFonts w:ascii="Symbol" w:hAnsi="Symbol"/>
      </w:rPr>
    </w:lvl>
    <w:lvl w:ilvl="5" w:tplc="DE12E466">
      <w:start w:val="1"/>
      <w:numFmt w:val="bullet"/>
      <w:lvlText w:val=""/>
      <w:lvlJc w:val="left"/>
      <w:pPr>
        <w:ind w:left="1440" w:hanging="360"/>
      </w:pPr>
      <w:rPr>
        <w:rFonts w:ascii="Symbol" w:hAnsi="Symbol"/>
      </w:rPr>
    </w:lvl>
    <w:lvl w:ilvl="6" w:tplc="DB004616">
      <w:start w:val="1"/>
      <w:numFmt w:val="bullet"/>
      <w:lvlText w:val=""/>
      <w:lvlJc w:val="left"/>
      <w:pPr>
        <w:ind w:left="1440" w:hanging="360"/>
      </w:pPr>
      <w:rPr>
        <w:rFonts w:ascii="Symbol" w:hAnsi="Symbol"/>
      </w:rPr>
    </w:lvl>
    <w:lvl w:ilvl="7" w:tplc="1E82B4F6">
      <w:start w:val="1"/>
      <w:numFmt w:val="bullet"/>
      <w:lvlText w:val=""/>
      <w:lvlJc w:val="left"/>
      <w:pPr>
        <w:ind w:left="1440" w:hanging="360"/>
      </w:pPr>
      <w:rPr>
        <w:rFonts w:ascii="Symbol" w:hAnsi="Symbol"/>
      </w:rPr>
    </w:lvl>
    <w:lvl w:ilvl="8" w:tplc="DBCE2C86">
      <w:start w:val="1"/>
      <w:numFmt w:val="bullet"/>
      <w:lvlText w:val=""/>
      <w:lvlJc w:val="left"/>
      <w:pPr>
        <w:ind w:left="1440" w:hanging="360"/>
      </w:pPr>
      <w:rPr>
        <w:rFonts w:ascii="Symbol" w:hAnsi="Symbol"/>
      </w:rPr>
    </w:lvl>
  </w:abstractNum>
  <w:abstractNum w:abstractNumId="4" w15:restartNumberingAfterBreak="0">
    <w:nsid w:val="0F393E7F"/>
    <w:multiLevelType w:val="hybridMultilevel"/>
    <w:tmpl w:val="8F4E4E88"/>
    <w:lvl w:ilvl="0" w:tplc="48E4E614">
      <w:start w:val="1"/>
      <w:numFmt w:val="bullet"/>
      <w:lvlText w:val=""/>
      <w:lvlJc w:val="left"/>
      <w:pPr>
        <w:ind w:left="1440" w:hanging="360"/>
      </w:pPr>
      <w:rPr>
        <w:rFonts w:ascii="Symbol" w:hAnsi="Symbol"/>
      </w:rPr>
    </w:lvl>
    <w:lvl w:ilvl="1" w:tplc="3A4A86E8">
      <w:start w:val="1"/>
      <w:numFmt w:val="bullet"/>
      <w:lvlText w:val=""/>
      <w:lvlJc w:val="left"/>
      <w:pPr>
        <w:ind w:left="1440" w:hanging="360"/>
      </w:pPr>
      <w:rPr>
        <w:rFonts w:ascii="Symbol" w:hAnsi="Symbol"/>
      </w:rPr>
    </w:lvl>
    <w:lvl w:ilvl="2" w:tplc="110C6308">
      <w:start w:val="1"/>
      <w:numFmt w:val="bullet"/>
      <w:lvlText w:val=""/>
      <w:lvlJc w:val="left"/>
      <w:pPr>
        <w:ind w:left="1440" w:hanging="360"/>
      </w:pPr>
      <w:rPr>
        <w:rFonts w:ascii="Symbol" w:hAnsi="Symbol"/>
      </w:rPr>
    </w:lvl>
    <w:lvl w:ilvl="3" w:tplc="B9A46284">
      <w:start w:val="1"/>
      <w:numFmt w:val="bullet"/>
      <w:lvlText w:val=""/>
      <w:lvlJc w:val="left"/>
      <w:pPr>
        <w:ind w:left="1440" w:hanging="360"/>
      </w:pPr>
      <w:rPr>
        <w:rFonts w:ascii="Symbol" w:hAnsi="Symbol"/>
      </w:rPr>
    </w:lvl>
    <w:lvl w:ilvl="4" w:tplc="C9BCEDBA">
      <w:start w:val="1"/>
      <w:numFmt w:val="bullet"/>
      <w:lvlText w:val=""/>
      <w:lvlJc w:val="left"/>
      <w:pPr>
        <w:ind w:left="1440" w:hanging="360"/>
      </w:pPr>
      <w:rPr>
        <w:rFonts w:ascii="Symbol" w:hAnsi="Symbol"/>
      </w:rPr>
    </w:lvl>
    <w:lvl w:ilvl="5" w:tplc="9724C2D6">
      <w:start w:val="1"/>
      <w:numFmt w:val="bullet"/>
      <w:lvlText w:val=""/>
      <w:lvlJc w:val="left"/>
      <w:pPr>
        <w:ind w:left="1440" w:hanging="360"/>
      </w:pPr>
      <w:rPr>
        <w:rFonts w:ascii="Symbol" w:hAnsi="Symbol"/>
      </w:rPr>
    </w:lvl>
    <w:lvl w:ilvl="6" w:tplc="0EEA7CCC">
      <w:start w:val="1"/>
      <w:numFmt w:val="bullet"/>
      <w:lvlText w:val=""/>
      <w:lvlJc w:val="left"/>
      <w:pPr>
        <w:ind w:left="1440" w:hanging="360"/>
      </w:pPr>
      <w:rPr>
        <w:rFonts w:ascii="Symbol" w:hAnsi="Symbol"/>
      </w:rPr>
    </w:lvl>
    <w:lvl w:ilvl="7" w:tplc="00CCFFA8">
      <w:start w:val="1"/>
      <w:numFmt w:val="bullet"/>
      <w:lvlText w:val=""/>
      <w:lvlJc w:val="left"/>
      <w:pPr>
        <w:ind w:left="1440" w:hanging="360"/>
      </w:pPr>
      <w:rPr>
        <w:rFonts w:ascii="Symbol" w:hAnsi="Symbol"/>
      </w:rPr>
    </w:lvl>
    <w:lvl w:ilvl="8" w:tplc="7812D9B4">
      <w:start w:val="1"/>
      <w:numFmt w:val="bullet"/>
      <w:lvlText w:val=""/>
      <w:lvlJc w:val="left"/>
      <w:pPr>
        <w:ind w:left="1440" w:hanging="360"/>
      </w:pPr>
      <w:rPr>
        <w:rFonts w:ascii="Symbol" w:hAnsi="Symbol"/>
      </w:rPr>
    </w:lvl>
  </w:abstractNum>
  <w:abstractNum w:abstractNumId="5"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7" w15:restartNumberingAfterBreak="0">
    <w:nsid w:val="16CC4E5D"/>
    <w:multiLevelType w:val="multilevel"/>
    <w:tmpl w:val="D10E9CF6"/>
    <w:numStyleLink w:val="OneLevelList"/>
  </w:abstractNum>
  <w:abstractNum w:abstractNumId="8"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D8B0340"/>
    <w:multiLevelType w:val="hybridMultilevel"/>
    <w:tmpl w:val="98EC04E0"/>
    <w:lvl w:ilvl="0" w:tplc="45068CE0">
      <w:start w:val="1"/>
      <w:numFmt w:val="decimal"/>
      <w:lvlText w:val="%1)"/>
      <w:lvlJc w:val="left"/>
      <w:pPr>
        <w:ind w:left="1020" w:hanging="360"/>
      </w:pPr>
    </w:lvl>
    <w:lvl w:ilvl="1" w:tplc="E08CEB1C">
      <w:start w:val="1"/>
      <w:numFmt w:val="decimal"/>
      <w:lvlText w:val="%2)"/>
      <w:lvlJc w:val="left"/>
      <w:pPr>
        <w:ind w:left="1020" w:hanging="360"/>
      </w:pPr>
    </w:lvl>
    <w:lvl w:ilvl="2" w:tplc="2F2E7BBC">
      <w:start w:val="1"/>
      <w:numFmt w:val="decimal"/>
      <w:lvlText w:val="%3)"/>
      <w:lvlJc w:val="left"/>
      <w:pPr>
        <w:ind w:left="1020" w:hanging="360"/>
      </w:pPr>
    </w:lvl>
    <w:lvl w:ilvl="3" w:tplc="4128F502">
      <w:start w:val="1"/>
      <w:numFmt w:val="decimal"/>
      <w:lvlText w:val="%4)"/>
      <w:lvlJc w:val="left"/>
      <w:pPr>
        <w:ind w:left="1020" w:hanging="360"/>
      </w:pPr>
    </w:lvl>
    <w:lvl w:ilvl="4" w:tplc="F1BA1C2C">
      <w:start w:val="1"/>
      <w:numFmt w:val="decimal"/>
      <w:lvlText w:val="%5)"/>
      <w:lvlJc w:val="left"/>
      <w:pPr>
        <w:ind w:left="1020" w:hanging="360"/>
      </w:pPr>
    </w:lvl>
    <w:lvl w:ilvl="5" w:tplc="2E24655A">
      <w:start w:val="1"/>
      <w:numFmt w:val="decimal"/>
      <w:lvlText w:val="%6)"/>
      <w:lvlJc w:val="left"/>
      <w:pPr>
        <w:ind w:left="1020" w:hanging="360"/>
      </w:pPr>
    </w:lvl>
    <w:lvl w:ilvl="6" w:tplc="A52C1EC4">
      <w:start w:val="1"/>
      <w:numFmt w:val="decimal"/>
      <w:lvlText w:val="%7)"/>
      <w:lvlJc w:val="left"/>
      <w:pPr>
        <w:ind w:left="1020" w:hanging="360"/>
      </w:pPr>
    </w:lvl>
    <w:lvl w:ilvl="7" w:tplc="CE4817F8">
      <w:start w:val="1"/>
      <w:numFmt w:val="decimal"/>
      <w:lvlText w:val="%8)"/>
      <w:lvlJc w:val="left"/>
      <w:pPr>
        <w:ind w:left="1020" w:hanging="360"/>
      </w:pPr>
    </w:lvl>
    <w:lvl w:ilvl="8" w:tplc="FB8028C8">
      <w:start w:val="1"/>
      <w:numFmt w:val="decimal"/>
      <w:lvlText w:val="%9)"/>
      <w:lvlJc w:val="left"/>
      <w:pPr>
        <w:ind w:left="1020" w:hanging="360"/>
      </w:pPr>
    </w:lvl>
  </w:abstractNum>
  <w:abstractNum w:abstractNumId="10" w15:restartNumberingAfterBreak="0">
    <w:nsid w:val="21847491"/>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1" w15:restartNumberingAfterBreak="0">
    <w:nsid w:val="21963158"/>
    <w:multiLevelType w:val="hybridMultilevel"/>
    <w:tmpl w:val="76C003FA"/>
    <w:lvl w:ilvl="0" w:tplc="DB70EEFC">
      <w:start w:val="1"/>
      <w:numFmt w:val="bullet"/>
      <w:lvlText w:val=""/>
      <w:lvlJc w:val="left"/>
      <w:pPr>
        <w:ind w:left="1440" w:hanging="360"/>
      </w:pPr>
      <w:rPr>
        <w:rFonts w:ascii="Symbol" w:hAnsi="Symbol"/>
      </w:rPr>
    </w:lvl>
    <w:lvl w:ilvl="1" w:tplc="E6F85A6C">
      <w:start w:val="1"/>
      <w:numFmt w:val="bullet"/>
      <w:lvlText w:val=""/>
      <w:lvlJc w:val="left"/>
      <w:pPr>
        <w:ind w:left="1440" w:hanging="360"/>
      </w:pPr>
      <w:rPr>
        <w:rFonts w:ascii="Symbol" w:hAnsi="Symbol"/>
      </w:rPr>
    </w:lvl>
    <w:lvl w:ilvl="2" w:tplc="54DC1324">
      <w:start w:val="1"/>
      <w:numFmt w:val="bullet"/>
      <w:lvlText w:val=""/>
      <w:lvlJc w:val="left"/>
      <w:pPr>
        <w:ind w:left="1440" w:hanging="360"/>
      </w:pPr>
      <w:rPr>
        <w:rFonts w:ascii="Symbol" w:hAnsi="Symbol"/>
      </w:rPr>
    </w:lvl>
    <w:lvl w:ilvl="3" w:tplc="CC348E22">
      <w:start w:val="1"/>
      <w:numFmt w:val="bullet"/>
      <w:lvlText w:val=""/>
      <w:lvlJc w:val="left"/>
      <w:pPr>
        <w:ind w:left="1440" w:hanging="360"/>
      </w:pPr>
      <w:rPr>
        <w:rFonts w:ascii="Symbol" w:hAnsi="Symbol"/>
      </w:rPr>
    </w:lvl>
    <w:lvl w:ilvl="4" w:tplc="1EEA57F4">
      <w:start w:val="1"/>
      <w:numFmt w:val="bullet"/>
      <w:lvlText w:val=""/>
      <w:lvlJc w:val="left"/>
      <w:pPr>
        <w:ind w:left="1440" w:hanging="360"/>
      </w:pPr>
      <w:rPr>
        <w:rFonts w:ascii="Symbol" w:hAnsi="Symbol"/>
      </w:rPr>
    </w:lvl>
    <w:lvl w:ilvl="5" w:tplc="C3A29B18">
      <w:start w:val="1"/>
      <w:numFmt w:val="bullet"/>
      <w:lvlText w:val=""/>
      <w:lvlJc w:val="left"/>
      <w:pPr>
        <w:ind w:left="1440" w:hanging="360"/>
      </w:pPr>
      <w:rPr>
        <w:rFonts w:ascii="Symbol" w:hAnsi="Symbol"/>
      </w:rPr>
    </w:lvl>
    <w:lvl w:ilvl="6" w:tplc="80DE4EDA">
      <w:start w:val="1"/>
      <w:numFmt w:val="bullet"/>
      <w:lvlText w:val=""/>
      <w:lvlJc w:val="left"/>
      <w:pPr>
        <w:ind w:left="1440" w:hanging="360"/>
      </w:pPr>
      <w:rPr>
        <w:rFonts w:ascii="Symbol" w:hAnsi="Symbol"/>
      </w:rPr>
    </w:lvl>
    <w:lvl w:ilvl="7" w:tplc="9B326EBC">
      <w:start w:val="1"/>
      <w:numFmt w:val="bullet"/>
      <w:lvlText w:val=""/>
      <w:lvlJc w:val="left"/>
      <w:pPr>
        <w:ind w:left="1440" w:hanging="360"/>
      </w:pPr>
      <w:rPr>
        <w:rFonts w:ascii="Symbol" w:hAnsi="Symbol"/>
      </w:rPr>
    </w:lvl>
    <w:lvl w:ilvl="8" w:tplc="C344B41C">
      <w:start w:val="1"/>
      <w:numFmt w:val="bullet"/>
      <w:lvlText w:val=""/>
      <w:lvlJc w:val="left"/>
      <w:pPr>
        <w:ind w:left="1440" w:hanging="360"/>
      </w:pPr>
      <w:rPr>
        <w:rFonts w:ascii="Symbol" w:hAnsi="Symbol"/>
      </w:rPr>
    </w:lvl>
  </w:abstractNum>
  <w:abstractNum w:abstractNumId="12"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3"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8766764"/>
    <w:multiLevelType w:val="hybridMultilevel"/>
    <w:tmpl w:val="6EC29942"/>
    <w:lvl w:ilvl="0" w:tplc="E070C840">
      <w:start w:val="1"/>
      <w:numFmt w:val="bullet"/>
      <w:lvlText w:val=""/>
      <w:lvlJc w:val="left"/>
      <w:pPr>
        <w:ind w:left="1440" w:hanging="360"/>
      </w:pPr>
      <w:rPr>
        <w:rFonts w:ascii="Symbol" w:hAnsi="Symbol"/>
      </w:rPr>
    </w:lvl>
    <w:lvl w:ilvl="1" w:tplc="EA7E67E8">
      <w:start w:val="1"/>
      <w:numFmt w:val="bullet"/>
      <w:lvlText w:val=""/>
      <w:lvlJc w:val="left"/>
      <w:pPr>
        <w:ind w:left="1440" w:hanging="360"/>
      </w:pPr>
      <w:rPr>
        <w:rFonts w:ascii="Symbol" w:hAnsi="Symbol"/>
      </w:rPr>
    </w:lvl>
    <w:lvl w:ilvl="2" w:tplc="B4AEF72A">
      <w:start w:val="1"/>
      <w:numFmt w:val="bullet"/>
      <w:lvlText w:val=""/>
      <w:lvlJc w:val="left"/>
      <w:pPr>
        <w:ind w:left="1440" w:hanging="360"/>
      </w:pPr>
      <w:rPr>
        <w:rFonts w:ascii="Symbol" w:hAnsi="Symbol"/>
      </w:rPr>
    </w:lvl>
    <w:lvl w:ilvl="3" w:tplc="B706EF18">
      <w:start w:val="1"/>
      <w:numFmt w:val="bullet"/>
      <w:lvlText w:val=""/>
      <w:lvlJc w:val="left"/>
      <w:pPr>
        <w:ind w:left="1440" w:hanging="360"/>
      </w:pPr>
      <w:rPr>
        <w:rFonts w:ascii="Symbol" w:hAnsi="Symbol"/>
      </w:rPr>
    </w:lvl>
    <w:lvl w:ilvl="4" w:tplc="F13C2B74">
      <w:start w:val="1"/>
      <w:numFmt w:val="bullet"/>
      <w:lvlText w:val=""/>
      <w:lvlJc w:val="left"/>
      <w:pPr>
        <w:ind w:left="1440" w:hanging="360"/>
      </w:pPr>
      <w:rPr>
        <w:rFonts w:ascii="Symbol" w:hAnsi="Symbol"/>
      </w:rPr>
    </w:lvl>
    <w:lvl w:ilvl="5" w:tplc="7854A1E6">
      <w:start w:val="1"/>
      <w:numFmt w:val="bullet"/>
      <w:lvlText w:val=""/>
      <w:lvlJc w:val="left"/>
      <w:pPr>
        <w:ind w:left="1440" w:hanging="360"/>
      </w:pPr>
      <w:rPr>
        <w:rFonts w:ascii="Symbol" w:hAnsi="Symbol"/>
      </w:rPr>
    </w:lvl>
    <w:lvl w:ilvl="6" w:tplc="74DC9418">
      <w:start w:val="1"/>
      <w:numFmt w:val="bullet"/>
      <w:lvlText w:val=""/>
      <w:lvlJc w:val="left"/>
      <w:pPr>
        <w:ind w:left="1440" w:hanging="360"/>
      </w:pPr>
      <w:rPr>
        <w:rFonts w:ascii="Symbol" w:hAnsi="Symbol"/>
      </w:rPr>
    </w:lvl>
    <w:lvl w:ilvl="7" w:tplc="FC24B71C">
      <w:start w:val="1"/>
      <w:numFmt w:val="bullet"/>
      <w:lvlText w:val=""/>
      <w:lvlJc w:val="left"/>
      <w:pPr>
        <w:ind w:left="1440" w:hanging="360"/>
      </w:pPr>
      <w:rPr>
        <w:rFonts w:ascii="Symbol" w:hAnsi="Symbol"/>
      </w:rPr>
    </w:lvl>
    <w:lvl w:ilvl="8" w:tplc="1B723E0A">
      <w:start w:val="1"/>
      <w:numFmt w:val="bullet"/>
      <w:lvlText w:val=""/>
      <w:lvlJc w:val="left"/>
      <w:pPr>
        <w:ind w:left="1440" w:hanging="360"/>
      </w:pPr>
      <w:rPr>
        <w:rFonts w:ascii="Symbol" w:hAnsi="Symbol"/>
      </w:rPr>
    </w:lvl>
  </w:abstractNum>
  <w:abstractNum w:abstractNumId="15" w15:restartNumberingAfterBreak="0">
    <w:nsid w:val="2A2F7A6B"/>
    <w:multiLevelType w:val="hybridMultilevel"/>
    <w:tmpl w:val="560091EC"/>
    <w:lvl w:ilvl="0" w:tplc="79DA0C78">
      <w:start w:val="1"/>
      <w:numFmt w:val="bullet"/>
      <w:lvlText w:val=""/>
      <w:lvlJc w:val="left"/>
      <w:pPr>
        <w:ind w:left="1440" w:hanging="360"/>
      </w:pPr>
      <w:rPr>
        <w:rFonts w:ascii="Symbol" w:hAnsi="Symbol"/>
      </w:rPr>
    </w:lvl>
    <w:lvl w:ilvl="1" w:tplc="9D72C448">
      <w:start w:val="1"/>
      <w:numFmt w:val="bullet"/>
      <w:lvlText w:val=""/>
      <w:lvlJc w:val="left"/>
      <w:pPr>
        <w:ind w:left="1440" w:hanging="360"/>
      </w:pPr>
      <w:rPr>
        <w:rFonts w:ascii="Symbol" w:hAnsi="Symbol"/>
      </w:rPr>
    </w:lvl>
    <w:lvl w:ilvl="2" w:tplc="9D206414">
      <w:start w:val="1"/>
      <w:numFmt w:val="bullet"/>
      <w:lvlText w:val=""/>
      <w:lvlJc w:val="left"/>
      <w:pPr>
        <w:ind w:left="1440" w:hanging="360"/>
      </w:pPr>
      <w:rPr>
        <w:rFonts w:ascii="Symbol" w:hAnsi="Symbol"/>
      </w:rPr>
    </w:lvl>
    <w:lvl w:ilvl="3" w:tplc="E4DC561E">
      <w:start w:val="1"/>
      <w:numFmt w:val="bullet"/>
      <w:lvlText w:val=""/>
      <w:lvlJc w:val="left"/>
      <w:pPr>
        <w:ind w:left="1440" w:hanging="360"/>
      </w:pPr>
      <w:rPr>
        <w:rFonts w:ascii="Symbol" w:hAnsi="Symbol"/>
      </w:rPr>
    </w:lvl>
    <w:lvl w:ilvl="4" w:tplc="3D068548">
      <w:start w:val="1"/>
      <w:numFmt w:val="bullet"/>
      <w:lvlText w:val=""/>
      <w:lvlJc w:val="left"/>
      <w:pPr>
        <w:ind w:left="1440" w:hanging="360"/>
      </w:pPr>
      <w:rPr>
        <w:rFonts w:ascii="Symbol" w:hAnsi="Symbol"/>
      </w:rPr>
    </w:lvl>
    <w:lvl w:ilvl="5" w:tplc="BA283B94">
      <w:start w:val="1"/>
      <w:numFmt w:val="bullet"/>
      <w:lvlText w:val=""/>
      <w:lvlJc w:val="left"/>
      <w:pPr>
        <w:ind w:left="1440" w:hanging="360"/>
      </w:pPr>
      <w:rPr>
        <w:rFonts w:ascii="Symbol" w:hAnsi="Symbol"/>
      </w:rPr>
    </w:lvl>
    <w:lvl w:ilvl="6" w:tplc="0FB4B17A">
      <w:start w:val="1"/>
      <w:numFmt w:val="bullet"/>
      <w:lvlText w:val=""/>
      <w:lvlJc w:val="left"/>
      <w:pPr>
        <w:ind w:left="1440" w:hanging="360"/>
      </w:pPr>
      <w:rPr>
        <w:rFonts w:ascii="Symbol" w:hAnsi="Symbol"/>
      </w:rPr>
    </w:lvl>
    <w:lvl w:ilvl="7" w:tplc="3AAC4A22">
      <w:start w:val="1"/>
      <w:numFmt w:val="bullet"/>
      <w:lvlText w:val=""/>
      <w:lvlJc w:val="left"/>
      <w:pPr>
        <w:ind w:left="1440" w:hanging="360"/>
      </w:pPr>
      <w:rPr>
        <w:rFonts w:ascii="Symbol" w:hAnsi="Symbol"/>
      </w:rPr>
    </w:lvl>
    <w:lvl w:ilvl="8" w:tplc="4B4E4018">
      <w:start w:val="1"/>
      <w:numFmt w:val="bullet"/>
      <w:lvlText w:val=""/>
      <w:lvlJc w:val="left"/>
      <w:pPr>
        <w:ind w:left="1440" w:hanging="360"/>
      </w:pPr>
      <w:rPr>
        <w:rFonts w:ascii="Symbol" w:hAnsi="Symbol"/>
      </w:rPr>
    </w:lvl>
  </w:abstractNum>
  <w:abstractNum w:abstractNumId="16" w15:restartNumberingAfterBreak="0">
    <w:nsid w:val="2A3E3B48"/>
    <w:multiLevelType w:val="hybridMultilevel"/>
    <w:tmpl w:val="D40AF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97343B"/>
    <w:multiLevelType w:val="hybridMultilevel"/>
    <w:tmpl w:val="D952C6B4"/>
    <w:lvl w:ilvl="0" w:tplc="834C9BF2">
      <w:start w:val="1"/>
      <w:numFmt w:val="bullet"/>
      <w:lvlText w:val=""/>
      <w:lvlJc w:val="left"/>
      <w:pPr>
        <w:ind w:left="1440" w:hanging="360"/>
      </w:pPr>
      <w:rPr>
        <w:rFonts w:ascii="Symbol" w:hAnsi="Symbol"/>
      </w:rPr>
    </w:lvl>
    <w:lvl w:ilvl="1" w:tplc="29562940">
      <w:start w:val="1"/>
      <w:numFmt w:val="bullet"/>
      <w:lvlText w:val=""/>
      <w:lvlJc w:val="left"/>
      <w:pPr>
        <w:ind w:left="1440" w:hanging="360"/>
      </w:pPr>
      <w:rPr>
        <w:rFonts w:ascii="Symbol" w:hAnsi="Symbol"/>
      </w:rPr>
    </w:lvl>
    <w:lvl w:ilvl="2" w:tplc="06D8E2DA">
      <w:start w:val="1"/>
      <w:numFmt w:val="bullet"/>
      <w:lvlText w:val=""/>
      <w:lvlJc w:val="left"/>
      <w:pPr>
        <w:ind w:left="1440" w:hanging="360"/>
      </w:pPr>
      <w:rPr>
        <w:rFonts w:ascii="Symbol" w:hAnsi="Symbol"/>
      </w:rPr>
    </w:lvl>
    <w:lvl w:ilvl="3" w:tplc="5AFAC090">
      <w:start w:val="1"/>
      <w:numFmt w:val="bullet"/>
      <w:lvlText w:val=""/>
      <w:lvlJc w:val="left"/>
      <w:pPr>
        <w:ind w:left="1440" w:hanging="360"/>
      </w:pPr>
      <w:rPr>
        <w:rFonts w:ascii="Symbol" w:hAnsi="Symbol"/>
      </w:rPr>
    </w:lvl>
    <w:lvl w:ilvl="4" w:tplc="CF9C086E">
      <w:start w:val="1"/>
      <w:numFmt w:val="bullet"/>
      <w:lvlText w:val=""/>
      <w:lvlJc w:val="left"/>
      <w:pPr>
        <w:ind w:left="1440" w:hanging="360"/>
      </w:pPr>
      <w:rPr>
        <w:rFonts w:ascii="Symbol" w:hAnsi="Symbol"/>
      </w:rPr>
    </w:lvl>
    <w:lvl w:ilvl="5" w:tplc="E200C418">
      <w:start w:val="1"/>
      <w:numFmt w:val="bullet"/>
      <w:lvlText w:val=""/>
      <w:lvlJc w:val="left"/>
      <w:pPr>
        <w:ind w:left="1440" w:hanging="360"/>
      </w:pPr>
      <w:rPr>
        <w:rFonts w:ascii="Symbol" w:hAnsi="Symbol"/>
      </w:rPr>
    </w:lvl>
    <w:lvl w:ilvl="6" w:tplc="8272B696">
      <w:start w:val="1"/>
      <w:numFmt w:val="bullet"/>
      <w:lvlText w:val=""/>
      <w:lvlJc w:val="left"/>
      <w:pPr>
        <w:ind w:left="1440" w:hanging="360"/>
      </w:pPr>
      <w:rPr>
        <w:rFonts w:ascii="Symbol" w:hAnsi="Symbol"/>
      </w:rPr>
    </w:lvl>
    <w:lvl w:ilvl="7" w:tplc="13982DE4">
      <w:start w:val="1"/>
      <w:numFmt w:val="bullet"/>
      <w:lvlText w:val=""/>
      <w:lvlJc w:val="left"/>
      <w:pPr>
        <w:ind w:left="1440" w:hanging="360"/>
      </w:pPr>
      <w:rPr>
        <w:rFonts w:ascii="Symbol" w:hAnsi="Symbol"/>
      </w:rPr>
    </w:lvl>
    <w:lvl w:ilvl="8" w:tplc="0420B888">
      <w:start w:val="1"/>
      <w:numFmt w:val="bullet"/>
      <w:lvlText w:val=""/>
      <w:lvlJc w:val="left"/>
      <w:pPr>
        <w:ind w:left="1440" w:hanging="360"/>
      </w:pPr>
      <w:rPr>
        <w:rFonts w:ascii="Symbol" w:hAnsi="Symbol"/>
      </w:rPr>
    </w:lvl>
  </w:abstractNum>
  <w:abstractNum w:abstractNumId="18" w15:restartNumberingAfterBreak="0">
    <w:nsid w:val="2F6A3C70"/>
    <w:multiLevelType w:val="hybridMultilevel"/>
    <w:tmpl w:val="C868D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0" w15:restartNumberingAfterBreak="0">
    <w:nsid w:val="31EF577D"/>
    <w:multiLevelType w:val="hybridMultilevel"/>
    <w:tmpl w:val="49CA1762"/>
    <w:lvl w:ilvl="0" w:tplc="73E6BD10">
      <w:start w:val="1"/>
      <w:numFmt w:val="bullet"/>
      <w:lvlText w:val=""/>
      <w:lvlPicBulletId w:val="0"/>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2524376"/>
    <w:multiLevelType w:val="hybridMultilevel"/>
    <w:tmpl w:val="906AB26C"/>
    <w:lvl w:ilvl="0" w:tplc="83ACBD2A">
      <w:start w:val="1"/>
      <w:numFmt w:val="bullet"/>
      <w:lvlText w:val=""/>
      <w:lvlJc w:val="left"/>
      <w:pPr>
        <w:ind w:left="1440" w:hanging="360"/>
      </w:pPr>
      <w:rPr>
        <w:rFonts w:ascii="Symbol" w:hAnsi="Symbol"/>
      </w:rPr>
    </w:lvl>
    <w:lvl w:ilvl="1" w:tplc="8ABA9390">
      <w:start w:val="1"/>
      <w:numFmt w:val="bullet"/>
      <w:lvlText w:val=""/>
      <w:lvlJc w:val="left"/>
      <w:pPr>
        <w:ind w:left="1440" w:hanging="360"/>
      </w:pPr>
      <w:rPr>
        <w:rFonts w:ascii="Symbol" w:hAnsi="Symbol"/>
      </w:rPr>
    </w:lvl>
    <w:lvl w:ilvl="2" w:tplc="A5E6F1EE">
      <w:start w:val="1"/>
      <w:numFmt w:val="bullet"/>
      <w:lvlText w:val=""/>
      <w:lvlJc w:val="left"/>
      <w:pPr>
        <w:ind w:left="1440" w:hanging="360"/>
      </w:pPr>
      <w:rPr>
        <w:rFonts w:ascii="Symbol" w:hAnsi="Symbol"/>
      </w:rPr>
    </w:lvl>
    <w:lvl w:ilvl="3" w:tplc="BC245744">
      <w:start w:val="1"/>
      <w:numFmt w:val="bullet"/>
      <w:lvlText w:val=""/>
      <w:lvlJc w:val="left"/>
      <w:pPr>
        <w:ind w:left="1440" w:hanging="360"/>
      </w:pPr>
      <w:rPr>
        <w:rFonts w:ascii="Symbol" w:hAnsi="Symbol"/>
      </w:rPr>
    </w:lvl>
    <w:lvl w:ilvl="4" w:tplc="342288D2">
      <w:start w:val="1"/>
      <w:numFmt w:val="bullet"/>
      <w:lvlText w:val=""/>
      <w:lvlJc w:val="left"/>
      <w:pPr>
        <w:ind w:left="1440" w:hanging="360"/>
      </w:pPr>
      <w:rPr>
        <w:rFonts w:ascii="Symbol" w:hAnsi="Symbol"/>
      </w:rPr>
    </w:lvl>
    <w:lvl w:ilvl="5" w:tplc="5DFA92A0">
      <w:start w:val="1"/>
      <w:numFmt w:val="bullet"/>
      <w:lvlText w:val=""/>
      <w:lvlJc w:val="left"/>
      <w:pPr>
        <w:ind w:left="1440" w:hanging="360"/>
      </w:pPr>
      <w:rPr>
        <w:rFonts w:ascii="Symbol" w:hAnsi="Symbol"/>
      </w:rPr>
    </w:lvl>
    <w:lvl w:ilvl="6" w:tplc="B0E61B32">
      <w:start w:val="1"/>
      <w:numFmt w:val="bullet"/>
      <w:lvlText w:val=""/>
      <w:lvlJc w:val="left"/>
      <w:pPr>
        <w:ind w:left="1440" w:hanging="360"/>
      </w:pPr>
      <w:rPr>
        <w:rFonts w:ascii="Symbol" w:hAnsi="Symbol"/>
      </w:rPr>
    </w:lvl>
    <w:lvl w:ilvl="7" w:tplc="AD10E09A">
      <w:start w:val="1"/>
      <w:numFmt w:val="bullet"/>
      <w:lvlText w:val=""/>
      <w:lvlJc w:val="left"/>
      <w:pPr>
        <w:ind w:left="1440" w:hanging="360"/>
      </w:pPr>
      <w:rPr>
        <w:rFonts w:ascii="Symbol" w:hAnsi="Symbol"/>
      </w:rPr>
    </w:lvl>
    <w:lvl w:ilvl="8" w:tplc="1C623206">
      <w:start w:val="1"/>
      <w:numFmt w:val="bullet"/>
      <w:lvlText w:val=""/>
      <w:lvlJc w:val="left"/>
      <w:pPr>
        <w:ind w:left="1440" w:hanging="360"/>
      </w:pPr>
      <w:rPr>
        <w:rFonts w:ascii="Symbol" w:hAnsi="Symbol"/>
      </w:rPr>
    </w:lvl>
  </w:abstractNum>
  <w:abstractNum w:abstractNumId="23"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0C346A2"/>
    <w:multiLevelType w:val="hybridMultilevel"/>
    <w:tmpl w:val="F048ACC8"/>
    <w:lvl w:ilvl="0" w:tplc="1AACA4C2">
      <w:start w:val="1"/>
      <w:numFmt w:val="bullet"/>
      <w:lvlText w:val=""/>
      <w:lvlJc w:val="left"/>
      <w:pPr>
        <w:ind w:left="1440" w:hanging="360"/>
      </w:pPr>
      <w:rPr>
        <w:rFonts w:ascii="Symbol" w:hAnsi="Symbol"/>
      </w:rPr>
    </w:lvl>
    <w:lvl w:ilvl="1" w:tplc="3D567C9E">
      <w:start w:val="1"/>
      <w:numFmt w:val="bullet"/>
      <w:lvlText w:val=""/>
      <w:lvlJc w:val="left"/>
      <w:pPr>
        <w:ind w:left="1440" w:hanging="360"/>
      </w:pPr>
      <w:rPr>
        <w:rFonts w:ascii="Symbol" w:hAnsi="Symbol"/>
      </w:rPr>
    </w:lvl>
    <w:lvl w:ilvl="2" w:tplc="570E46F4">
      <w:start w:val="1"/>
      <w:numFmt w:val="bullet"/>
      <w:lvlText w:val=""/>
      <w:lvlJc w:val="left"/>
      <w:pPr>
        <w:ind w:left="1440" w:hanging="360"/>
      </w:pPr>
      <w:rPr>
        <w:rFonts w:ascii="Symbol" w:hAnsi="Symbol"/>
      </w:rPr>
    </w:lvl>
    <w:lvl w:ilvl="3" w:tplc="6B10B816">
      <w:start w:val="1"/>
      <w:numFmt w:val="bullet"/>
      <w:lvlText w:val=""/>
      <w:lvlJc w:val="left"/>
      <w:pPr>
        <w:ind w:left="1440" w:hanging="360"/>
      </w:pPr>
      <w:rPr>
        <w:rFonts w:ascii="Symbol" w:hAnsi="Symbol"/>
      </w:rPr>
    </w:lvl>
    <w:lvl w:ilvl="4" w:tplc="C4D245A2">
      <w:start w:val="1"/>
      <w:numFmt w:val="bullet"/>
      <w:lvlText w:val=""/>
      <w:lvlJc w:val="left"/>
      <w:pPr>
        <w:ind w:left="1440" w:hanging="360"/>
      </w:pPr>
      <w:rPr>
        <w:rFonts w:ascii="Symbol" w:hAnsi="Symbol"/>
      </w:rPr>
    </w:lvl>
    <w:lvl w:ilvl="5" w:tplc="A59A924A">
      <w:start w:val="1"/>
      <w:numFmt w:val="bullet"/>
      <w:lvlText w:val=""/>
      <w:lvlJc w:val="left"/>
      <w:pPr>
        <w:ind w:left="1440" w:hanging="360"/>
      </w:pPr>
      <w:rPr>
        <w:rFonts w:ascii="Symbol" w:hAnsi="Symbol"/>
      </w:rPr>
    </w:lvl>
    <w:lvl w:ilvl="6" w:tplc="CED8ABEA">
      <w:start w:val="1"/>
      <w:numFmt w:val="bullet"/>
      <w:lvlText w:val=""/>
      <w:lvlJc w:val="left"/>
      <w:pPr>
        <w:ind w:left="1440" w:hanging="360"/>
      </w:pPr>
      <w:rPr>
        <w:rFonts w:ascii="Symbol" w:hAnsi="Symbol"/>
      </w:rPr>
    </w:lvl>
    <w:lvl w:ilvl="7" w:tplc="C01207B6">
      <w:start w:val="1"/>
      <w:numFmt w:val="bullet"/>
      <w:lvlText w:val=""/>
      <w:lvlJc w:val="left"/>
      <w:pPr>
        <w:ind w:left="1440" w:hanging="360"/>
      </w:pPr>
      <w:rPr>
        <w:rFonts w:ascii="Symbol" w:hAnsi="Symbol"/>
      </w:rPr>
    </w:lvl>
    <w:lvl w:ilvl="8" w:tplc="382C4C6A">
      <w:start w:val="1"/>
      <w:numFmt w:val="bullet"/>
      <w:lvlText w:val=""/>
      <w:lvlJc w:val="left"/>
      <w:pPr>
        <w:ind w:left="1440" w:hanging="360"/>
      </w:pPr>
      <w:rPr>
        <w:rFonts w:ascii="Symbol" w:hAnsi="Symbol"/>
      </w:rPr>
    </w:lvl>
  </w:abstractNum>
  <w:abstractNum w:abstractNumId="25"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6" w15:restartNumberingAfterBreak="0">
    <w:nsid w:val="510D2021"/>
    <w:multiLevelType w:val="multilevel"/>
    <w:tmpl w:val="72F8140E"/>
    <w:numStyleLink w:val="OutlineList"/>
  </w:abstractNum>
  <w:abstractNum w:abstractNumId="27"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9BD7DFF"/>
    <w:multiLevelType w:val="multilevel"/>
    <w:tmpl w:val="55D42826"/>
    <w:name w:val="StandardBulletedList2"/>
    <w:lvl w:ilvl="0">
      <w:start w:val="1"/>
      <w:numFmt w:val="bullet"/>
      <w:lvlText w:val="•"/>
      <w:lvlJc w:val="left"/>
      <w:pPr>
        <w:ind w:left="284" w:hanging="284"/>
      </w:pPr>
      <w:rPr>
        <w:rFonts w:ascii="Times New Roman" w:hAnsi="Times New Roman" w:cs="Times New Roman" w:hint="default"/>
        <w:color w:val="auto"/>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9"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55B2509"/>
    <w:multiLevelType w:val="multilevel"/>
    <w:tmpl w:val="B4B0357A"/>
    <w:name w:val="StandardNumberedList"/>
    <w:lvl w:ilvl="0">
      <w:start w:val="1"/>
      <w:numFmt w:val="bullet"/>
      <w:lvlText w:val=""/>
      <w:lvlJc w:val="left"/>
      <w:pPr>
        <w:tabs>
          <w:tab w:val="num" w:pos="567"/>
        </w:tabs>
        <w:ind w:left="567" w:hanging="567"/>
      </w:pPr>
      <w:rPr>
        <w:rFonts w:ascii="Symbol" w:hAnsi="Symbol" w:hint="default"/>
      </w:rPr>
    </w:lvl>
    <w:lvl w:ilvl="1">
      <w:start w:val="1"/>
      <w:numFmt w:val="decimal"/>
      <w:lvlText w:val="%1.%2."/>
      <w:lvlJc w:val="left"/>
      <w:pPr>
        <w:tabs>
          <w:tab w:val="num" w:pos="1134"/>
        </w:tabs>
        <w:ind w:left="1134" w:hanging="567"/>
      </w:pPr>
    </w:lvl>
    <w:lvl w:ilvl="2">
      <w:start w:val="1"/>
      <w:numFmt w:val="decimal"/>
      <w:lvlText w:val="%1.%2.%3."/>
      <w:lvlJc w:val="left"/>
      <w:pPr>
        <w:tabs>
          <w:tab w:val="num" w:pos="1701"/>
        </w:tabs>
        <w:ind w:left="1701" w:hanging="567"/>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C042B02"/>
    <w:multiLevelType w:val="hybridMultilevel"/>
    <w:tmpl w:val="6C9E48C2"/>
    <w:lvl w:ilvl="0" w:tplc="D578DB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181079"/>
    <w:multiLevelType w:val="multilevel"/>
    <w:tmpl w:val="6F92BA82"/>
    <w:lvl w:ilvl="0">
      <w:start w:val="1"/>
      <w:numFmt w:val="bullet"/>
      <w:pStyle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3" w15:restartNumberingAfterBreak="0">
    <w:nsid w:val="75D255A8"/>
    <w:multiLevelType w:val="hybridMultilevel"/>
    <w:tmpl w:val="88AA6FAC"/>
    <w:lvl w:ilvl="0" w:tplc="A3848E3A">
      <w:start w:val="1"/>
      <w:numFmt w:val="bullet"/>
      <w:lvlText w:val=""/>
      <w:lvlJc w:val="left"/>
      <w:pPr>
        <w:ind w:left="1440" w:hanging="360"/>
      </w:pPr>
      <w:rPr>
        <w:rFonts w:ascii="Symbol" w:hAnsi="Symbol"/>
      </w:rPr>
    </w:lvl>
    <w:lvl w:ilvl="1" w:tplc="C90C8F46">
      <w:start w:val="1"/>
      <w:numFmt w:val="bullet"/>
      <w:lvlText w:val=""/>
      <w:lvlJc w:val="left"/>
      <w:pPr>
        <w:ind w:left="1440" w:hanging="360"/>
      </w:pPr>
      <w:rPr>
        <w:rFonts w:ascii="Symbol" w:hAnsi="Symbol"/>
      </w:rPr>
    </w:lvl>
    <w:lvl w:ilvl="2" w:tplc="01E8A28A">
      <w:start w:val="1"/>
      <w:numFmt w:val="bullet"/>
      <w:lvlText w:val=""/>
      <w:lvlJc w:val="left"/>
      <w:pPr>
        <w:ind w:left="1440" w:hanging="360"/>
      </w:pPr>
      <w:rPr>
        <w:rFonts w:ascii="Symbol" w:hAnsi="Symbol"/>
      </w:rPr>
    </w:lvl>
    <w:lvl w:ilvl="3" w:tplc="05A62544">
      <w:start w:val="1"/>
      <w:numFmt w:val="bullet"/>
      <w:lvlText w:val=""/>
      <w:lvlJc w:val="left"/>
      <w:pPr>
        <w:ind w:left="1440" w:hanging="360"/>
      </w:pPr>
      <w:rPr>
        <w:rFonts w:ascii="Symbol" w:hAnsi="Symbol"/>
      </w:rPr>
    </w:lvl>
    <w:lvl w:ilvl="4" w:tplc="20223F60">
      <w:start w:val="1"/>
      <w:numFmt w:val="bullet"/>
      <w:lvlText w:val=""/>
      <w:lvlJc w:val="left"/>
      <w:pPr>
        <w:ind w:left="1440" w:hanging="360"/>
      </w:pPr>
      <w:rPr>
        <w:rFonts w:ascii="Symbol" w:hAnsi="Symbol"/>
      </w:rPr>
    </w:lvl>
    <w:lvl w:ilvl="5" w:tplc="B4F24556">
      <w:start w:val="1"/>
      <w:numFmt w:val="bullet"/>
      <w:lvlText w:val=""/>
      <w:lvlJc w:val="left"/>
      <w:pPr>
        <w:ind w:left="1440" w:hanging="360"/>
      </w:pPr>
      <w:rPr>
        <w:rFonts w:ascii="Symbol" w:hAnsi="Symbol"/>
      </w:rPr>
    </w:lvl>
    <w:lvl w:ilvl="6" w:tplc="43B83D04">
      <w:start w:val="1"/>
      <w:numFmt w:val="bullet"/>
      <w:lvlText w:val=""/>
      <w:lvlJc w:val="left"/>
      <w:pPr>
        <w:ind w:left="1440" w:hanging="360"/>
      </w:pPr>
      <w:rPr>
        <w:rFonts w:ascii="Symbol" w:hAnsi="Symbol"/>
      </w:rPr>
    </w:lvl>
    <w:lvl w:ilvl="7" w:tplc="2C6C7F72">
      <w:start w:val="1"/>
      <w:numFmt w:val="bullet"/>
      <w:lvlText w:val=""/>
      <w:lvlJc w:val="left"/>
      <w:pPr>
        <w:ind w:left="1440" w:hanging="360"/>
      </w:pPr>
      <w:rPr>
        <w:rFonts w:ascii="Symbol" w:hAnsi="Symbol"/>
      </w:rPr>
    </w:lvl>
    <w:lvl w:ilvl="8" w:tplc="98E86F9E">
      <w:start w:val="1"/>
      <w:numFmt w:val="bullet"/>
      <w:lvlText w:val=""/>
      <w:lvlJc w:val="left"/>
      <w:pPr>
        <w:ind w:left="1440" w:hanging="360"/>
      </w:pPr>
      <w:rPr>
        <w:rFonts w:ascii="Symbol" w:hAnsi="Symbol"/>
      </w:rPr>
    </w:lvl>
  </w:abstractNum>
  <w:abstractNum w:abstractNumId="34"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8162D0B"/>
    <w:multiLevelType w:val="hybridMultilevel"/>
    <w:tmpl w:val="5164F65C"/>
    <w:lvl w:ilvl="0" w:tplc="B7A6E2C2">
      <w:start w:val="1"/>
      <w:numFmt w:val="bullet"/>
      <w:lvlText w:val=""/>
      <w:lvlJc w:val="left"/>
      <w:pPr>
        <w:ind w:left="1440" w:hanging="360"/>
      </w:pPr>
      <w:rPr>
        <w:rFonts w:ascii="Symbol" w:hAnsi="Symbol"/>
      </w:rPr>
    </w:lvl>
    <w:lvl w:ilvl="1" w:tplc="D1E4C656">
      <w:start w:val="1"/>
      <w:numFmt w:val="bullet"/>
      <w:lvlText w:val=""/>
      <w:lvlJc w:val="left"/>
      <w:pPr>
        <w:ind w:left="1440" w:hanging="360"/>
      </w:pPr>
      <w:rPr>
        <w:rFonts w:ascii="Symbol" w:hAnsi="Symbol"/>
      </w:rPr>
    </w:lvl>
    <w:lvl w:ilvl="2" w:tplc="448E8D70">
      <w:start w:val="1"/>
      <w:numFmt w:val="bullet"/>
      <w:lvlText w:val=""/>
      <w:lvlJc w:val="left"/>
      <w:pPr>
        <w:ind w:left="1440" w:hanging="360"/>
      </w:pPr>
      <w:rPr>
        <w:rFonts w:ascii="Symbol" w:hAnsi="Symbol"/>
      </w:rPr>
    </w:lvl>
    <w:lvl w:ilvl="3" w:tplc="848C4EEE">
      <w:start w:val="1"/>
      <w:numFmt w:val="bullet"/>
      <w:lvlText w:val=""/>
      <w:lvlJc w:val="left"/>
      <w:pPr>
        <w:ind w:left="1440" w:hanging="360"/>
      </w:pPr>
      <w:rPr>
        <w:rFonts w:ascii="Symbol" w:hAnsi="Symbol"/>
      </w:rPr>
    </w:lvl>
    <w:lvl w:ilvl="4" w:tplc="8DFED3B2">
      <w:start w:val="1"/>
      <w:numFmt w:val="bullet"/>
      <w:lvlText w:val=""/>
      <w:lvlJc w:val="left"/>
      <w:pPr>
        <w:ind w:left="1440" w:hanging="360"/>
      </w:pPr>
      <w:rPr>
        <w:rFonts w:ascii="Symbol" w:hAnsi="Symbol"/>
      </w:rPr>
    </w:lvl>
    <w:lvl w:ilvl="5" w:tplc="E7ECD17A">
      <w:start w:val="1"/>
      <w:numFmt w:val="bullet"/>
      <w:lvlText w:val=""/>
      <w:lvlJc w:val="left"/>
      <w:pPr>
        <w:ind w:left="1440" w:hanging="360"/>
      </w:pPr>
      <w:rPr>
        <w:rFonts w:ascii="Symbol" w:hAnsi="Symbol"/>
      </w:rPr>
    </w:lvl>
    <w:lvl w:ilvl="6" w:tplc="B302F716">
      <w:start w:val="1"/>
      <w:numFmt w:val="bullet"/>
      <w:lvlText w:val=""/>
      <w:lvlJc w:val="left"/>
      <w:pPr>
        <w:ind w:left="1440" w:hanging="360"/>
      </w:pPr>
      <w:rPr>
        <w:rFonts w:ascii="Symbol" w:hAnsi="Symbol"/>
      </w:rPr>
    </w:lvl>
    <w:lvl w:ilvl="7" w:tplc="A56A70E8">
      <w:start w:val="1"/>
      <w:numFmt w:val="bullet"/>
      <w:lvlText w:val=""/>
      <w:lvlJc w:val="left"/>
      <w:pPr>
        <w:ind w:left="1440" w:hanging="360"/>
      </w:pPr>
      <w:rPr>
        <w:rFonts w:ascii="Symbol" w:hAnsi="Symbol"/>
      </w:rPr>
    </w:lvl>
    <w:lvl w:ilvl="8" w:tplc="0FF23748">
      <w:start w:val="1"/>
      <w:numFmt w:val="bullet"/>
      <w:lvlText w:val=""/>
      <w:lvlJc w:val="left"/>
      <w:pPr>
        <w:ind w:left="1440" w:hanging="360"/>
      </w:pPr>
      <w:rPr>
        <w:rFonts w:ascii="Symbol" w:hAnsi="Symbol"/>
      </w:rPr>
    </w:lvl>
  </w:abstractNum>
  <w:abstractNum w:abstractNumId="36"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8"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509446909">
    <w:abstractNumId w:val="19"/>
  </w:num>
  <w:num w:numId="2" w16cid:durableId="230386874">
    <w:abstractNumId w:val="0"/>
  </w:num>
  <w:num w:numId="3" w16cid:durableId="1716855291">
    <w:abstractNumId w:val="23"/>
  </w:num>
  <w:num w:numId="4" w16cid:durableId="797724066">
    <w:abstractNumId w:val="5"/>
  </w:num>
  <w:num w:numId="5" w16cid:durableId="306596971">
    <w:abstractNumId w:val="26"/>
  </w:num>
  <w:num w:numId="6" w16cid:durableId="1043020558">
    <w:abstractNumId w:val="8"/>
  </w:num>
  <w:num w:numId="7" w16cid:durableId="832991063">
    <w:abstractNumId w:val="13"/>
  </w:num>
  <w:num w:numId="8" w16cid:durableId="143200778">
    <w:abstractNumId w:val="21"/>
  </w:num>
  <w:num w:numId="9" w16cid:durableId="1534227257">
    <w:abstractNumId w:val="32"/>
  </w:num>
  <w:num w:numId="10" w16cid:durableId="466092301">
    <w:abstractNumId w:val="31"/>
  </w:num>
  <w:num w:numId="11" w16cid:durableId="17107575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37843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14090167">
    <w:abstractNumId w:val="18"/>
  </w:num>
  <w:num w:numId="14" w16cid:durableId="2073306177">
    <w:abstractNumId w:val="9"/>
  </w:num>
  <w:num w:numId="15" w16cid:durableId="600650018">
    <w:abstractNumId w:val="4"/>
  </w:num>
  <w:num w:numId="16" w16cid:durableId="1085028210">
    <w:abstractNumId w:val="14"/>
  </w:num>
  <w:num w:numId="17" w16cid:durableId="203560220">
    <w:abstractNumId w:val="35"/>
  </w:num>
  <w:num w:numId="18" w16cid:durableId="1781415130">
    <w:abstractNumId w:val="24"/>
  </w:num>
  <w:num w:numId="19" w16cid:durableId="1251738701">
    <w:abstractNumId w:val="33"/>
  </w:num>
  <w:num w:numId="20" w16cid:durableId="410155717">
    <w:abstractNumId w:val="11"/>
  </w:num>
  <w:num w:numId="21" w16cid:durableId="618071686">
    <w:abstractNumId w:val="15"/>
  </w:num>
  <w:num w:numId="22" w16cid:durableId="1129401872">
    <w:abstractNumId w:val="3"/>
  </w:num>
  <w:num w:numId="23" w16cid:durableId="1278027823">
    <w:abstractNumId w:val="22"/>
  </w:num>
  <w:num w:numId="24" w16cid:durableId="1631977721">
    <w:abstractNumId w:val="17"/>
  </w:num>
  <w:num w:numId="25" w16cid:durableId="1194614797">
    <w:abstractNumId w:val="16"/>
  </w:num>
  <w:num w:numId="26" w16cid:durableId="1568685413">
    <w:abstractNumId w:val="2"/>
  </w:num>
  <w:num w:numId="27" w16cid:durableId="709110180">
    <w:abstractNumId w:val="7"/>
  </w:num>
  <w:num w:numId="28" w16cid:durableId="1739129519">
    <w:abstractNumId w:val="21"/>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9" w16cid:durableId="1591279926">
    <w:abstractNumId w:val="1"/>
  </w:num>
  <w:num w:numId="30" w16cid:durableId="215508863">
    <w:abstractNumId w:val="37"/>
  </w:num>
  <w:num w:numId="31" w16cid:durableId="1757362042">
    <w:abstractNumId w:val="38"/>
  </w:num>
  <w:num w:numId="32" w16cid:durableId="353965158">
    <w:abstractNumId w:val="25"/>
  </w:num>
  <w:num w:numId="33" w16cid:durableId="77220001">
    <w:abstractNumId w:val="12"/>
  </w:num>
  <w:num w:numId="34" w16cid:durableId="626086807">
    <w:abstractNumId w:val="29"/>
  </w:num>
  <w:num w:numId="35" w16cid:durableId="10540393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85910852">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96955640">
    <w:abstractNumId w:val="20"/>
  </w:num>
  <w:num w:numId="38" w16cid:durableId="525217854">
    <w:abstractNumId w:val="27"/>
  </w:num>
  <w:num w:numId="39" w16cid:durableId="1017973052">
    <w:abstractNumId w:val="6"/>
  </w:num>
  <w:num w:numId="40" w16cid:durableId="1198618205">
    <w:abstractNumId w:val="10"/>
  </w:num>
  <w:num w:numId="41" w16cid:durableId="163084725">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586D9D"/>
    <w:rsid w:val="0000017B"/>
    <w:rsid w:val="00000266"/>
    <w:rsid w:val="0000027C"/>
    <w:rsid w:val="000002B4"/>
    <w:rsid w:val="00000343"/>
    <w:rsid w:val="000003A2"/>
    <w:rsid w:val="00000589"/>
    <w:rsid w:val="00000605"/>
    <w:rsid w:val="00000650"/>
    <w:rsid w:val="000006A4"/>
    <w:rsid w:val="0000076F"/>
    <w:rsid w:val="000007D1"/>
    <w:rsid w:val="00000878"/>
    <w:rsid w:val="000008AD"/>
    <w:rsid w:val="00000952"/>
    <w:rsid w:val="00000A46"/>
    <w:rsid w:val="00000A69"/>
    <w:rsid w:val="00000B08"/>
    <w:rsid w:val="00000B0C"/>
    <w:rsid w:val="00000C18"/>
    <w:rsid w:val="00000CFF"/>
    <w:rsid w:val="00000D0E"/>
    <w:rsid w:val="00000D35"/>
    <w:rsid w:val="00000EC0"/>
    <w:rsid w:val="00000EE9"/>
    <w:rsid w:val="00000FD0"/>
    <w:rsid w:val="00001084"/>
    <w:rsid w:val="00001126"/>
    <w:rsid w:val="00001295"/>
    <w:rsid w:val="0000133B"/>
    <w:rsid w:val="000013A9"/>
    <w:rsid w:val="000013D2"/>
    <w:rsid w:val="000013EE"/>
    <w:rsid w:val="000014D0"/>
    <w:rsid w:val="0000154E"/>
    <w:rsid w:val="00001561"/>
    <w:rsid w:val="000016B4"/>
    <w:rsid w:val="00001743"/>
    <w:rsid w:val="00001829"/>
    <w:rsid w:val="0000185C"/>
    <w:rsid w:val="0000190A"/>
    <w:rsid w:val="000019CD"/>
    <w:rsid w:val="00001A3B"/>
    <w:rsid w:val="00001B33"/>
    <w:rsid w:val="00001B41"/>
    <w:rsid w:val="00001BBF"/>
    <w:rsid w:val="00001BE3"/>
    <w:rsid w:val="00001C97"/>
    <w:rsid w:val="00001CE6"/>
    <w:rsid w:val="00001D11"/>
    <w:rsid w:val="00001D2F"/>
    <w:rsid w:val="00001DFE"/>
    <w:rsid w:val="00001E67"/>
    <w:rsid w:val="00001F8F"/>
    <w:rsid w:val="00002062"/>
    <w:rsid w:val="0000207F"/>
    <w:rsid w:val="0000209F"/>
    <w:rsid w:val="00002163"/>
    <w:rsid w:val="000021CA"/>
    <w:rsid w:val="00002224"/>
    <w:rsid w:val="0000225C"/>
    <w:rsid w:val="0000229B"/>
    <w:rsid w:val="000022CB"/>
    <w:rsid w:val="00002496"/>
    <w:rsid w:val="000024DF"/>
    <w:rsid w:val="00002551"/>
    <w:rsid w:val="0000258A"/>
    <w:rsid w:val="00002591"/>
    <w:rsid w:val="00002730"/>
    <w:rsid w:val="0000274B"/>
    <w:rsid w:val="000027E9"/>
    <w:rsid w:val="00002801"/>
    <w:rsid w:val="00002804"/>
    <w:rsid w:val="0000283C"/>
    <w:rsid w:val="00002908"/>
    <w:rsid w:val="00002938"/>
    <w:rsid w:val="000029A2"/>
    <w:rsid w:val="000029CA"/>
    <w:rsid w:val="000029D6"/>
    <w:rsid w:val="00002AF8"/>
    <w:rsid w:val="00002C1D"/>
    <w:rsid w:val="00002C38"/>
    <w:rsid w:val="00002C4A"/>
    <w:rsid w:val="00002CD2"/>
    <w:rsid w:val="00002D2A"/>
    <w:rsid w:val="00002D2C"/>
    <w:rsid w:val="00002DA2"/>
    <w:rsid w:val="00002DB8"/>
    <w:rsid w:val="00002EA4"/>
    <w:rsid w:val="00002F58"/>
    <w:rsid w:val="00003032"/>
    <w:rsid w:val="00003046"/>
    <w:rsid w:val="000030C5"/>
    <w:rsid w:val="000030C7"/>
    <w:rsid w:val="000030C9"/>
    <w:rsid w:val="000030F7"/>
    <w:rsid w:val="00003194"/>
    <w:rsid w:val="0000320F"/>
    <w:rsid w:val="00003216"/>
    <w:rsid w:val="00003226"/>
    <w:rsid w:val="00003239"/>
    <w:rsid w:val="00003257"/>
    <w:rsid w:val="00003278"/>
    <w:rsid w:val="0000327E"/>
    <w:rsid w:val="00003307"/>
    <w:rsid w:val="000033C8"/>
    <w:rsid w:val="00003420"/>
    <w:rsid w:val="00003454"/>
    <w:rsid w:val="0000347C"/>
    <w:rsid w:val="00003492"/>
    <w:rsid w:val="000034BE"/>
    <w:rsid w:val="000034CD"/>
    <w:rsid w:val="000034E5"/>
    <w:rsid w:val="0000353A"/>
    <w:rsid w:val="000035C0"/>
    <w:rsid w:val="00003654"/>
    <w:rsid w:val="0000370B"/>
    <w:rsid w:val="00003754"/>
    <w:rsid w:val="000038DD"/>
    <w:rsid w:val="00003938"/>
    <w:rsid w:val="00003C3A"/>
    <w:rsid w:val="00003C59"/>
    <w:rsid w:val="00003C8C"/>
    <w:rsid w:val="00003D2B"/>
    <w:rsid w:val="00003E07"/>
    <w:rsid w:val="00003EA1"/>
    <w:rsid w:val="00003F0C"/>
    <w:rsid w:val="00003F0E"/>
    <w:rsid w:val="00003FCC"/>
    <w:rsid w:val="00004063"/>
    <w:rsid w:val="000040E9"/>
    <w:rsid w:val="00004152"/>
    <w:rsid w:val="000041B6"/>
    <w:rsid w:val="000042CF"/>
    <w:rsid w:val="00004338"/>
    <w:rsid w:val="000043F7"/>
    <w:rsid w:val="00004423"/>
    <w:rsid w:val="0000443B"/>
    <w:rsid w:val="00004496"/>
    <w:rsid w:val="0000455F"/>
    <w:rsid w:val="00004589"/>
    <w:rsid w:val="000045F3"/>
    <w:rsid w:val="000046D9"/>
    <w:rsid w:val="0000476A"/>
    <w:rsid w:val="000047A4"/>
    <w:rsid w:val="0000492F"/>
    <w:rsid w:val="0000498D"/>
    <w:rsid w:val="000049A9"/>
    <w:rsid w:val="000049E8"/>
    <w:rsid w:val="000049F4"/>
    <w:rsid w:val="00004A82"/>
    <w:rsid w:val="00004AA8"/>
    <w:rsid w:val="00004ABF"/>
    <w:rsid w:val="00004B3D"/>
    <w:rsid w:val="00004BB7"/>
    <w:rsid w:val="00004BE3"/>
    <w:rsid w:val="00004CBD"/>
    <w:rsid w:val="00004D0C"/>
    <w:rsid w:val="00004F21"/>
    <w:rsid w:val="00005122"/>
    <w:rsid w:val="00005179"/>
    <w:rsid w:val="000051EA"/>
    <w:rsid w:val="000052CD"/>
    <w:rsid w:val="000052DB"/>
    <w:rsid w:val="0000533D"/>
    <w:rsid w:val="000053DC"/>
    <w:rsid w:val="00005485"/>
    <w:rsid w:val="000054DB"/>
    <w:rsid w:val="000054F1"/>
    <w:rsid w:val="00005520"/>
    <w:rsid w:val="0000555E"/>
    <w:rsid w:val="000057A1"/>
    <w:rsid w:val="00005834"/>
    <w:rsid w:val="00005902"/>
    <w:rsid w:val="00005A09"/>
    <w:rsid w:val="00005A21"/>
    <w:rsid w:val="00005AF3"/>
    <w:rsid w:val="00005B95"/>
    <w:rsid w:val="00005BD0"/>
    <w:rsid w:val="00005CD9"/>
    <w:rsid w:val="00005D02"/>
    <w:rsid w:val="00005D08"/>
    <w:rsid w:val="00005D5F"/>
    <w:rsid w:val="00005D7B"/>
    <w:rsid w:val="00005D86"/>
    <w:rsid w:val="00005DB5"/>
    <w:rsid w:val="00005E32"/>
    <w:rsid w:val="00005F2D"/>
    <w:rsid w:val="00005F4B"/>
    <w:rsid w:val="00006056"/>
    <w:rsid w:val="00006167"/>
    <w:rsid w:val="00006178"/>
    <w:rsid w:val="00006185"/>
    <w:rsid w:val="00006272"/>
    <w:rsid w:val="0000628B"/>
    <w:rsid w:val="00006296"/>
    <w:rsid w:val="00006439"/>
    <w:rsid w:val="000064CD"/>
    <w:rsid w:val="00006525"/>
    <w:rsid w:val="0000652A"/>
    <w:rsid w:val="000065D7"/>
    <w:rsid w:val="000065F9"/>
    <w:rsid w:val="000068D5"/>
    <w:rsid w:val="000069E0"/>
    <w:rsid w:val="00006A0F"/>
    <w:rsid w:val="00006A47"/>
    <w:rsid w:val="00006A7F"/>
    <w:rsid w:val="00006AAF"/>
    <w:rsid w:val="00006B29"/>
    <w:rsid w:val="00006C52"/>
    <w:rsid w:val="00006C59"/>
    <w:rsid w:val="00006C5A"/>
    <w:rsid w:val="00006C86"/>
    <w:rsid w:val="00006CA0"/>
    <w:rsid w:val="00006F26"/>
    <w:rsid w:val="00007016"/>
    <w:rsid w:val="00007044"/>
    <w:rsid w:val="00007067"/>
    <w:rsid w:val="000070BC"/>
    <w:rsid w:val="000070CE"/>
    <w:rsid w:val="000070FD"/>
    <w:rsid w:val="0000711D"/>
    <w:rsid w:val="00007129"/>
    <w:rsid w:val="0000713E"/>
    <w:rsid w:val="0000728F"/>
    <w:rsid w:val="000072F5"/>
    <w:rsid w:val="00007344"/>
    <w:rsid w:val="00007347"/>
    <w:rsid w:val="000073DB"/>
    <w:rsid w:val="0000749E"/>
    <w:rsid w:val="000074DC"/>
    <w:rsid w:val="0000754F"/>
    <w:rsid w:val="0000756D"/>
    <w:rsid w:val="000075BB"/>
    <w:rsid w:val="00007603"/>
    <w:rsid w:val="00007655"/>
    <w:rsid w:val="0000771F"/>
    <w:rsid w:val="000077C6"/>
    <w:rsid w:val="0000794B"/>
    <w:rsid w:val="00007962"/>
    <w:rsid w:val="000079FB"/>
    <w:rsid w:val="00007A22"/>
    <w:rsid w:val="00007A8B"/>
    <w:rsid w:val="00007AD4"/>
    <w:rsid w:val="00007B51"/>
    <w:rsid w:val="00007BDC"/>
    <w:rsid w:val="00007BE4"/>
    <w:rsid w:val="00007C53"/>
    <w:rsid w:val="00007C8E"/>
    <w:rsid w:val="00007C95"/>
    <w:rsid w:val="00007D2A"/>
    <w:rsid w:val="00007F94"/>
    <w:rsid w:val="0001000A"/>
    <w:rsid w:val="00010026"/>
    <w:rsid w:val="000101CA"/>
    <w:rsid w:val="000101FF"/>
    <w:rsid w:val="0001029F"/>
    <w:rsid w:val="000102B2"/>
    <w:rsid w:val="0001032D"/>
    <w:rsid w:val="0001033B"/>
    <w:rsid w:val="00010359"/>
    <w:rsid w:val="00010397"/>
    <w:rsid w:val="000103D5"/>
    <w:rsid w:val="00010447"/>
    <w:rsid w:val="0001045B"/>
    <w:rsid w:val="00010501"/>
    <w:rsid w:val="00010516"/>
    <w:rsid w:val="000106FB"/>
    <w:rsid w:val="0001079E"/>
    <w:rsid w:val="0001080A"/>
    <w:rsid w:val="000109BE"/>
    <w:rsid w:val="000109F3"/>
    <w:rsid w:val="00010AA5"/>
    <w:rsid w:val="00010AAE"/>
    <w:rsid w:val="00010B0B"/>
    <w:rsid w:val="00010B52"/>
    <w:rsid w:val="00010B5E"/>
    <w:rsid w:val="00010BF5"/>
    <w:rsid w:val="00010CE2"/>
    <w:rsid w:val="00010D2A"/>
    <w:rsid w:val="00010D6D"/>
    <w:rsid w:val="00010F0E"/>
    <w:rsid w:val="00010FDA"/>
    <w:rsid w:val="00011060"/>
    <w:rsid w:val="00011070"/>
    <w:rsid w:val="0001109B"/>
    <w:rsid w:val="0001124B"/>
    <w:rsid w:val="00011321"/>
    <w:rsid w:val="00011338"/>
    <w:rsid w:val="00011399"/>
    <w:rsid w:val="00011414"/>
    <w:rsid w:val="0001151A"/>
    <w:rsid w:val="00011588"/>
    <w:rsid w:val="000115A9"/>
    <w:rsid w:val="000116EA"/>
    <w:rsid w:val="00011725"/>
    <w:rsid w:val="00011770"/>
    <w:rsid w:val="000118C3"/>
    <w:rsid w:val="000119C7"/>
    <w:rsid w:val="00011AAD"/>
    <w:rsid w:val="00011AC2"/>
    <w:rsid w:val="00011AD4"/>
    <w:rsid w:val="00011B31"/>
    <w:rsid w:val="00011B9A"/>
    <w:rsid w:val="00011C46"/>
    <w:rsid w:val="00011C9C"/>
    <w:rsid w:val="00011D30"/>
    <w:rsid w:val="00011D88"/>
    <w:rsid w:val="00011DA8"/>
    <w:rsid w:val="00011EDB"/>
    <w:rsid w:val="00011F75"/>
    <w:rsid w:val="00011FB5"/>
    <w:rsid w:val="00011FDC"/>
    <w:rsid w:val="00011FFD"/>
    <w:rsid w:val="00012130"/>
    <w:rsid w:val="000121AD"/>
    <w:rsid w:val="000121DB"/>
    <w:rsid w:val="00012284"/>
    <w:rsid w:val="000122E7"/>
    <w:rsid w:val="0001230C"/>
    <w:rsid w:val="00012317"/>
    <w:rsid w:val="00012349"/>
    <w:rsid w:val="000123B8"/>
    <w:rsid w:val="000123E2"/>
    <w:rsid w:val="0001246C"/>
    <w:rsid w:val="000124A1"/>
    <w:rsid w:val="000124A6"/>
    <w:rsid w:val="000124E4"/>
    <w:rsid w:val="0001252B"/>
    <w:rsid w:val="0001258E"/>
    <w:rsid w:val="000125D5"/>
    <w:rsid w:val="00012664"/>
    <w:rsid w:val="00012672"/>
    <w:rsid w:val="000126E8"/>
    <w:rsid w:val="00012723"/>
    <w:rsid w:val="0001272C"/>
    <w:rsid w:val="000127A1"/>
    <w:rsid w:val="00012800"/>
    <w:rsid w:val="00012808"/>
    <w:rsid w:val="0001280E"/>
    <w:rsid w:val="00012822"/>
    <w:rsid w:val="0001289F"/>
    <w:rsid w:val="000128B7"/>
    <w:rsid w:val="0001291B"/>
    <w:rsid w:val="00012954"/>
    <w:rsid w:val="000129C5"/>
    <w:rsid w:val="000129DA"/>
    <w:rsid w:val="00012AD0"/>
    <w:rsid w:val="00012AE9"/>
    <w:rsid w:val="00012AF1"/>
    <w:rsid w:val="00012B27"/>
    <w:rsid w:val="00012B99"/>
    <w:rsid w:val="00012BAD"/>
    <w:rsid w:val="00012C17"/>
    <w:rsid w:val="00012C62"/>
    <w:rsid w:val="00012D9E"/>
    <w:rsid w:val="00012E6C"/>
    <w:rsid w:val="00012E76"/>
    <w:rsid w:val="00012F83"/>
    <w:rsid w:val="00012F8D"/>
    <w:rsid w:val="00012F96"/>
    <w:rsid w:val="0001308C"/>
    <w:rsid w:val="000130A8"/>
    <w:rsid w:val="00013109"/>
    <w:rsid w:val="00013135"/>
    <w:rsid w:val="0001318C"/>
    <w:rsid w:val="00013279"/>
    <w:rsid w:val="000132AC"/>
    <w:rsid w:val="000132BB"/>
    <w:rsid w:val="00013318"/>
    <w:rsid w:val="0001336F"/>
    <w:rsid w:val="0001338F"/>
    <w:rsid w:val="00013438"/>
    <w:rsid w:val="00013473"/>
    <w:rsid w:val="000134C5"/>
    <w:rsid w:val="00013526"/>
    <w:rsid w:val="0001353B"/>
    <w:rsid w:val="00013571"/>
    <w:rsid w:val="000135C0"/>
    <w:rsid w:val="000136CF"/>
    <w:rsid w:val="00013718"/>
    <w:rsid w:val="0001377A"/>
    <w:rsid w:val="000138A4"/>
    <w:rsid w:val="00013953"/>
    <w:rsid w:val="0001396A"/>
    <w:rsid w:val="00013981"/>
    <w:rsid w:val="0001399B"/>
    <w:rsid w:val="00013A45"/>
    <w:rsid w:val="00013A59"/>
    <w:rsid w:val="00013A72"/>
    <w:rsid w:val="00013B38"/>
    <w:rsid w:val="00013B63"/>
    <w:rsid w:val="00013BE9"/>
    <w:rsid w:val="00013E04"/>
    <w:rsid w:val="00013E63"/>
    <w:rsid w:val="00013E83"/>
    <w:rsid w:val="00013EEE"/>
    <w:rsid w:val="00013F0A"/>
    <w:rsid w:val="00013F2C"/>
    <w:rsid w:val="00013F45"/>
    <w:rsid w:val="00013F78"/>
    <w:rsid w:val="00013F8F"/>
    <w:rsid w:val="00014025"/>
    <w:rsid w:val="0001409A"/>
    <w:rsid w:val="000140DE"/>
    <w:rsid w:val="00014264"/>
    <w:rsid w:val="0001427A"/>
    <w:rsid w:val="00014356"/>
    <w:rsid w:val="0001448B"/>
    <w:rsid w:val="000144AC"/>
    <w:rsid w:val="00014574"/>
    <w:rsid w:val="00014625"/>
    <w:rsid w:val="000146AB"/>
    <w:rsid w:val="00014746"/>
    <w:rsid w:val="000148E8"/>
    <w:rsid w:val="00014975"/>
    <w:rsid w:val="00014A3D"/>
    <w:rsid w:val="00014A41"/>
    <w:rsid w:val="00014ABB"/>
    <w:rsid w:val="00014ABE"/>
    <w:rsid w:val="00014B17"/>
    <w:rsid w:val="00014B27"/>
    <w:rsid w:val="00014BA3"/>
    <w:rsid w:val="00014C7C"/>
    <w:rsid w:val="00014C8C"/>
    <w:rsid w:val="00014DCC"/>
    <w:rsid w:val="00014DF3"/>
    <w:rsid w:val="00014E2F"/>
    <w:rsid w:val="00014E66"/>
    <w:rsid w:val="00015015"/>
    <w:rsid w:val="00015032"/>
    <w:rsid w:val="00015216"/>
    <w:rsid w:val="00015302"/>
    <w:rsid w:val="000153E1"/>
    <w:rsid w:val="000153EC"/>
    <w:rsid w:val="00015415"/>
    <w:rsid w:val="0001552D"/>
    <w:rsid w:val="00015539"/>
    <w:rsid w:val="0001556D"/>
    <w:rsid w:val="00015596"/>
    <w:rsid w:val="000155CF"/>
    <w:rsid w:val="000155D3"/>
    <w:rsid w:val="00015742"/>
    <w:rsid w:val="0001574C"/>
    <w:rsid w:val="00015760"/>
    <w:rsid w:val="0001578C"/>
    <w:rsid w:val="000157C3"/>
    <w:rsid w:val="000157ED"/>
    <w:rsid w:val="00015908"/>
    <w:rsid w:val="00015939"/>
    <w:rsid w:val="0001598C"/>
    <w:rsid w:val="00015A65"/>
    <w:rsid w:val="00015AC7"/>
    <w:rsid w:val="00015B4A"/>
    <w:rsid w:val="00015B65"/>
    <w:rsid w:val="00015B7F"/>
    <w:rsid w:val="00015B91"/>
    <w:rsid w:val="00015C1E"/>
    <w:rsid w:val="00015C1F"/>
    <w:rsid w:val="00015C72"/>
    <w:rsid w:val="00015E23"/>
    <w:rsid w:val="00015EA9"/>
    <w:rsid w:val="00015F9E"/>
    <w:rsid w:val="00015FD6"/>
    <w:rsid w:val="00015FE5"/>
    <w:rsid w:val="00015FEA"/>
    <w:rsid w:val="000160B0"/>
    <w:rsid w:val="00016138"/>
    <w:rsid w:val="00016245"/>
    <w:rsid w:val="000162A3"/>
    <w:rsid w:val="000162B1"/>
    <w:rsid w:val="000163A1"/>
    <w:rsid w:val="00016445"/>
    <w:rsid w:val="000164AA"/>
    <w:rsid w:val="00016506"/>
    <w:rsid w:val="0001650C"/>
    <w:rsid w:val="0001654A"/>
    <w:rsid w:val="0001670C"/>
    <w:rsid w:val="0001671C"/>
    <w:rsid w:val="00016722"/>
    <w:rsid w:val="00016833"/>
    <w:rsid w:val="00016BC7"/>
    <w:rsid w:val="00016BDF"/>
    <w:rsid w:val="00016C46"/>
    <w:rsid w:val="00016CD2"/>
    <w:rsid w:val="00016D70"/>
    <w:rsid w:val="00016DCC"/>
    <w:rsid w:val="00016F25"/>
    <w:rsid w:val="000170A3"/>
    <w:rsid w:val="000170AB"/>
    <w:rsid w:val="000171F5"/>
    <w:rsid w:val="0001723C"/>
    <w:rsid w:val="000172D8"/>
    <w:rsid w:val="0001731E"/>
    <w:rsid w:val="00017404"/>
    <w:rsid w:val="0001746F"/>
    <w:rsid w:val="0001748E"/>
    <w:rsid w:val="0001779C"/>
    <w:rsid w:val="0001788B"/>
    <w:rsid w:val="000178A4"/>
    <w:rsid w:val="00017B73"/>
    <w:rsid w:val="00017BB5"/>
    <w:rsid w:val="00017C4C"/>
    <w:rsid w:val="00017D64"/>
    <w:rsid w:val="00017DDD"/>
    <w:rsid w:val="00017E46"/>
    <w:rsid w:val="00017E4A"/>
    <w:rsid w:val="00017EBF"/>
    <w:rsid w:val="00017F0C"/>
    <w:rsid w:val="00017F60"/>
    <w:rsid w:val="00017F83"/>
    <w:rsid w:val="00017FBD"/>
    <w:rsid w:val="00020066"/>
    <w:rsid w:val="0002007E"/>
    <w:rsid w:val="000201D7"/>
    <w:rsid w:val="0002028E"/>
    <w:rsid w:val="000202AD"/>
    <w:rsid w:val="00020348"/>
    <w:rsid w:val="00020370"/>
    <w:rsid w:val="0002040E"/>
    <w:rsid w:val="0002044A"/>
    <w:rsid w:val="000204C0"/>
    <w:rsid w:val="00020581"/>
    <w:rsid w:val="000205B4"/>
    <w:rsid w:val="000206B4"/>
    <w:rsid w:val="000206E8"/>
    <w:rsid w:val="0002080E"/>
    <w:rsid w:val="00020812"/>
    <w:rsid w:val="00020935"/>
    <w:rsid w:val="000209EA"/>
    <w:rsid w:val="00020A08"/>
    <w:rsid w:val="00020A1E"/>
    <w:rsid w:val="00020A85"/>
    <w:rsid w:val="00020AE5"/>
    <w:rsid w:val="00020B1A"/>
    <w:rsid w:val="00020BB7"/>
    <w:rsid w:val="00020BC4"/>
    <w:rsid w:val="00020C4C"/>
    <w:rsid w:val="00020C61"/>
    <w:rsid w:val="00020C68"/>
    <w:rsid w:val="00020CDF"/>
    <w:rsid w:val="00020E7B"/>
    <w:rsid w:val="00020EC9"/>
    <w:rsid w:val="00020F49"/>
    <w:rsid w:val="00020FF1"/>
    <w:rsid w:val="00021180"/>
    <w:rsid w:val="00021281"/>
    <w:rsid w:val="00021371"/>
    <w:rsid w:val="00021408"/>
    <w:rsid w:val="00021523"/>
    <w:rsid w:val="00021671"/>
    <w:rsid w:val="0002168B"/>
    <w:rsid w:val="00021727"/>
    <w:rsid w:val="000219A1"/>
    <w:rsid w:val="00021A43"/>
    <w:rsid w:val="00021AB1"/>
    <w:rsid w:val="00021B77"/>
    <w:rsid w:val="00021C12"/>
    <w:rsid w:val="00021C95"/>
    <w:rsid w:val="00021D68"/>
    <w:rsid w:val="00021ECB"/>
    <w:rsid w:val="00021EF1"/>
    <w:rsid w:val="00021F1D"/>
    <w:rsid w:val="00021F3C"/>
    <w:rsid w:val="00021F81"/>
    <w:rsid w:val="00022395"/>
    <w:rsid w:val="000223CD"/>
    <w:rsid w:val="000224D8"/>
    <w:rsid w:val="000225CA"/>
    <w:rsid w:val="000226DC"/>
    <w:rsid w:val="00022701"/>
    <w:rsid w:val="00022722"/>
    <w:rsid w:val="000227AC"/>
    <w:rsid w:val="000227E1"/>
    <w:rsid w:val="0002286F"/>
    <w:rsid w:val="00022907"/>
    <w:rsid w:val="00022926"/>
    <w:rsid w:val="00022936"/>
    <w:rsid w:val="00022A68"/>
    <w:rsid w:val="00022B96"/>
    <w:rsid w:val="00022B9B"/>
    <w:rsid w:val="00022BAA"/>
    <w:rsid w:val="00022BD2"/>
    <w:rsid w:val="00022CAA"/>
    <w:rsid w:val="00022D9E"/>
    <w:rsid w:val="00022E99"/>
    <w:rsid w:val="00022FA6"/>
    <w:rsid w:val="0002304A"/>
    <w:rsid w:val="00023107"/>
    <w:rsid w:val="00023140"/>
    <w:rsid w:val="00023155"/>
    <w:rsid w:val="00023193"/>
    <w:rsid w:val="00023198"/>
    <w:rsid w:val="000231D8"/>
    <w:rsid w:val="000231E0"/>
    <w:rsid w:val="00023209"/>
    <w:rsid w:val="00023279"/>
    <w:rsid w:val="00023375"/>
    <w:rsid w:val="00023381"/>
    <w:rsid w:val="000233BB"/>
    <w:rsid w:val="00023489"/>
    <w:rsid w:val="000235B7"/>
    <w:rsid w:val="00023608"/>
    <w:rsid w:val="00023631"/>
    <w:rsid w:val="0002372D"/>
    <w:rsid w:val="00023733"/>
    <w:rsid w:val="0002373A"/>
    <w:rsid w:val="00023746"/>
    <w:rsid w:val="00023802"/>
    <w:rsid w:val="00023851"/>
    <w:rsid w:val="0002389A"/>
    <w:rsid w:val="00023926"/>
    <w:rsid w:val="0002395F"/>
    <w:rsid w:val="0002397F"/>
    <w:rsid w:val="0002398F"/>
    <w:rsid w:val="000239B6"/>
    <w:rsid w:val="00023AC5"/>
    <w:rsid w:val="00023AF8"/>
    <w:rsid w:val="00023B39"/>
    <w:rsid w:val="00023B7F"/>
    <w:rsid w:val="00023BE4"/>
    <w:rsid w:val="00023C2E"/>
    <w:rsid w:val="00023C46"/>
    <w:rsid w:val="00023CA7"/>
    <w:rsid w:val="00023CFC"/>
    <w:rsid w:val="00023D1E"/>
    <w:rsid w:val="00023D2E"/>
    <w:rsid w:val="00023E8E"/>
    <w:rsid w:val="00023E99"/>
    <w:rsid w:val="00023F4C"/>
    <w:rsid w:val="00023F84"/>
    <w:rsid w:val="00023F87"/>
    <w:rsid w:val="0002415D"/>
    <w:rsid w:val="0002424C"/>
    <w:rsid w:val="000244BF"/>
    <w:rsid w:val="000244EF"/>
    <w:rsid w:val="00024546"/>
    <w:rsid w:val="00024569"/>
    <w:rsid w:val="000245F8"/>
    <w:rsid w:val="0002473F"/>
    <w:rsid w:val="000247A0"/>
    <w:rsid w:val="000247F6"/>
    <w:rsid w:val="0002482D"/>
    <w:rsid w:val="00024865"/>
    <w:rsid w:val="00024911"/>
    <w:rsid w:val="00024969"/>
    <w:rsid w:val="00024AAE"/>
    <w:rsid w:val="00024ACA"/>
    <w:rsid w:val="00024AFC"/>
    <w:rsid w:val="00024B92"/>
    <w:rsid w:val="00024C01"/>
    <w:rsid w:val="00024CC0"/>
    <w:rsid w:val="00024D00"/>
    <w:rsid w:val="00024D66"/>
    <w:rsid w:val="000250B9"/>
    <w:rsid w:val="00025252"/>
    <w:rsid w:val="00025277"/>
    <w:rsid w:val="000252F3"/>
    <w:rsid w:val="0002534D"/>
    <w:rsid w:val="0002538D"/>
    <w:rsid w:val="0002539C"/>
    <w:rsid w:val="000253D9"/>
    <w:rsid w:val="0002544D"/>
    <w:rsid w:val="0002544E"/>
    <w:rsid w:val="000254B7"/>
    <w:rsid w:val="00025547"/>
    <w:rsid w:val="000255C0"/>
    <w:rsid w:val="000255E0"/>
    <w:rsid w:val="00025896"/>
    <w:rsid w:val="000258A7"/>
    <w:rsid w:val="000258ED"/>
    <w:rsid w:val="00025950"/>
    <w:rsid w:val="000259EE"/>
    <w:rsid w:val="00025B1F"/>
    <w:rsid w:val="00025C1E"/>
    <w:rsid w:val="00025D27"/>
    <w:rsid w:val="00025F50"/>
    <w:rsid w:val="00025F7C"/>
    <w:rsid w:val="00025FAB"/>
    <w:rsid w:val="000260A1"/>
    <w:rsid w:val="000261EA"/>
    <w:rsid w:val="0002621E"/>
    <w:rsid w:val="00026263"/>
    <w:rsid w:val="000262C7"/>
    <w:rsid w:val="000262EA"/>
    <w:rsid w:val="0002632A"/>
    <w:rsid w:val="0002635F"/>
    <w:rsid w:val="00026427"/>
    <w:rsid w:val="0002645C"/>
    <w:rsid w:val="00026470"/>
    <w:rsid w:val="0002649C"/>
    <w:rsid w:val="0002668D"/>
    <w:rsid w:val="000266A3"/>
    <w:rsid w:val="000266DB"/>
    <w:rsid w:val="0002675F"/>
    <w:rsid w:val="00026885"/>
    <w:rsid w:val="000268C6"/>
    <w:rsid w:val="000268CF"/>
    <w:rsid w:val="000269DE"/>
    <w:rsid w:val="00026A1E"/>
    <w:rsid w:val="00026AB0"/>
    <w:rsid w:val="00026B0F"/>
    <w:rsid w:val="00026B55"/>
    <w:rsid w:val="00026B58"/>
    <w:rsid w:val="00026C75"/>
    <w:rsid w:val="00026C8D"/>
    <w:rsid w:val="00026CF1"/>
    <w:rsid w:val="00026EA3"/>
    <w:rsid w:val="00026F32"/>
    <w:rsid w:val="00026F8E"/>
    <w:rsid w:val="00026FA1"/>
    <w:rsid w:val="00026FAB"/>
    <w:rsid w:val="00027034"/>
    <w:rsid w:val="00027055"/>
    <w:rsid w:val="000270C4"/>
    <w:rsid w:val="00027117"/>
    <w:rsid w:val="000271B3"/>
    <w:rsid w:val="000271CE"/>
    <w:rsid w:val="000271E4"/>
    <w:rsid w:val="0002739A"/>
    <w:rsid w:val="000273F9"/>
    <w:rsid w:val="00027494"/>
    <w:rsid w:val="000275AD"/>
    <w:rsid w:val="000275F2"/>
    <w:rsid w:val="00027664"/>
    <w:rsid w:val="000276C9"/>
    <w:rsid w:val="0002784E"/>
    <w:rsid w:val="000278A5"/>
    <w:rsid w:val="000278CF"/>
    <w:rsid w:val="00027914"/>
    <w:rsid w:val="00027B6F"/>
    <w:rsid w:val="00027B81"/>
    <w:rsid w:val="00027BC8"/>
    <w:rsid w:val="00027BE8"/>
    <w:rsid w:val="00027BF1"/>
    <w:rsid w:val="00027D7C"/>
    <w:rsid w:val="00027D91"/>
    <w:rsid w:val="00027DC4"/>
    <w:rsid w:val="00027DE1"/>
    <w:rsid w:val="00027E1C"/>
    <w:rsid w:val="00027ED4"/>
    <w:rsid w:val="00027F16"/>
    <w:rsid w:val="00027FC8"/>
    <w:rsid w:val="00030034"/>
    <w:rsid w:val="00030040"/>
    <w:rsid w:val="00030080"/>
    <w:rsid w:val="000300C8"/>
    <w:rsid w:val="00030153"/>
    <w:rsid w:val="0003018D"/>
    <w:rsid w:val="000301BF"/>
    <w:rsid w:val="000301EB"/>
    <w:rsid w:val="00030287"/>
    <w:rsid w:val="000303A4"/>
    <w:rsid w:val="00030439"/>
    <w:rsid w:val="0003049D"/>
    <w:rsid w:val="00030595"/>
    <w:rsid w:val="000305A8"/>
    <w:rsid w:val="00030672"/>
    <w:rsid w:val="000307AB"/>
    <w:rsid w:val="000308BD"/>
    <w:rsid w:val="00030927"/>
    <w:rsid w:val="0003092B"/>
    <w:rsid w:val="00030984"/>
    <w:rsid w:val="00030999"/>
    <w:rsid w:val="000309D9"/>
    <w:rsid w:val="00030BC6"/>
    <w:rsid w:val="00030C47"/>
    <w:rsid w:val="00030C95"/>
    <w:rsid w:val="00030CAB"/>
    <w:rsid w:val="00030D05"/>
    <w:rsid w:val="00030D50"/>
    <w:rsid w:val="00030D6F"/>
    <w:rsid w:val="00030D7C"/>
    <w:rsid w:val="00030E4C"/>
    <w:rsid w:val="00030E93"/>
    <w:rsid w:val="00030EFF"/>
    <w:rsid w:val="00031164"/>
    <w:rsid w:val="000312ED"/>
    <w:rsid w:val="0003170B"/>
    <w:rsid w:val="00031725"/>
    <w:rsid w:val="00031860"/>
    <w:rsid w:val="000318BD"/>
    <w:rsid w:val="000318C2"/>
    <w:rsid w:val="0003190B"/>
    <w:rsid w:val="0003194B"/>
    <w:rsid w:val="00031A89"/>
    <w:rsid w:val="00031BAB"/>
    <w:rsid w:val="00031BE5"/>
    <w:rsid w:val="00031C27"/>
    <w:rsid w:val="00031C85"/>
    <w:rsid w:val="00031CA5"/>
    <w:rsid w:val="00031D59"/>
    <w:rsid w:val="00031DBB"/>
    <w:rsid w:val="00031DCB"/>
    <w:rsid w:val="00031DF4"/>
    <w:rsid w:val="00031E3C"/>
    <w:rsid w:val="00031F26"/>
    <w:rsid w:val="00031FB1"/>
    <w:rsid w:val="00032042"/>
    <w:rsid w:val="0003204E"/>
    <w:rsid w:val="000320AC"/>
    <w:rsid w:val="00032112"/>
    <w:rsid w:val="00032132"/>
    <w:rsid w:val="000321E9"/>
    <w:rsid w:val="0003227E"/>
    <w:rsid w:val="00032334"/>
    <w:rsid w:val="00032343"/>
    <w:rsid w:val="00032372"/>
    <w:rsid w:val="00032398"/>
    <w:rsid w:val="00032456"/>
    <w:rsid w:val="00032556"/>
    <w:rsid w:val="000326CD"/>
    <w:rsid w:val="00032706"/>
    <w:rsid w:val="0003273B"/>
    <w:rsid w:val="00032782"/>
    <w:rsid w:val="000327A0"/>
    <w:rsid w:val="000327B4"/>
    <w:rsid w:val="0003292D"/>
    <w:rsid w:val="0003292F"/>
    <w:rsid w:val="00032939"/>
    <w:rsid w:val="000329A9"/>
    <w:rsid w:val="00032A21"/>
    <w:rsid w:val="00032ACA"/>
    <w:rsid w:val="00032AE8"/>
    <w:rsid w:val="00032BF3"/>
    <w:rsid w:val="00032C00"/>
    <w:rsid w:val="00032C71"/>
    <w:rsid w:val="00032C75"/>
    <w:rsid w:val="00032CF4"/>
    <w:rsid w:val="00032D28"/>
    <w:rsid w:val="00032D32"/>
    <w:rsid w:val="00032EC5"/>
    <w:rsid w:val="00032F2F"/>
    <w:rsid w:val="00032F70"/>
    <w:rsid w:val="0003303F"/>
    <w:rsid w:val="0003308E"/>
    <w:rsid w:val="0003310B"/>
    <w:rsid w:val="000331A0"/>
    <w:rsid w:val="000332C8"/>
    <w:rsid w:val="00033340"/>
    <w:rsid w:val="00033489"/>
    <w:rsid w:val="000334C1"/>
    <w:rsid w:val="000334DD"/>
    <w:rsid w:val="000334ED"/>
    <w:rsid w:val="00033567"/>
    <w:rsid w:val="000335AF"/>
    <w:rsid w:val="00033612"/>
    <w:rsid w:val="000336CB"/>
    <w:rsid w:val="000338D3"/>
    <w:rsid w:val="00033A79"/>
    <w:rsid w:val="00033BB0"/>
    <w:rsid w:val="00033C38"/>
    <w:rsid w:val="00033E3F"/>
    <w:rsid w:val="00033EC0"/>
    <w:rsid w:val="00033EF5"/>
    <w:rsid w:val="00033F72"/>
    <w:rsid w:val="00033FB1"/>
    <w:rsid w:val="00033FB8"/>
    <w:rsid w:val="00033FD7"/>
    <w:rsid w:val="000340E4"/>
    <w:rsid w:val="000341C6"/>
    <w:rsid w:val="00034260"/>
    <w:rsid w:val="000342E3"/>
    <w:rsid w:val="000342EA"/>
    <w:rsid w:val="0003435F"/>
    <w:rsid w:val="00034395"/>
    <w:rsid w:val="000345C8"/>
    <w:rsid w:val="00034608"/>
    <w:rsid w:val="0003465B"/>
    <w:rsid w:val="0003467D"/>
    <w:rsid w:val="00034708"/>
    <w:rsid w:val="00034710"/>
    <w:rsid w:val="00034993"/>
    <w:rsid w:val="000349A3"/>
    <w:rsid w:val="000349D4"/>
    <w:rsid w:val="000349F1"/>
    <w:rsid w:val="00034A7A"/>
    <w:rsid w:val="00034BC7"/>
    <w:rsid w:val="00034D22"/>
    <w:rsid w:val="00034D87"/>
    <w:rsid w:val="00034D9D"/>
    <w:rsid w:val="00034DA1"/>
    <w:rsid w:val="00034E96"/>
    <w:rsid w:val="00034F24"/>
    <w:rsid w:val="00034F2E"/>
    <w:rsid w:val="0003502D"/>
    <w:rsid w:val="000350B0"/>
    <w:rsid w:val="000350B2"/>
    <w:rsid w:val="000350D5"/>
    <w:rsid w:val="00035125"/>
    <w:rsid w:val="00035173"/>
    <w:rsid w:val="000351FD"/>
    <w:rsid w:val="0003521A"/>
    <w:rsid w:val="0003523B"/>
    <w:rsid w:val="0003528A"/>
    <w:rsid w:val="000352F0"/>
    <w:rsid w:val="0003531B"/>
    <w:rsid w:val="0003538F"/>
    <w:rsid w:val="00035440"/>
    <w:rsid w:val="0003553D"/>
    <w:rsid w:val="0003556C"/>
    <w:rsid w:val="00035585"/>
    <w:rsid w:val="000355EA"/>
    <w:rsid w:val="000356B5"/>
    <w:rsid w:val="000356D8"/>
    <w:rsid w:val="0003581D"/>
    <w:rsid w:val="00035870"/>
    <w:rsid w:val="000358EE"/>
    <w:rsid w:val="0003596B"/>
    <w:rsid w:val="00035BDE"/>
    <w:rsid w:val="00035BED"/>
    <w:rsid w:val="00035C51"/>
    <w:rsid w:val="00035C9C"/>
    <w:rsid w:val="00035CA6"/>
    <w:rsid w:val="00035DD9"/>
    <w:rsid w:val="00035F1C"/>
    <w:rsid w:val="00035F4B"/>
    <w:rsid w:val="00035F53"/>
    <w:rsid w:val="00036023"/>
    <w:rsid w:val="0003614F"/>
    <w:rsid w:val="000361AD"/>
    <w:rsid w:val="0003622C"/>
    <w:rsid w:val="0003622E"/>
    <w:rsid w:val="00036308"/>
    <w:rsid w:val="000364AB"/>
    <w:rsid w:val="000364ED"/>
    <w:rsid w:val="0003657B"/>
    <w:rsid w:val="00036626"/>
    <w:rsid w:val="000366B8"/>
    <w:rsid w:val="000366C8"/>
    <w:rsid w:val="0003672B"/>
    <w:rsid w:val="00036768"/>
    <w:rsid w:val="00036793"/>
    <w:rsid w:val="000367CD"/>
    <w:rsid w:val="0003680D"/>
    <w:rsid w:val="00036879"/>
    <w:rsid w:val="000368AB"/>
    <w:rsid w:val="00036959"/>
    <w:rsid w:val="00036A89"/>
    <w:rsid w:val="00036C28"/>
    <w:rsid w:val="00036CDF"/>
    <w:rsid w:val="00036DC5"/>
    <w:rsid w:val="00036DFF"/>
    <w:rsid w:val="00036E36"/>
    <w:rsid w:val="00036E5D"/>
    <w:rsid w:val="00036E7A"/>
    <w:rsid w:val="00036E89"/>
    <w:rsid w:val="00036EFD"/>
    <w:rsid w:val="00036F6B"/>
    <w:rsid w:val="00036F82"/>
    <w:rsid w:val="00037083"/>
    <w:rsid w:val="00037095"/>
    <w:rsid w:val="0003709C"/>
    <w:rsid w:val="000370C1"/>
    <w:rsid w:val="0003711A"/>
    <w:rsid w:val="00037216"/>
    <w:rsid w:val="000373FA"/>
    <w:rsid w:val="00037415"/>
    <w:rsid w:val="0003742C"/>
    <w:rsid w:val="0003745D"/>
    <w:rsid w:val="0003747E"/>
    <w:rsid w:val="00037558"/>
    <w:rsid w:val="000375D8"/>
    <w:rsid w:val="000375F6"/>
    <w:rsid w:val="0003761E"/>
    <w:rsid w:val="00037673"/>
    <w:rsid w:val="000376E7"/>
    <w:rsid w:val="0003779F"/>
    <w:rsid w:val="000378F5"/>
    <w:rsid w:val="000378FC"/>
    <w:rsid w:val="00037908"/>
    <w:rsid w:val="00037991"/>
    <w:rsid w:val="000379AC"/>
    <w:rsid w:val="000379D2"/>
    <w:rsid w:val="000379D3"/>
    <w:rsid w:val="00037A38"/>
    <w:rsid w:val="00037A82"/>
    <w:rsid w:val="00037AA4"/>
    <w:rsid w:val="00037B90"/>
    <w:rsid w:val="00037C02"/>
    <w:rsid w:val="00037C0A"/>
    <w:rsid w:val="00037D09"/>
    <w:rsid w:val="00037D2B"/>
    <w:rsid w:val="00037DB5"/>
    <w:rsid w:val="00037EEB"/>
    <w:rsid w:val="00037F47"/>
    <w:rsid w:val="00037FCC"/>
    <w:rsid w:val="00040043"/>
    <w:rsid w:val="000400D1"/>
    <w:rsid w:val="000400F1"/>
    <w:rsid w:val="00040134"/>
    <w:rsid w:val="000401CC"/>
    <w:rsid w:val="0004035E"/>
    <w:rsid w:val="00040399"/>
    <w:rsid w:val="0004049C"/>
    <w:rsid w:val="00040538"/>
    <w:rsid w:val="00040632"/>
    <w:rsid w:val="00040680"/>
    <w:rsid w:val="000406A1"/>
    <w:rsid w:val="00040736"/>
    <w:rsid w:val="00040793"/>
    <w:rsid w:val="000407F5"/>
    <w:rsid w:val="000408E2"/>
    <w:rsid w:val="0004097C"/>
    <w:rsid w:val="000409BA"/>
    <w:rsid w:val="00040A0D"/>
    <w:rsid w:val="00040A43"/>
    <w:rsid w:val="00040A9D"/>
    <w:rsid w:val="00040B1B"/>
    <w:rsid w:val="00040B2A"/>
    <w:rsid w:val="00040B3A"/>
    <w:rsid w:val="00040C43"/>
    <w:rsid w:val="00040C77"/>
    <w:rsid w:val="00040DCF"/>
    <w:rsid w:val="00040E4F"/>
    <w:rsid w:val="00040E78"/>
    <w:rsid w:val="00040E83"/>
    <w:rsid w:val="00040EBB"/>
    <w:rsid w:val="00040F62"/>
    <w:rsid w:val="00041012"/>
    <w:rsid w:val="00041100"/>
    <w:rsid w:val="00041117"/>
    <w:rsid w:val="00041132"/>
    <w:rsid w:val="00041190"/>
    <w:rsid w:val="00041278"/>
    <w:rsid w:val="00041528"/>
    <w:rsid w:val="0004162A"/>
    <w:rsid w:val="0004162D"/>
    <w:rsid w:val="000416E5"/>
    <w:rsid w:val="000418F1"/>
    <w:rsid w:val="0004190B"/>
    <w:rsid w:val="000419B5"/>
    <w:rsid w:val="000419EE"/>
    <w:rsid w:val="00041A57"/>
    <w:rsid w:val="00041A5A"/>
    <w:rsid w:val="00041AC7"/>
    <w:rsid w:val="00041AFB"/>
    <w:rsid w:val="00041B3E"/>
    <w:rsid w:val="00041B60"/>
    <w:rsid w:val="00041C00"/>
    <w:rsid w:val="00041E06"/>
    <w:rsid w:val="00041F3A"/>
    <w:rsid w:val="00041FC8"/>
    <w:rsid w:val="00042017"/>
    <w:rsid w:val="0004216D"/>
    <w:rsid w:val="00042174"/>
    <w:rsid w:val="000421F6"/>
    <w:rsid w:val="000423BF"/>
    <w:rsid w:val="0004242E"/>
    <w:rsid w:val="00042500"/>
    <w:rsid w:val="0004274D"/>
    <w:rsid w:val="00042956"/>
    <w:rsid w:val="00042A14"/>
    <w:rsid w:val="00042A62"/>
    <w:rsid w:val="00042B16"/>
    <w:rsid w:val="00042B4C"/>
    <w:rsid w:val="00042B7D"/>
    <w:rsid w:val="00042B7E"/>
    <w:rsid w:val="00042D24"/>
    <w:rsid w:val="00042EB7"/>
    <w:rsid w:val="00042EC7"/>
    <w:rsid w:val="00042F59"/>
    <w:rsid w:val="00042F61"/>
    <w:rsid w:val="00043021"/>
    <w:rsid w:val="00043131"/>
    <w:rsid w:val="00043190"/>
    <w:rsid w:val="00043262"/>
    <w:rsid w:val="000432D9"/>
    <w:rsid w:val="00043348"/>
    <w:rsid w:val="00043402"/>
    <w:rsid w:val="00043415"/>
    <w:rsid w:val="00043662"/>
    <w:rsid w:val="00043673"/>
    <w:rsid w:val="000436A6"/>
    <w:rsid w:val="0004373C"/>
    <w:rsid w:val="00043810"/>
    <w:rsid w:val="00043871"/>
    <w:rsid w:val="000438D0"/>
    <w:rsid w:val="000438D5"/>
    <w:rsid w:val="00043BA4"/>
    <w:rsid w:val="00043C13"/>
    <w:rsid w:val="00043C84"/>
    <w:rsid w:val="00043C8E"/>
    <w:rsid w:val="00043CC2"/>
    <w:rsid w:val="00043CCA"/>
    <w:rsid w:val="00043D63"/>
    <w:rsid w:val="00043D6F"/>
    <w:rsid w:val="00043D93"/>
    <w:rsid w:val="00043DC1"/>
    <w:rsid w:val="00043E26"/>
    <w:rsid w:val="00043F7B"/>
    <w:rsid w:val="00044015"/>
    <w:rsid w:val="0004401F"/>
    <w:rsid w:val="00044036"/>
    <w:rsid w:val="0004404C"/>
    <w:rsid w:val="0004410A"/>
    <w:rsid w:val="0004412C"/>
    <w:rsid w:val="000441F7"/>
    <w:rsid w:val="000441F9"/>
    <w:rsid w:val="00044297"/>
    <w:rsid w:val="0004430A"/>
    <w:rsid w:val="00044321"/>
    <w:rsid w:val="00044407"/>
    <w:rsid w:val="000444F0"/>
    <w:rsid w:val="0004464B"/>
    <w:rsid w:val="0004465A"/>
    <w:rsid w:val="000446BA"/>
    <w:rsid w:val="0004475D"/>
    <w:rsid w:val="0004478A"/>
    <w:rsid w:val="000447F0"/>
    <w:rsid w:val="0004483F"/>
    <w:rsid w:val="00044845"/>
    <w:rsid w:val="000448C4"/>
    <w:rsid w:val="000448D4"/>
    <w:rsid w:val="00044937"/>
    <w:rsid w:val="000449C3"/>
    <w:rsid w:val="000449DC"/>
    <w:rsid w:val="00044A2F"/>
    <w:rsid w:val="00044AB8"/>
    <w:rsid w:val="00044AC2"/>
    <w:rsid w:val="00044D10"/>
    <w:rsid w:val="00044DA9"/>
    <w:rsid w:val="00044DAC"/>
    <w:rsid w:val="00044DBE"/>
    <w:rsid w:val="00044E00"/>
    <w:rsid w:val="00044E1A"/>
    <w:rsid w:val="00044E4D"/>
    <w:rsid w:val="0004501F"/>
    <w:rsid w:val="00045223"/>
    <w:rsid w:val="00045257"/>
    <w:rsid w:val="000452C7"/>
    <w:rsid w:val="0004537C"/>
    <w:rsid w:val="00045386"/>
    <w:rsid w:val="0004540C"/>
    <w:rsid w:val="0004542D"/>
    <w:rsid w:val="00045478"/>
    <w:rsid w:val="0004549D"/>
    <w:rsid w:val="0004550C"/>
    <w:rsid w:val="0004559D"/>
    <w:rsid w:val="00045672"/>
    <w:rsid w:val="0004568F"/>
    <w:rsid w:val="00045709"/>
    <w:rsid w:val="0004573A"/>
    <w:rsid w:val="00045745"/>
    <w:rsid w:val="00045852"/>
    <w:rsid w:val="00045902"/>
    <w:rsid w:val="0004595B"/>
    <w:rsid w:val="000459A4"/>
    <w:rsid w:val="00045A13"/>
    <w:rsid w:val="00045A41"/>
    <w:rsid w:val="00045A71"/>
    <w:rsid w:val="00045AB8"/>
    <w:rsid w:val="00045B7B"/>
    <w:rsid w:val="00045C3F"/>
    <w:rsid w:val="00045CC5"/>
    <w:rsid w:val="00045D91"/>
    <w:rsid w:val="00045E1C"/>
    <w:rsid w:val="00045EE6"/>
    <w:rsid w:val="00046016"/>
    <w:rsid w:val="00046042"/>
    <w:rsid w:val="0004618B"/>
    <w:rsid w:val="000462F5"/>
    <w:rsid w:val="0004632C"/>
    <w:rsid w:val="000463B6"/>
    <w:rsid w:val="0004641D"/>
    <w:rsid w:val="0004647C"/>
    <w:rsid w:val="00046497"/>
    <w:rsid w:val="00046509"/>
    <w:rsid w:val="00046579"/>
    <w:rsid w:val="0004657A"/>
    <w:rsid w:val="000465E7"/>
    <w:rsid w:val="00046619"/>
    <w:rsid w:val="00046710"/>
    <w:rsid w:val="00046894"/>
    <w:rsid w:val="00046977"/>
    <w:rsid w:val="00046A31"/>
    <w:rsid w:val="00046A52"/>
    <w:rsid w:val="00046A58"/>
    <w:rsid w:val="00046B04"/>
    <w:rsid w:val="00046B16"/>
    <w:rsid w:val="00046B61"/>
    <w:rsid w:val="00046C9E"/>
    <w:rsid w:val="00046CB4"/>
    <w:rsid w:val="00046CBC"/>
    <w:rsid w:val="00046D4A"/>
    <w:rsid w:val="00046DDF"/>
    <w:rsid w:val="00046DF3"/>
    <w:rsid w:val="00046E31"/>
    <w:rsid w:val="00046E32"/>
    <w:rsid w:val="00046EBC"/>
    <w:rsid w:val="00046EF9"/>
    <w:rsid w:val="00046F62"/>
    <w:rsid w:val="00046F80"/>
    <w:rsid w:val="00047060"/>
    <w:rsid w:val="000470A7"/>
    <w:rsid w:val="00047100"/>
    <w:rsid w:val="0004722D"/>
    <w:rsid w:val="00047242"/>
    <w:rsid w:val="0004724F"/>
    <w:rsid w:val="00047301"/>
    <w:rsid w:val="000473C8"/>
    <w:rsid w:val="00047493"/>
    <w:rsid w:val="000474D4"/>
    <w:rsid w:val="00047563"/>
    <w:rsid w:val="00047566"/>
    <w:rsid w:val="0004757A"/>
    <w:rsid w:val="000475BE"/>
    <w:rsid w:val="000475DE"/>
    <w:rsid w:val="000475F3"/>
    <w:rsid w:val="000475FE"/>
    <w:rsid w:val="0004760E"/>
    <w:rsid w:val="0004761F"/>
    <w:rsid w:val="00047657"/>
    <w:rsid w:val="000476FC"/>
    <w:rsid w:val="00047711"/>
    <w:rsid w:val="0004777C"/>
    <w:rsid w:val="000478D0"/>
    <w:rsid w:val="000479AA"/>
    <w:rsid w:val="000479B8"/>
    <w:rsid w:val="00047A61"/>
    <w:rsid w:val="00047BC5"/>
    <w:rsid w:val="00047BFD"/>
    <w:rsid w:val="00047C31"/>
    <w:rsid w:val="00047D3C"/>
    <w:rsid w:val="00047E2D"/>
    <w:rsid w:val="00047E3E"/>
    <w:rsid w:val="00047F04"/>
    <w:rsid w:val="00047FC6"/>
    <w:rsid w:val="00047FDF"/>
    <w:rsid w:val="00050003"/>
    <w:rsid w:val="0005005A"/>
    <w:rsid w:val="0005006A"/>
    <w:rsid w:val="00050285"/>
    <w:rsid w:val="00050340"/>
    <w:rsid w:val="0005034D"/>
    <w:rsid w:val="000503F0"/>
    <w:rsid w:val="0005044D"/>
    <w:rsid w:val="0005054F"/>
    <w:rsid w:val="00050564"/>
    <w:rsid w:val="000505D0"/>
    <w:rsid w:val="00050680"/>
    <w:rsid w:val="00050690"/>
    <w:rsid w:val="000508F9"/>
    <w:rsid w:val="0005093C"/>
    <w:rsid w:val="00050A54"/>
    <w:rsid w:val="00050AA1"/>
    <w:rsid w:val="00050C02"/>
    <w:rsid w:val="00050C05"/>
    <w:rsid w:val="00050C17"/>
    <w:rsid w:val="00050D53"/>
    <w:rsid w:val="00050DB0"/>
    <w:rsid w:val="00050E38"/>
    <w:rsid w:val="00050E3C"/>
    <w:rsid w:val="00050E72"/>
    <w:rsid w:val="00050FB3"/>
    <w:rsid w:val="000510A4"/>
    <w:rsid w:val="000510D8"/>
    <w:rsid w:val="000511AB"/>
    <w:rsid w:val="000511FB"/>
    <w:rsid w:val="00051223"/>
    <w:rsid w:val="00051238"/>
    <w:rsid w:val="0005123F"/>
    <w:rsid w:val="0005136F"/>
    <w:rsid w:val="00051384"/>
    <w:rsid w:val="0005138B"/>
    <w:rsid w:val="000513F9"/>
    <w:rsid w:val="00051476"/>
    <w:rsid w:val="000515A5"/>
    <w:rsid w:val="00051618"/>
    <w:rsid w:val="0005164B"/>
    <w:rsid w:val="000516EB"/>
    <w:rsid w:val="00051726"/>
    <w:rsid w:val="0005174A"/>
    <w:rsid w:val="0005174F"/>
    <w:rsid w:val="00051776"/>
    <w:rsid w:val="0005179C"/>
    <w:rsid w:val="00051838"/>
    <w:rsid w:val="000518F3"/>
    <w:rsid w:val="0005198B"/>
    <w:rsid w:val="00051997"/>
    <w:rsid w:val="00051A50"/>
    <w:rsid w:val="00051B0A"/>
    <w:rsid w:val="00051B14"/>
    <w:rsid w:val="00051B9C"/>
    <w:rsid w:val="00051B9F"/>
    <w:rsid w:val="00051D23"/>
    <w:rsid w:val="00051D92"/>
    <w:rsid w:val="00051DD7"/>
    <w:rsid w:val="00051EAE"/>
    <w:rsid w:val="00051EF0"/>
    <w:rsid w:val="00051F4C"/>
    <w:rsid w:val="00051F5E"/>
    <w:rsid w:val="00051FEC"/>
    <w:rsid w:val="000522B7"/>
    <w:rsid w:val="000522C0"/>
    <w:rsid w:val="000522C6"/>
    <w:rsid w:val="000522F5"/>
    <w:rsid w:val="000522F8"/>
    <w:rsid w:val="000523DA"/>
    <w:rsid w:val="00052448"/>
    <w:rsid w:val="00052508"/>
    <w:rsid w:val="00052558"/>
    <w:rsid w:val="00052593"/>
    <w:rsid w:val="000526E4"/>
    <w:rsid w:val="0005279B"/>
    <w:rsid w:val="000528BC"/>
    <w:rsid w:val="00052BA9"/>
    <w:rsid w:val="00052C2A"/>
    <w:rsid w:val="00052C3B"/>
    <w:rsid w:val="00052D56"/>
    <w:rsid w:val="00052DEF"/>
    <w:rsid w:val="00052E52"/>
    <w:rsid w:val="00052E73"/>
    <w:rsid w:val="00052EDA"/>
    <w:rsid w:val="00052F0B"/>
    <w:rsid w:val="00052FB9"/>
    <w:rsid w:val="00052FE3"/>
    <w:rsid w:val="0005309B"/>
    <w:rsid w:val="00053148"/>
    <w:rsid w:val="0005317B"/>
    <w:rsid w:val="0005321D"/>
    <w:rsid w:val="0005334D"/>
    <w:rsid w:val="000533A6"/>
    <w:rsid w:val="000533D7"/>
    <w:rsid w:val="00053472"/>
    <w:rsid w:val="000534A4"/>
    <w:rsid w:val="000534C5"/>
    <w:rsid w:val="000534C6"/>
    <w:rsid w:val="00053508"/>
    <w:rsid w:val="00053534"/>
    <w:rsid w:val="0005353D"/>
    <w:rsid w:val="000535EF"/>
    <w:rsid w:val="00053611"/>
    <w:rsid w:val="000536BE"/>
    <w:rsid w:val="000536DB"/>
    <w:rsid w:val="00053717"/>
    <w:rsid w:val="0005381D"/>
    <w:rsid w:val="000538ED"/>
    <w:rsid w:val="00053926"/>
    <w:rsid w:val="00053928"/>
    <w:rsid w:val="000539F3"/>
    <w:rsid w:val="00053BE5"/>
    <w:rsid w:val="00053CC9"/>
    <w:rsid w:val="00053ECC"/>
    <w:rsid w:val="00053FD8"/>
    <w:rsid w:val="0005403C"/>
    <w:rsid w:val="00054056"/>
    <w:rsid w:val="00054138"/>
    <w:rsid w:val="00054219"/>
    <w:rsid w:val="00054221"/>
    <w:rsid w:val="00054284"/>
    <w:rsid w:val="000542D3"/>
    <w:rsid w:val="000542F2"/>
    <w:rsid w:val="00054359"/>
    <w:rsid w:val="00054457"/>
    <w:rsid w:val="000544A5"/>
    <w:rsid w:val="000544C2"/>
    <w:rsid w:val="00054527"/>
    <w:rsid w:val="0005457D"/>
    <w:rsid w:val="000545C1"/>
    <w:rsid w:val="000546EF"/>
    <w:rsid w:val="00054721"/>
    <w:rsid w:val="00054735"/>
    <w:rsid w:val="00054A76"/>
    <w:rsid w:val="00054BAE"/>
    <w:rsid w:val="00054C83"/>
    <w:rsid w:val="00054CFD"/>
    <w:rsid w:val="00054D2E"/>
    <w:rsid w:val="00054E31"/>
    <w:rsid w:val="00054ECB"/>
    <w:rsid w:val="00054EF6"/>
    <w:rsid w:val="00054FED"/>
    <w:rsid w:val="000550DB"/>
    <w:rsid w:val="000550EA"/>
    <w:rsid w:val="000551ED"/>
    <w:rsid w:val="00055284"/>
    <w:rsid w:val="00055288"/>
    <w:rsid w:val="0005533C"/>
    <w:rsid w:val="0005534D"/>
    <w:rsid w:val="00055370"/>
    <w:rsid w:val="00055389"/>
    <w:rsid w:val="00055396"/>
    <w:rsid w:val="000553C3"/>
    <w:rsid w:val="0005559E"/>
    <w:rsid w:val="0005569C"/>
    <w:rsid w:val="0005571E"/>
    <w:rsid w:val="000557D1"/>
    <w:rsid w:val="00055809"/>
    <w:rsid w:val="00055872"/>
    <w:rsid w:val="00055907"/>
    <w:rsid w:val="0005597E"/>
    <w:rsid w:val="00055996"/>
    <w:rsid w:val="000559E4"/>
    <w:rsid w:val="00055A1A"/>
    <w:rsid w:val="00055B18"/>
    <w:rsid w:val="00055B60"/>
    <w:rsid w:val="00055B87"/>
    <w:rsid w:val="00055D68"/>
    <w:rsid w:val="00055E37"/>
    <w:rsid w:val="00055E54"/>
    <w:rsid w:val="00055E6A"/>
    <w:rsid w:val="00055E82"/>
    <w:rsid w:val="00055E96"/>
    <w:rsid w:val="00055F13"/>
    <w:rsid w:val="00055FE3"/>
    <w:rsid w:val="0005603F"/>
    <w:rsid w:val="00056076"/>
    <w:rsid w:val="000560FB"/>
    <w:rsid w:val="0005611B"/>
    <w:rsid w:val="00056154"/>
    <w:rsid w:val="000561F0"/>
    <w:rsid w:val="000561FD"/>
    <w:rsid w:val="00056219"/>
    <w:rsid w:val="000562DC"/>
    <w:rsid w:val="00056346"/>
    <w:rsid w:val="00056351"/>
    <w:rsid w:val="00056422"/>
    <w:rsid w:val="00056631"/>
    <w:rsid w:val="00056639"/>
    <w:rsid w:val="00056706"/>
    <w:rsid w:val="00056761"/>
    <w:rsid w:val="0005676F"/>
    <w:rsid w:val="00056779"/>
    <w:rsid w:val="000567C9"/>
    <w:rsid w:val="00056880"/>
    <w:rsid w:val="0005692D"/>
    <w:rsid w:val="00056C02"/>
    <w:rsid w:val="00056C41"/>
    <w:rsid w:val="00056D40"/>
    <w:rsid w:val="00056D4C"/>
    <w:rsid w:val="00056FE5"/>
    <w:rsid w:val="00057037"/>
    <w:rsid w:val="00057091"/>
    <w:rsid w:val="0005714C"/>
    <w:rsid w:val="00057186"/>
    <w:rsid w:val="000571AF"/>
    <w:rsid w:val="000571FE"/>
    <w:rsid w:val="000572D0"/>
    <w:rsid w:val="00057302"/>
    <w:rsid w:val="0005731B"/>
    <w:rsid w:val="00057327"/>
    <w:rsid w:val="000573BB"/>
    <w:rsid w:val="000573EA"/>
    <w:rsid w:val="000573F4"/>
    <w:rsid w:val="000574C2"/>
    <w:rsid w:val="00057501"/>
    <w:rsid w:val="00057549"/>
    <w:rsid w:val="00057615"/>
    <w:rsid w:val="00057694"/>
    <w:rsid w:val="00057782"/>
    <w:rsid w:val="00057864"/>
    <w:rsid w:val="00057869"/>
    <w:rsid w:val="00057886"/>
    <w:rsid w:val="00057887"/>
    <w:rsid w:val="000579A8"/>
    <w:rsid w:val="000579AC"/>
    <w:rsid w:val="000579FA"/>
    <w:rsid w:val="00057A3F"/>
    <w:rsid w:val="00057AAF"/>
    <w:rsid w:val="00057ACE"/>
    <w:rsid w:val="00057AF4"/>
    <w:rsid w:val="00057AFE"/>
    <w:rsid w:val="00057B00"/>
    <w:rsid w:val="00057B32"/>
    <w:rsid w:val="00057B50"/>
    <w:rsid w:val="00057BD9"/>
    <w:rsid w:val="00057BEE"/>
    <w:rsid w:val="00057C1C"/>
    <w:rsid w:val="00057C37"/>
    <w:rsid w:val="00057C9B"/>
    <w:rsid w:val="00057EFB"/>
    <w:rsid w:val="00057F34"/>
    <w:rsid w:val="00057F9C"/>
    <w:rsid w:val="00057FBA"/>
    <w:rsid w:val="0006013F"/>
    <w:rsid w:val="0006023C"/>
    <w:rsid w:val="00060299"/>
    <w:rsid w:val="00060337"/>
    <w:rsid w:val="000603BB"/>
    <w:rsid w:val="000603EC"/>
    <w:rsid w:val="0006045F"/>
    <w:rsid w:val="00060466"/>
    <w:rsid w:val="000604C5"/>
    <w:rsid w:val="00060548"/>
    <w:rsid w:val="000605B9"/>
    <w:rsid w:val="0006063E"/>
    <w:rsid w:val="00060703"/>
    <w:rsid w:val="00060807"/>
    <w:rsid w:val="0006089B"/>
    <w:rsid w:val="000608E5"/>
    <w:rsid w:val="000609DF"/>
    <w:rsid w:val="00060A64"/>
    <w:rsid w:val="00060B23"/>
    <w:rsid w:val="00060B9D"/>
    <w:rsid w:val="00060C19"/>
    <w:rsid w:val="00060CBA"/>
    <w:rsid w:val="00060CC9"/>
    <w:rsid w:val="00060CE7"/>
    <w:rsid w:val="00060DCD"/>
    <w:rsid w:val="00060DF7"/>
    <w:rsid w:val="00060EA0"/>
    <w:rsid w:val="00060EBD"/>
    <w:rsid w:val="00060F16"/>
    <w:rsid w:val="00061044"/>
    <w:rsid w:val="000610F8"/>
    <w:rsid w:val="000611B7"/>
    <w:rsid w:val="0006122D"/>
    <w:rsid w:val="00061256"/>
    <w:rsid w:val="0006141E"/>
    <w:rsid w:val="000614A9"/>
    <w:rsid w:val="0006160A"/>
    <w:rsid w:val="00061635"/>
    <w:rsid w:val="000617B6"/>
    <w:rsid w:val="000618D1"/>
    <w:rsid w:val="000619B7"/>
    <w:rsid w:val="000619BB"/>
    <w:rsid w:val="00061A89"/>
    <w:rsid w:val="00061AB8"/>
    <w:rsid w:val="00061B76"/>
    <w:rsid w:val="00061BB0"/>
    <w:rsid w:val="00061EB8"/>
    <w:rsid w:val="00061ECB"/>
    <w:rsid w:val="00061EEA"/>
    <w:rsid w:val="00061F07"/>
    <w:rsid w:val="00061F37"/>
    <w:rsid w:val="00061FEB"/>
    <w:rsid w:val="00062132"/>
    <w:rsid w:val="000621ED"/>
    <w:rsid w:val="0006225F"/>
    <w:rsid w:val="000623E3"/>
    <w:rsid w:val="0006240D"/>
    <w:rsid w:val="00062431"/>
    <w:rsid w:val="0006244E"/>
    <w:rsid w:val="000624B8"/>
    <w:rsid w:val="000624CB"/>
    <w:rsid w:val="000624E4"/>
    <w:rsid w:val="00062574"/>
    <w:rsid w:val="000625FA"/>
    <w:rsid w:val="00062617"/>
    <w:rsid w:val="0006261C"/>
    <w:rsid w:val="00062670"/>
    <w:rsid w:val="000626A8"/>
    <w:rsid w:val="000626FF"/>
    <w:rsid w:val="00062782"/>
    <w:rsid w:val="000627E0"/>
    <w:rsid w:val="0006288A"/>
    <w:rsid w:val="00062F3E"/>
    <w:rsid w:val="00062F6E"/>
    <w:rsid w:val="00062FDB"/>
    <w:rsid w:val="0006303E"/>
    <w:rsid w:val="0006311C"/>
    <w:rsid w:val="00063144"/>
    <w:rsid w:val="0006315B"/>
    <w:rsid w:val="0006317A"/>
    <w:rsid w:val="000631B5"/>
    <w:rsid w:val="0006321D"/>
    <w:rsid w:val="0006321F"/>
    <w:rsid w:val="00063266"/>
    <w:rsid w:val="000633AD"/>
    <w:rsid w:val="000633E9"/>
    <w:rsid w:val="00063451"/>
    <w:rsid w:val="00063468"/>
    <w:rsid w:val="00063477"/>
    <w:rsid w:val="000634B0"/>
    <w:rsid w:val="00063538"/>
    <w:rsid w:val="00063571"/>
    <w:rsid w:val="00063588"/>
    <w:rsid w:val="0006358E"/>
    <w:rsid w:val="000636EB"/>
    <w:rsid w:val="000637C0"/>
    <w:rsid w:val="000637FF"/>
    <w:rsid w:val="000638BF"/>
    <w:rsid w:val="000638EC"/>
    <w:rsid w:val="000638FA"/>
    <w:rsid w:val="00063916"/>
    <w:rsid w:val="00063981"/>
    <w:rsid w:val="00063BA5"/>
    <w:rsid w:val="00063CBC"/>
    <w:rsid w:val="00063CC3"/>
    <w:rsid w:val="00063DE2"/>
    <w:rsid w:val="00063E0A"/>
    <w:rsid w:val="00063E1A"/>
    <w:rsid w:val="00063F5B"/>
    <w:rsid w:val="00064035"/>
    <w:rsid w:val="00064250"/>
    <w:rsid w:val="00064267"/>
    <w:rsid w:val="00064288"/>
    <w:rsid w:val="000643C8"/>
    <w:rsid w:val="000643DD"/>
    <w:rsid w:val="0006440B"/>
    <w:rsid w:val="000644B4"/>
    <w:rsid w:val="00064502"/>
    <w:rsid w:val="0006470D"/>
    <w:rsid w:val="000648D8"/>
    <w:rsid w:val="00064975"/>
    <w:rsid w:val="00064987"/>
    <w:rsid w:val="00064AC8"/>
    <w:rsid w:val="00064ACA"/>
    <w:rsid w:val="00064D15"/>
    <w:rsid w:val="00064D1D"/>
    <w:rsid w:val="00064D5B"/>
    <w:rsid w:val="00064D77"/>
    <w:rsid w:val="00064DF8"/>
    <w:rsid w:val="00064E39"/>
    <w:rsid w:val="00064E48"/>
    <w:rsid w:val="00064E60"/>
    <w:rsid w:val="00064EDF"/>
    <w:rsid w:val="00064F66"/>
    <w:rsid w:val="00064FBF"/>
    <w:rsid w:val="000650F3"/>
    <w:rsid w:val="000653E9"/>
    <w:rsid w:val="0006542B"/>
    <w:rsid w:val="0006542D"/>
    <w:rsid w:val="0006547B"/>
    <w:rsid w:val="00065492"/>
    <w:rsid w:val="000654A9"/>
    <w:rsid w:val="00065560"/>
    <w:rsid w:val="0006558D"/>
    <w:rsid w:val="00065713"/>
    <w:rsid w:val="000657C1"/>
    <w:rsid w:val="0006584B"/>
    <w:rsid w:val="0006591E"/>
    <w:rsid w:val="0006593F"/>
    <w:rsid w:val="00065968"/>
    <w:rsid w:val="00065A7F"/>
    <w:rsid w:val="00065AA8"/>
    <w:rsid w:val="00065BFF"/>
    <w:rsid w:val="00065C0E"/>
    <w:rsid w:val="00065D14"/>
    <w:rsid w:val="00065E2B"/>
    <w:rsid w:val="00065E48"/>
    <w:rsid w:val="00065E86"/>
    <w:rsid w:val="00065EBA"/>
    <w:rsid w:val="00065EE2"/>
    <w:rsid w:val="00066033"/>
    <w:rsid w:val="0006605B"/>
    <w:rsid w:val="0006606F"/>
    <w:rsid w:val="000660A4"/>
    <w:rsid w:val="00066158"/>
    <w:rsid w:val="000661B0"/>
    <w:rsid w:val="00066307"/>
    <w:rsid w:val="00066365"/>
    <w:rsid w:val="000663C0"/>
    <w:rsid w:val="000663C1"/>
    <w:rsid w:val="00066466"/>
    <w:rsid w:val="0006649C"/>
    <w:rsid w:val="00066712"/>
    <w:rsid w:val="0006673C"/>
    <w:rsid w:val="00066BC5"/>
    <w:rsid w:val="00066BC7"/>
    <w:rsid w:val="00066C8B"/>
    <w:rsid w:val="00066CAA"/>
    <w:rsid w:val="00066D21"/>
    <w:rsid w:val="00066FC1"/>
    <w:rsid w:val="000670CA"/>
    <w:rsid w:val="00067324"/>
    <w:rsid w:val="0006734E"/>
    <w:rsid w:val="000673EA"/>
    <w:rsid w:val="0006742E"/>
    <w:rsid w:val="00067466"/>
    <w:rsid w:val="000674A7"/>
    <w:rsid w:val="00067593"/>
    <w:rsid w:val="000675D1"/>
    <w:rsid w:val="0006766B"/>
    <w:rsid w:val="0006769F"/>
    <w:rsid w:val="00067750"/>
    <w:rsid w:val="00067774"/>
    <w:rsid w:val="000677BE"/>
    <w:rsid w:val="00067820"/>
    <w:rsid w:val="000678A4"/>
    <w:rsid w:val="00067973"/>
    <w:rsid w:val="000679B6"/>
    <w:rsid w:val="000679C0"/>
    <w:rsid w:val="00067AC6"/>
    <w:rsid w:val="00067B85"/>
    <w:rsid w:val="00067B8E"/>
    <w:rsid w:val="00067C3F"/>
    <w:rsid w:val="00067CDF"/>
    <w:rsid w:val="00067D2D"/>
    <w:rsid w:val="00067D82"/>
    <w:rsid w:val="00067DB3"/>
    <w:rsid w:val="00067DD4"/>
    <w:rsid w:val="00067DDE"/>
    <w:rsid w:val="00067F3F"/>
    <w:rsid w:val="00067F9C"/>
    <w:rsid w:val="00067FED"/>
    <w:rsid w:val="000700BF"/>
    <w:rsid w:val="000702B1"/>
    <w:rsid w:val="00070310"/>
    <w:rsid w:val="00070371"/>
    <w:rsid w:val="000703AF"/>
    <w:rsid w:val="000703CD"/>
    <w:rsid w:val="00070475"/>
    <w:rsid w:val="000704C1"/>
    <w:rsid w:val="0007059E"/>
    <w:rsid w:val="000705C3"/>
    <w:rsid w:val="0007065E"/>
    <w:rsid w:val="0007074D"/>
    <w:rsid w:val="0007077A"/>
    <w:rsid w:val="00070787"/>
    <w:rsid w:val="000707FD"/>
    <w:rsid w:val="0007085C"/>
    <w:rsid w:val="00070873"/>
    <w:rsid w:val="00070894"/>
    <w:rsid w:val="00070961"/>
    <w:rsid w:val="000709DB"/>
    <w:rsid w:val="000709FA"/>
    <w:rsid w:val="00070A60"/>
    <w:rsid w:val="00070A79"/>
    <w:rsid w:val="00070B14"/>
    <w:rsid w:val="00070C4D"/>
    <w:rsid w:val="00070C5E"/>
    <w:rsid w:val="00070C92"/>
    <w:rsid w:val="00070CBA"/>
    <w:rsid w:val="00070CBE"/>
    <w:rsid w:val="00070E84"/>
    <w:rsid w:val="00070EFA"/>
    <w:rsid w:val="00070F3A"/>
    <w:rsid w:val="000711F3"/>
    <w:rsid w:val="00071298"/>
    <w:rsid w:val="0007129E"/>
    <w:rsid w:val="000712C5"/>
    <w:rsid w:val="000712E6"/>
    <w:rsid w:val="000713A5"/>
    <w:rsid w:val="0007143C"/>
    <w:rsid w:val="00071481"/>
    <w:rsid w:val="0007150F"/>
    <w:rsid w:val="000716DE"/>
    <w:rsid w:val="000716E5"/>
    <w:rsid w:val="0007172C"/>
    <w:rsid w:val="00071746"/>
    <w:rsid w:val="00071766"/>
    <w:rsid w:val="000717B2"/>
    <w:rsid w:val="00071876"/>
    <w:rsid w:val="0007188C"/>
    <w:rsid w:val="000718CD"/>
    <w:rsid w:val="00071908"/>
    <w:rsid w:val="00071921"/>
    <w:rsid w:val="00071950"/>
    <w:rsid w:val="0007198D"/>
    <w:rsid w:val="000719AC"/>
    <w:rsid w:val="00071A1B"/>
    <w:rsid w:val="00071A26"/>
    <w:rsid w:val="00071B09"/>
    <w:rsid w:val="00071B4A"/>
    <w:rsid w:val="00071B6E"/>
    <w:rsid w:val="00071C4D"/>
    <w:rsid w:val="00071C8A"/>
    <w:rsid w:val="00071D41"/>
    <w:rsid w:val="00071D44"/>
    <w:rsid w:val="00071DBE"/>
    <w:rsid w:val="00071DD4"/>
    <w:rsid w:val="00071E28"/>
    <w:rsid w:val="00071FE4"/>
    <w:rsid w:val="0007202C"/>
    <w:rsid w:val="00072127"/>
    <w:rsid w:val="00072138"/>
    <w:rsid w:val="00072231"/>
    <w:rsid w:val="00072252"/>
    <w:rsid w:val="0007228C"/>
    <w:rsid w:val="0007230B"/>
    <w:rsid w:val="00072337"/>
    <w:rsid w:val="0007236B"/>
    <w:rsid w:val="000724F5"/>
    <w:rsid w:val="0007253F"/>
    <w:rsid w:val="00072581"/>
    <w:rsid w:val="000725FD"/>
    <w:rsid w:val="000726B0"/>
    <w:rsid w:val="00072834"/>
    <w:rsid w:val="0007285F"/>
    <w:rsid w:val="000729BF"/>
    <w:rsid w:val="00072A9D"/>
    <w:rsid w:val="00072AEE"/>
    <w:rsid w:val="00072B65"/>
    <w:rsid w:val="00072BE7"/>
    <w:rsid w:val="00072C25"/>
    <w:rsid w:val="00072D07"/>
    <w:rsid w:val="00072DF1"/>
    <w:rsid w:val="00072E36"/>
    <w:rsid w:val="00072E71"/>
    <w:rsid w:val="00072E9E"/>
    <w:rsid w:val="00072F68"/>
    <w:rsid w:val="00072F85"/>
    <w:rsid w:val="00072FB2"/>
    <w:rsid w:val="00073077"/>
    <w:rsid w:val="00073082"/>
    <w:rsid w:val="00073185"/>
    <w:rsid w:val="0007319E"/>
    <w:rsid w:val="00073214"/>
    <w:rsid w:val="0007321B"/>
    <w:rsid w:val="0007332F"/>
    <w:rsid w:val="00073346"/>
    <w:rsid w:val="000733D7"/>
    <w:rsid w:val="00073406"/>
    <w:rsid w:val="000734F6"/>
    <w:rsid w:val="00073521"/>
    <w:rsid w:val="0007354D"/>
    <w:rsid w:val="000735E9"/>
    <w:rsid w:val="00073672"/>
    <w:rsid w:val="00073678"/>
    <w:rsid w:val="000736AA"/>
    <w:rsid w:val="000736E2"/>
    <w:rsid w:val="00073745"/>
    <w:rsid w:val="00073796"/>
    <w:rsid w:val="00073825"/>
    <w:rsid w:val="000738BD"/>
    <w:rsid w:val="0007396A"/>
    <w:rsid w:val="000739CD"/>
    <w:rsid w:val="00073A21"/>
    <w:rsid w:val="00073B0E"/>
    <w:rsid w:val="00073B2C"/>
    <w:rsid w:val="00073B84"/>
    <w:rsid w:val="00073C07"/>
    <w:rsid w:val="00073CA5"/>
    <w:rsid w:val="00073CC9"/>
    <w:rsid w:val="00073DBF"/>
    <w:rsid w:val="00073E3E"/>
    <w:rsid w:val="00073E60"/>
    <w:rsid w:val="00073EAD"/>
    <w:rsid w:val="00073FBE"/>
    <w:rsid w:val="00073FC7"/>
    <w:rsid w:val="00073FE6"/>
    <w:rsid w:val="00074094"/>
    <w:rsid w:val="000740B6"/>
    <w:rsid w:val="000741BF"/>
    <w:rsid w:val="000741CB"/>
    <w:rsid w:val="000742A2"/>
    <w:rsid w:val="000742A9"/>
    <w:rsid w:val="000742F1"/>
    <w:rsid w:val="0007432F"/>
    <w:rsid w:val="0007435E"/>
    <w:rsid w:val="000744A5"/>
    <w:rsid w:val="000744C3"/>
    <w:rsid w:val="00074591"/>
    <w:rsid w:val="0007467C"/>
    <w:rsid w:val="00074785"/>
    <w:rsid w:val="000747FB"/>
    <w:rsid w:val="0007485A"/>
    <w:rsid w:val="0007487D"/>
    <w:rsid w:val="000748CF"/>
    <w:rsid w:val="0007490F"/>
    <w:rsid w:val="00074BEB"/>
    <w:rsid w:val="00074C10"/>
    <w:rsid w:val="00074C12"/>
    <w:rsid w:val="00074D11"/>
    <w:rsid w:val="00074D13"/>
    <w:rsid w:val="00074D65"/>
    <w:rsid w:val="00074D9B"/>
    <w:rsid w:val="00074DB6"/>
    <w:rsid w:val="00074E9A"/>
    <w:rsid w:val="00074FB4"/>
    <w:rsid w:val="00074FF5"/>
    <w:rsid w:val="0007506D"/>
    <w:rsid w:val="000750BD"/>
    <w:rsid w:val="00075126"/>
    <w:rsid w:val="00075233"/>
    <w:rsid w:val="00075294"/>
    <w:rsid w:val="000752A0"/>
    <w:rsid w:val="0007535D"/>
    <w:rsid w:val="000753A5"/>
    <w:rsid w:val="000753B9"/>
    <w:rsid w:val="0007549A"/>
    <w:rsid w:val="00075503"/>
    <w:rsid w:val="00075546"/>
    <w:rsid w:val="0007554B"/>
    <w:rsid w:val="00075557"/>
    <w:rsid w:val="000755FC"/>
    <w:rsid w:val="00075749"/>
    <w:rsid w:val="0007574A"/>
    <w:rsid w:val="0007592D"/>
    <w:rsid w:val="0007593D"/>
    <w:rsid w:val="00075A66"/>
    <w:rsid w:val="00075AAB"/>
    <w:rsid w:val="00075ABA"/>
    <w:rsid w:val="00075B58"/>
    <w:rsid w:val="00075BA3"/>
    <w:rsid w:val="00075C8F"/>
    <w:rsid w:val="00075CFF"/>
    <w:rsid w:val="00075D10"/>
    <w:rsid w:val="00075EBE"/>
    <w:rsid w:val="00075ED0"/>
    <w:rsid w:val="00075F12"/>
    <w:rsid w:val="0007607B"/>
    <w:rsid w:val="0007609D"/>
    <w:rsid w:val="000760E2"/>
    <w:rsid w:val="00076173"/>
    <w:rsid w:val="00076245"/>
    <w:rsid w:val="000762BF"/>
    <w:rsid w:val="000763A0"/>
    <w:rsid w:val="000763C6"/>
    <w:rsid w:val="000763F7"/>
    <w:rsid w:val="0007648D"/>
    <w:rsid w:val="0007650A"/>
    <w:rsid w:val="00076582"/>
    <w:rsid w:val="0007664B"/>
    <w:rsid w:val="0007667F"/>
    <w:rsid w:val="00076738"/>
    <w:rsid w:val="00076797"/>
    <w:rsid w:val="000767EC"/>
    <w:rsid w:val="00076844"/>
    <w:rsid w:val="0007689E"/>
    <w:rsid w:val="00076943"/>
    <w:rsid w:val="00076962"/>
    <w:rsid w:val="000769C5"/>
    <w:rsid w:val="00076A73"/>
    <w:rsid w:val="00076AA5"/>
    <w:rsid w:val="00076BB2"/>
    <w:rsid w:val="00076BC8"/>
    <w:rsid w:val="00076D99"/>
    <w:rsid w:val="00076EBF"/>
    <w:rsid w:val="00076F2F"/>
    <w:rsid w:val="00076F41"/>
    <w:rsid w:val="00077269"/>
    <w:rsid w:val="00077329"/>
    <w:rsid w:val="000773E4"/>
    <w:rsid w:val="0007749B"/>
    <w:rsid w:val="0007751A"/>
    <w:rsid w:val="00077522"/>
    <w:rsid w:val="00077557"/>
    <w:rsid w:val="000775DE"/>
    <w:rsid w:val="0007768F"/>
    <w:rsid w:val="0007777A"/>
    <w:rsid w:val="000777D5"/>
    <w:rsid w:val="000778E7"/>
    <w:rsid w:val="00077917"/>
    <w:rsid w:val="000779A1"/>
    <w:rsid w:val="00077A2B"/>
    <w:rsid w:val="00077B13"/>
    <w:rsid w:val="00077B1A"/>
    <w:rsid w:val="00077B61"/>
    <w:rsid w:val="00077B90"/>
    <w:rsid w:val="00077C17"/>
    <w:rsid w:val="00077C32"/>
    <w:rsid w:val="00077CB7"/>
    <w:rsid w:val="00077CC9"/>
    <w:rsid w:val="00077D62"/>
    <w:rsid w:val="00077D80"/>
    <w:rsid w:val="00077D9D"/>
    <w:rsid w:val="00077F7D"/>
    <w:rsid w:val="00080050"/>
    <w:rsid w:val="0008013D"/>
    <w:rsid w:val="0008014F"/>
    <w:rsid w:val="0008024D"/>
    <w:rsid w:val="0008030D"/>
    <w:rsid w:val="0008039F"/>
    <w:rsid w:val="00080439"/>
    <w:rsid w:val="000804C8"/>
    <w:rsid w:val="00080504"/>
    <w:rsid w:val="0008055C"/>
    <w:rsid w:val="000805AB"/>
    <w:rsid w:val="000805D7"/>
    <w:rsid w:val="00080770"/>
    <w:rsid w:val="000809AF"/>
    <w:rsid w:val="000809F2"/>
    <w:rsid w:val="00080AB1"/>
    <w:rsid w:val="00080AEE"/>
    <w:rsid w:val="00080B29"/>
    <w:rsid w:val="00080CA1"/>
    <w:rsid w:val="00080DF2"/>
    <w:rsid w:val="00080EE2"/>
    <w:rsid w:val="00080F29"/>
    <w:rsid w:val="00080F6E"/>
    <w:rsid w:val="00080F93"/>
    <w:rsid w:val="00080FC4"/>
    <w:rsid w:val="0008112C"/>
    <w:rsid w:val="00081165"/>
    <w:rsid w:val="000812F8"/>
    <w:rsid w:val="0008133D"/>
    <w:rsid w:val="0008136E"/>
    <w:rsid w:val="000813C8"/>
    <w:rsid w:val="000813D0"/>
    <w:rsid w:val="0008140E"/>
    <w:rsid w:val="000814C4"/>
    <w:rsid w:val="000816D8"/>
    <w:rsid w:val="00081739"/>
    <w:rsid w:val="00081752"/>
    <w:rsid w:val="00081A4C"/>
    <w:rsid w:val="00081A93"/>
    <w:rsid w:val="00081BFB"/>
    <w:rsid w:val="00081C25"/>
    <w:rsid w:val="00081C36"/>
    <w:rsid w:val="00081C6D"/>
    <w:rsid w:val="00081C78"/>
    <w:rsid w:val="00081D9C"/>
    <w:rsid w:val="00081E92"/>
    <w:rsid w:val="00081EF2"/>
    <w:rsid w:val="00081F57"/>
    <w:rsid w:val="00081FF2"/>
    <w:rsid w:val="0008204D"/>
    <w:rsid w:val="00082157"/>
    <w:rsid w:val="00082172"/>
    <w:rsid w:val="000821AC"/>
    <w:rsid w:val="000821B2"/>
    <w:rsid w:val="000822CD"/>
    <w:rsid w:val="00082384"/>
    <w:rsid w:val="000823EB"/>
    <w:rsid w:val="00082405"/>
    <w:rsid w:val="0008240A"/>
    <w:rsid w:val="000824A4"/>
    <w:rsid w:val="000824BC"/>
    <w:rsid w:val="000824BF"/>
    <w:rsid w:val="000824E0"/>
    <w:rsid w:val="00082532"/>
    <w:rsid w:val="000825AA"/>
    <w:rsid w:val="00082675"/>
    <w:rsid w:val="00082703"/>
    <w:rsid w:val="00082737"/>
    <w:rsid w:val="0008274D"/>
    <w:rsid w:val="0008277C"/>
    <w:rsid w:val="0008278F"/>
    <w:rsid w:val="000827D5"/>
    <w:rsid w:val="000828CD"/>
    <w:rsid w:val="000828DF"/>
    <w:rsid w:val="0008297F"/>
    <w:rsid w:val="00082A3C"/>
    <w:rsid w:val="00082A7B"/>
    <w:rsid w:val="00082A98"/>
    <w:rsid w:val="00082A99"/>
    <w:rsid w:val="00082B96"/>
    <w:rsid w:val="00082CF9"/>
    <w:rsid w:val="00082D20"/>
    <w:rsid w:val="00082D36"/>
    <w:rsid w:val="00082DC7"/>
    <w:rsid w:val="00082DDC"/>
    <w:rsid w:val="00082E1D"/>
    <w:rsid w:val="00082F39"/>
    <w:rsid w:val="00082F8E"/>
    <w:rsid w:val="0008304F"/>
    <w:rsid w:val="000830FB"/>
    <w:rsid w:val="00083177"/>
    <w:rsid w:val="000831A2"/>
    <w:rsid w:val="000831C9"/>
    <w:rsid w:val="00083415"/>
    <w:rsid w:val="000834FE"/>
    <w:rsid w:val="00083513"/>
    <w:rsid w:val="00083610"/>
    <w:rsid w:val="00083614"/>
    <w:rsid w:val="00083643"/>
    <w:rsid w:val="0008364D"/>
    <w:rsid w:val="0008377B"/>
    <w:rsid w:val="000837A2"/>
    <w:rsid w:val="00083831"/>
    <w:rsid w:val="0008387C"/>
    <w:rsid w:val="000838FA"/>
    <w:rsid w:val="0008390D"/>
    <w:rsid w:val="00083953"/>
    <w:rsid w:val="000839C8"/>
    <w:rsid w:val="000839E1"/>
    <w:rsid w:val="00083A00"/>
    <w:rsid w:val="00083A06"/>
    <w:rsid w:val="00083A6A"/>
    <w:rsid w:val="00083A99"/>
    <w:rsid w:val="00083AFB"/>
    <w:rsid w:val="00083B2E"/>
    <w:rsid w:val="00083BDD"/>
    <w:rsid w:val="00083C00"/>
    <w:rsid w:val="00083C02"/>
    <w:rsid w:val="00083C6A"/>
    <w:rsid w:val="00083D74"/>
    <w:rsid w:val="00083F5E"/>
    <w:rsid w:val="00083FB1"/>
    <w:rsid w:val="000840AB"/>
    <w:rsid w:val="000840C6"/>
    <w:rsid w:val="0008419B"/>
    <w:rsid w:val="000841B8"/>
    <w:rsid w:val="00084255"/>
    <w:rsid w:val="00084286"/>
    <w:rsid w:val="00084291"/>
    <w:rsid w:val="000842B4"/>
    <w:rsid w:val="0008433D"/>
    <w:rsid w:val="000844BC"/>
    <w:rsid w:val="000844CB"/>
    <w:rsid w:val="00084585"/>
    <w:rsid w:val="000845AE"/>
    <w:rsid w:val="00084626"/>
    <w:rsid w:val="0008462C"/>
    <w:rsid w:val="00084711"/>
    <w:rsid w:val="00084712"/>
    <w:rsid w:val="0008474E"/>
    <w:rsid w:val="000849BA"/>
    <w:rsid w:val="000849D5"/>
    <w:rsid w:val="00084BA8"/>
    <w:rsid w:val="00084BF8"/>
    <w:rsid w:val="00084C21"/>
    <w:rsid w:val="00084C8E"/>
    <w:rsid w:val="00084D12"/>
    <w:rsid w:val="00084D2E"/>
    <w:rsid w:val="00084DE2"/>
    <w:rsid w:val="00084DE5"/>
    <w:rsid w:val="00084DE7"/>
    <w:rsid w:val="00084E45"/>
    <w:rsid w:val="00084E55"/>
    <w:rsid w:val="00084F93"/>
    <w:rsid w:val="00085049"/>
    <w:rsid w:val="000850A7"/>
    <w:rsid w:val="000850A8"/>
    <w:rsid w:val="000850B7"/>
    <w:rsid w:val="000851A1"/>
    <w:rsid w:val="000852B8"/>
    <w:rsid w:val="000852E9"/>
    <w:rsid w:val="00085328"/>
    <w:rsid w:val="00085332"/>
    <w:rsid w:val="00085536"/>
    <w:rsid w:val="00085586"/>
    <w:rsid w:val="000856A6"/>
    <w:rsid w:val="000856B0"/>
    <w:rsid w:val="000856DA"/>
    <w:rsid w:val="00085719"/>
    <w:rsid w:val="00085822"/>
    <w:rsid w:val="00085835"/>
    <w:rsid w:val="00085863"/>
    <w:rsid w:val="000858BD"/>
    <w:rsid w:val="000859FB"/>
    <w:rsid w:val="00085B72"/>
    <w:rsid w:val="00085BF2"/>
    <w:rsid w:val="00085C9E"/>
    <w:rsid w:val="00085CAE"/>
    <w:rsid w:val="00085CBD"/>
    <w:rsid w:val="00085FF8"/>
    <w:rsid w:val="00086031"/>
    <w:rsid w:val="0008605D"/>
    <w:rsid w:val="00086065"/>
    <w:rsid w:val="0008607F"/>
    <w:rsid w:val="00086127"/>
    <w:rsid w:val="0008613E"/>
    <w:rsid w:val="000861C9"/>
    <w:rsid w:val="000861E5"/>
    <w:rsid w:val="0008626F"/>
    <w:rsid w:val="000863C3"/>
    <w:rsid w:val="000863FF"/>
    <w:rsid w:val="000864E6"/>
    <w:rsid w:val="000865CF"/>
    <w:rsid w:val="00086635"/>
    <w:rsid w:val="00086761"/>
    <w:rsid w:val="000867A4"/>
    <w:rsid w:val="000867F2"/>
    <w:rsid w:val="000867FC"/>
    <w:rsid w:val="0008683B"/>
    <w:rsid w:val="000868B2"/>
    <w:rsid w:val="00086938"/>
    <w:rsid w:val="00086982"/>
    <w:rsid w:val="00086AE1"/>
    <w:rsid w:val="00086B15"/>
    <w:rsid w:val="00086B27"/>
    <w:rsid w:val="00086B31"/>
    <w:rsid w:val="00086B33"/>
    <w:rsid w:val="00086BBE"/>
    <w:rsid w:val="00086BFD"/>
    <w:rsid w:val="00086C41"/>
    <w:rsid w:val="00086C7A"/>
    <w:rsid w:val="00086C9D"/>
    <w:rsid w:val="00086CF6"/>
    <w:rsid w:val="00086DB3"/>
    <w:rsid w:val="00086E63"/>
    <w:rsid w:val="00086E8A"/>
    <w:rsid w:val="00086E96"/>
    <w:rsid w:val="00086EBB"/>
    <w:rsid w:val="00086F30"/>
    <w:rsid w:val="00086F4B"/>
    <w:rsid w:val="00086FC7"/>
    <w:rsid w:val="00086FDD"/>
    <w:rsid w:val="000870D3"/>
    <w:rsid w:val="00087169"/>
    <w:rsid w:val="00087172"/>
    <w:rsid w:val="00087284"/>
    <w:rsid w:val="000872CC"/>
    <w:rsid w:val="000872DB"/>
    <w:rsid w:val="00087317"/>
    <w:rsid w:val="0008734E"/>
    <w:rsid w:val="000873EB"/>
    <w:rsid w:val="0008745D"/>
    <w:rsid w:val="000874C6"/>
    <w:rsid w:val="000875D6"/>
    <w:rsid w:val="0008762A"/>
    <w:rsid w:val="000876E7"/>
    <w:rsid w:val="00087706"/>
    <w:rsid w:val="00087780"/>
    <w:rsid w:val="000877E7"/>
    <w:rsid w:val="0008787F"/>
    <w:rsid w:val="000879F0"/>
    <w:rsid w:val="00087A37"/>
    <w:rsid w:val="00087A48"/>
    <w:rsid w:val="00087A64"/>
    <w:rsid w:val="00087C16"/>
    <w:rsid w:val="00087CEC"/>
    <w:rsid w:val="00087DB2"/>
    <w:rsid w:val="00087DBA"/>
    <w:rsid w:val="00087E04"/>
    <w:rsid w:val="00087E15"/>
    <w:rsid w:val="00087E4A"/>
    <w:rsid w:val="00087E5F"/>
    <w:rsid w:val="00087E8A"/>
    <w:rsid w:val="00087E9A"/>
    <w:rsid w:val="00087EFE"/>
    <w:rsid w:val="00087F02"/>
    <w:rsid w:val="00087F59"/>
    <w:rsid w:val="00087FAF"/>
    <w:rsid w:val="00087FC8"/>
    <w:rsid w:val="00087FE3"/>
    <w:rsid w:val="0009003E"/>
    <w:rsid w:val="00090124"/>
    <w:rsid w:val="0009015F"/>
    <w:rsid w:val="000901C3"/>
    <w:rsid w:val="000901CC"/>
    <w:rsid w:val="0009022A"/>
    <w:rsid w:val="0009022F"/>
    <w:rsid w:val="000902E2"/>
    <w:rsid w:val="00090329"/>
    <w:rsid w:val="00090355"/>
    <w:rsid w:val="000903A1"/>
    <w:rsid w:val="0009043B"/>
    <w:rsid w:val="00090628"/>
    <w:rsid w:val="000906A8"/>
    <w:rsid w:val="000906CC"/>
    <w:rsid w:val="000907B3"/>
    <w:rsid w:val="000907C3"/>
    <w:rsid w:val="0009084B"/>
    <w:rsid w:val="000909FB"/>
    <w:rsid w:val="00090A45"/>
    <w:rsid w:val="00090ADA"/>
    <w:rsid w:val="00090B19"/>
    <w:rsid w:val="00090D21"/>
    <w:rsid w:val="00090E6A"/>
    <w:rsid w:val="00090E95"/>
    <w:rsid w:val="00090EEE"/>
    <w:rsid w:val="00090F5C"/>
    <w:rsid w:val="00090F9B"/>
    <w:rsid w:val="0009101D"/>
    <w:rsid w:val="000910A5"/>
    <w:rsid w:val="0009123B"/>
    <w:rsid w:val="000913B8"/>
    <w:rsid w:val="0009145B"/>
    <w:rsid w:val="00091481"/>
    <w:rsid w:val="0009156A"/>
    <w:rsid w:val="000915AD"/>
    <w:rsid w:val="000915E0"/>
    <w:rsid w:val="000916CB"/>
    <w:rsid w:val="000916FD"/>
    <w:rsid w:val="00091722"/>
    <w:rsid w:val="0009181F"/>
    <w:rsid w:val="0009187A"/>
    <w:rsid w:val="000918E2"/>
    <w:rsid w:val="000918EB"/>
    <w:rsid w:val="00091945"/>
    <w:rsid w:val="00091957"/>
    <w:rsid w:val="00091977"/>
    <w:rsid w:val="000919FE"/>
    <w:rsid w:val="00091A2F"/>
    <w:rsid w:val="00091A3F"/>
    <w:rsid w:val="00091A41"/>
    <w:rsid w:val="00091A58"/>
    <w:rsid w:val="00091A74"/>
    <w:rsid w:val="00091AEC"/>
    <w:rsid w:val="00091B06"/>
    <w:rsid w:val="00091C2C"/>
    <w:rsid w:val="00091CAC"/>
    <w:rsid w:val="00091E17"/>
    <w:rsid w:val="00091E3F"/>
    <w:rsid w:val="00091E40"/>
    <w:rsid w:val="00091E8F"/>
    <w:rsid w:val="00091EAD"/>
    <w:rsid w:val="00091F03"/>
    <w:rsid w:val="00091FA6"/>
    <w:rsid w:val="00091FBF"/>
    <w:rsid w:val="000920A6"/>
    <w:rsid w:val="000920C3"/>
    <w:rsid w:val="0009220D"/>
    <w:rsid w:val="0009222F"/>
    <w:rsid w:val="000922E6"/>
    <w:rsid w:val="00092358"/>
    <w:rsid w:val="00092381"/>
    <w:rsid w:val="00092387"/>
    <w:rsid w:val="000926AE"/>
    <w:rsid w:val="00092701"/>
    <w:rsid w:val="00092758"/>
    <w:rsid w:val="0009276B"/>
    <w:rsid w:val="00092847"/>
    <w:rsid w:val="0009284A"/>
    <w:rsid w:val="000928A5"/>
    <w:rsid w:val="000928B7"/>
    <w:rsid w:val="000928EF"/>
    <w:rsid w:val="000929C5"/>
    <w:rsid w:val="00092B4C"/>
    <w:rsid w:val="00092B99"/>
    <w:rsid w:val="00092BD4"/>
    <w:rsid w:val="00092C62"/>
    <w:rsid w:val="00092E19"/>
    <w:rsid w:val="00092E1E"/>
    <w:rsid w:val="00092E5E"/>
    <w:rsid w:val="00092EA5"/>
    <w:rsid w:val="00092F03"/>
    <w:rsid w:val="00092F9F"/>
    <w:rsid w:val="00092FCF"/>
    <w:rsid w:val="00093040"/>
    <w:rsid w:val="00093081"/>
    <w:rsid w:val="000930B2"/>
    <w:rsid w:val="0009322A"/>
    <w:rsid w:val="000932CB"/>
    <w:rsid w:val="00093456"/>
    <w:rsid w:val="0009345D"/>
    <w:rsid w:val="00093496"/>
    <w:rsid w:val="000934C4"/>
    <w:rsid w:val="00093601"/>
    <w:rsid w:val="00093620"/>
    <w:rsid w:val="00093696"/>
    <w:rsid w:val="00093782"/>
    <w:rsid w:val="000937D3"/>
    <w:rsid w:val="0009383C"/>
    <w:rsid w:val="00093868"/>
    <w:rsid w:val="000938AD"/>
    <w:rsid w:val="000938D0"/>
    <w:rsid w:val="000938F7"/>
    <w:rsid w:val="000939D1"/>
    <w:rsid w:val="000939F5"/>
    <w:rsid w:val="00093A8F"/>
    <w:rsid w:val="00093B0E"/>
    <w:rsid w:val="00093B0F"/>
    <w:rsid w:val="00093B4C"/>
    <w:rsid w:val="00093C05"/>
    <w:rsid w:val="00093C37"/>
    <w:rsid w:val="00093C94"/>
    <w:rsid w:val="00093D16"/>
    <w:rsid w:val="00093D61"/>
    <w:rsid w:val="00093D62"/>
    <w:rsid w:val="00093D9E"/>
    <w:rsid w:val="00093E82"/>
    <w:rsid w:val="00093EF4"/>
    <w:rsid w:val="00094005"/>
    <w:rsid w:val="00094008"/>
    <w:rsid w:val="0009406D"/>
    <w:rsid w:val="00094183"/>
    <w:rsid w:val="00094202"/>
    <w:rsid w:val="00094238"/>
    <w:rsid w:val="00094253"/>
    <w:rsid w:val="00094303"/>
    <w:rsid w:val="0009444A"/>
    <w:rsid w:val="000944FD"/>
    <w:rsid w:val="0009452D"/>
    <w:rsid w:val="000945A3"/>
    <w:rsid w:val="000945E9"/>
    <w:rsid w:val="0009460D"/>
    <w:rsid w:val="00094689"/>
    <w:rsid w:val="000947DD"/>
    <w:rsid w:val="000948F8"/>
    <w:rsid w:val="0009492A"/>
    <w:rsid w:val="0009496D"/>
    <w:rsid w:val="000949A1"/>
    <w:rsid w:val="000949CE"/>
    <w:rsid w:val="00094A07"/>
    <w:rsid w:val="00094A9F"/>
    <w:rsid w:val="00094B5B"/>
    <w:rsid w:val="00094BD7"/>
    <w:rsid w:val="00094C08"/>
    <w:rsid w:val="00094C14"/>
    <w:rsid w:val="00094C30"/>
    <w:rsid w:val="00094C34"/>
    <w:rsid w:val="00094C44"/>
    <w:rsid w:val="00094C9B"/>
    <w:rsid w:val="00094D14"/>
    <w:rsid w:val="00094D59"/>
    <w:rsid w:val="00094D83"/>
    <w:rsid w:val="00094E2B"/>
    <w:rsid w:val="00094FC7"/>
    <w:rsid w:val="00095023"/>
    <w:rsid w:val="000950B7"/>
    <w:rsid w:val="000950FD"/>
    <w:rsid w:val="00095111"/>
    <w:rsid w:val="0009532E"/>
    <w:rsid w:val="000953B4"/>
    <w:rsid w:val="0009543B"/>
    <w:rsid w:val="000954E8"/>
    <w:rsid w:val="00095522"/>
    <w:rsid w:val="000955E0"/>
    <w:rsid w:val="00095648"/>
    <w:rsid w:val="000956BE"/>
    <w:rsid w:val="0009578D"/>
    <w:rsid w:val="00095793"/>
    <w:rsid w:val="00095904"/>
    <w:rsid w:val="00095909"/>
    <w:rsid w:val="00095961"/>
    <w:rsid w:val="00095A05"/>
    <w:rsid w:val="00095AB6"/>
    <w:rsid w:val="00095B0B"/>
    <w:rsid w:val="00095BA7"/>
    <w:rsid w:val="00095C41"/>
    <w:rsid w:val="00095C6F"/>
    <w:rsid w:val="00095C90"/>
    <w:rsid w:val="00095CCC"/>
    <w:rsid w:val="00095CF5"/>
    <w:rsid w:val="00095D82"/>
    <w:rsid w:val="00095D88"/>
    <w:rsid w:val="00095DB2"/>
    <w:rsid w:val="00095E09"/>
    <w:rsid w:val="00095F40"/>
    <w:rsid w:val="00096017"/>
    <w:rsid w:val="00096071"/>
    <w:rsid w:val="00096186"/>
    <w:rsid w:val="000961BE"/>
    <w:rsid w:val="000962A3"/>
    <w:rsid w:val="000963CC"/>
    <w:rsid w:val="0009647A"/>
    <w:rsid w:val="00096485"/>
    <w:rsid w:val="00096486"/>
    <w:rsid w:val="00096515"/>
    <w:rsid w:val="0009657E"/>
    <w:rsid w:val="0009669F"/>
    <w:rsid w:val="0009672A"/>
    <w:rsid w:val="0009678F"/>
    <w:rsid w:val="0009679B"/>
    <w:rsid w:val="000967C4"/>
    <w:rsid w:val="000967CF"/>
    <w:rsid w:val="000967E8"/>
    <w:rsid w:val="0009684D"/>
    <w:rsid w:val="00096891"/>
    <w:rsid w:val="00096926"/>
    <w:rsid w:val="0009693F"/>
    <w:rsid w:val="0009694B"/>
    <w:rsid w:val="000969C9"/>
    <w:rsid w:val="000969D4"/>
    <w:rsid w:val="000969D5"/>
    <w:rsid w:val="00096A5B"/>
    <w:rsid w:val="00096AB8"/>
    <w:rsid w:val="00096ABC"/>
    <w:rsid w:val="00096AC6"/>
    <w:rsid w:val="00096BA3"/>
    <w:rsid w:val="00096BC9"/>
    <w:rsid w:val="00096C4C"/>
    <w:rsid w:val="00096DA7"/>
    <w:rsid w:val="00096ECD"/>
    <w:rsid w:val="00096F44"/>
    <w:rsid w:val="0009701F"/>
    <w:rsid w:val="000970A6"/>
    <w:rsid w:val="000970B1"/>
    <w:rsid w:val="00097154"/>
    <w:rsid w:val="000971BC"/>
    <w:rsid w:val="0009721A"/>
    <w:rsid w:val="00097252"/>
    <w:rsid w:val="000972BC"/>
    <w:rsid w:val="000972E6"/>
    <w:rsid w:val="000972FB"/>
    <w:rsid w:val="00097352"/>
    <w:rsid w:val="000974EC"/>
    <w:rsid w:val="000974F4"/>
    <w:rsid w:val="00097525"/>
    <w:rsid w:val="0009752A"/>
    <w:rsid w:val="0009752E"/>
    <w:rsid w:val="00097555"/>
    <w:rsid w:val="0009757C"/>
    <w:rsid w:val="00097585"/>
    <w:rsid w:val="000976AF"/>
    <w:rsid w:val="00097745"/>
    <w:rsid w:val="000977C6"/>
    <w:rsid w:val="0009786D"/>
    <w:rsid w:val="00097962"/>
    <w:rsid w:val="0009799D"/>
    <w:rsid w:val="00097A16"/>
    <w:rsid w:val="00097B4C"/>
    <w:rsid w:val="00097C31"/>
    <w:rsid w:val="00097CAA"/>
    <w:rsid w:val="00097D4B"/>
    <w:rsid w:val="00097E87"/>
    <w:rsid w:val="00097EC1"/>
    <w:rsid w:val="000A0038"/>
    <w:rsid w:val="000A0087"/>
    <w:rsid w:val="000A008C"/>
    <w:rsid w:val="000A0165"/>
    <w:rsid w:val="000A01BA"/>
    <w:rsid w:val="000A0218"/>
    <w:rsid w:val="000A02A2"/>
    <w:rsid w:val="000A041E"/>
    <w:rsid w:val="000A043F"/>
    <w:rsid w:val="000A0507"/>
    <w:rsid w:val="000A060A"/>
    <w:rsid w:val="000A0628"/>
    <w:rsid w:val="000A0684"/>
    <w:rsid w:val="000A0744"/>
    <w:rsid w:val="000A078F"/>
    <w:rsid w:val="000A0834"/>
    <w:rsid w:val="000A086F"/>
    <w:rsid w:val="000A08C0"/>
    <w:rsid w:val="000A0918"/>
    <w:rsid w:val="000A0A57"/>
    <w:rsid w:val="000A0B17"/>
    <w:rsid w:val="000A0B68"/>
    <w:rsid w:val="000A0B7A"/>
    <w:rsid w:val="000A0CB3"/>
    <w:rsid w:val="000A0CD5"/>
    <w:rsid w:val="000A0E86"/>
    <w:rsid w:val="000A0E8F"/>
    <w:rsid w:val="000A0FB1"/>
    <w:rsid w:val="000A1032"/>
    <w:rsid w:val="000A1053"/>
    <w:rsid w:val="000A1054"/>
    <w:rsid w:val="000A1074"/>
    <w:rsid w:val="000A10A9"/>
    <w:rsid w:val="000A10BF"/>
    <w:rsid w:val="000A10C1"/>
    <w:rsid w:val="000A10C4"/>
    <w:rsid w:val="000A11C7"/>
    <w:rsid w:val="000A11D8"/>
    <w:rsid w:val="000A11F5"/>
    <w:rsid w:val="000A1385"/>
    <w:rsid w:val="000A13C5"/>
    <w:rsid w:val="000A13C9"/>
    <w:rsid w:val="000A142F"/>
    <w:rsid w:val="000A156F"/>
    <w:rsid w:val="000A1574"/>
    <w:rsid w:val="000A15C6"/>
    <w:rsid w:val="000A15DF"/>
    <w:rsid w:val="000A165A"/>
    <w:rsid w:val="000A1691"/>
    <w:rsid w:val="000A1699"/>
    <w:rsid w:val="000A16B7"/>
    <w:rsid w:val="000A1841"/>
    <w:rsid w:val="000A1948"/>
    <w:rsid w:val="000A19EE"/>
    <w:rsid w:val="000A19FC"/>
    <w:rsid w:val="000A1A92"/>
    <w:rsid w:val="000A1B02"/>
    <w:rsid w:val="000A1BE4"/>
    <w:rsid w:val="000A1C92"/>
    <w:rsid w:val="000A1C98"/>
    <w:rsid w:val="000A1D89"/>
    <w:rsid w:val="000A1E49"/>
    <w:rsid w:val="000A1E75"/>
    <w:rsid w:val="000A1EB8"/>
    <w:rsid w:val="000A1ED9"/>
    <w:rsid w:val="000A1F56"/>
    <w:rsid w:val="000A2096"/>
    <w:rsid w:val="000A215C"/>
    <w:rsid w:val="000A2195"/>
    <w:rsid w:val="000A21BE"/>
    <w:rsid w:val="000A221A"/>
    <w:rsid w:val="000A2268"/>
    <w:rsid w:val="000A2348"/>
    <w:rsid w:val="000A252D"/>
    <w:rsid w:val="000A25E8"/>
    <w:rsid w:val="000A2799"/>
    <w:rsid w:val="000A287B"/>
    <w:rsid w:val="000A28BF"/>
    <w:rsid w:val="000A28CC"/>
    <w:rsid w:val="000A29D5"/>
    <w:rsid w:val="000A2A4A"/>
    <w:rsid w:val="000A2AAD"/>
    <w:rsid w:val="000A2AC0"/>
    <w:rsid w:val="000A2B22"/>
    <w:rsid w:val="000A2BE3"/>
    <w:rsid w:val="000A2BF0"/>
    <w:rsid w:val="000A2E56"/>
    <w:rsid w:val="000A2F86"/>
    <w:rsid w:val="000A309A"/>
    <w:rsid w:val="000A309D"/>
    <w:rsid w:val="000A30B2"/>
    <w:rsid w:val="000A30C4"/>
    <w:rsid w:val="000A30EF"/>
    <w:rsid w:val="000A3108"/>
    <w:rsid w:val="000A3120"/>
    <w:rsid w:val="000A3133"/>
    <w:rsid w:val="000A315F"/>
    <w:rsid w:val="000A3247"/>
    <w:rsid w:val="000A32FB"/>
    <w:rsid w:val="000A3423"/>
    <w:rsid w:val="000A3443"/>
    <w:rsid w:val="000A3500"/>
    <w:rsid w:val="000A3565"/>
    <w:rsid w:val="000A3617"/>
    <w:rsid w:val="000A3666"/>
    <w:rsid w:val="000A367B"/>
    <w:rsid w:val="000A36B2"/>
    <w:rsid w:val="000A36BD"/>
    <w:rsid w:val="000A36FD"/>
    <w:rsid w:val="000A3779"/>
    <w:rsid w:val="000A379A"/>
    <w:rsid w:val="000A3941"/>
    <w:rsid w:val="000A3BD2"/>
    <w:rsid w:val="000A3C01"/>
    <w:rsid w:val="000A3CC7"/>
    <w:rsid w:val="000A3D0D"/>
    <w:rsid w:val="000A3D5D"/>
    <w:rsid w:val="000A3D7C"/>
    <w:rsid w:val="000A3D95"/>
    <w:rsid w:val="000A3DB4"/>
    <w:rsid w:val="000A3EB0"/>
    <w:rsid w:val="000A3EE7"/>
    <w:rsid w:val="000A3EEC"/>
    <w:rsid w:val="000A3FC3"/>
    <w:rsid w:val="000A3FD3"/>
    <w:rsid w:val="000A4003"/>
    <w:rsid w:val="000A4047"/>
    <w:rsid w:val="000A4114"/>
    <w:rsid w:val="000A4151"/>
    <w:rsid w:val="000A4188"/>
    <w:rsid w:val="000A428F"/>
    <w:rsid w:val="000A435C"/>
    <w:rsid w:val="000A45CB"/>
    <w:rsid w:val="000A45D6"/>
    <w:rsid w:val="000A465B"/>
    <w:rsid w:val="000A468A"/>
    <w:rsid w:val="000A4797"/>
    <w:rsid w:val="000A4849"/>
    <w:rsid w:val="000A488C"/>
    <w:rsid w:val="000A4943"/>
    <w:rsid w:val="000A4A56"/>
    <w:rsid w:val="000A4B96"/>
    <w:rsid w:val="000A4BD2"/>
    <w:rsid w:val="000A4C09"/>
    <w:rsid w:val="000A4C3B"/>
    <w:rsid w:val="000A4CAB"/>
    <w:rsid w:val="000A4CC8"/>
    <w:rsid w:val="000A4CFA"/>
    <w:rsid w:val="000A4D96"/>
    <w:rsid w:val="000A4F37"/>
    <w:rsid w:val="000A4FBC"/>
    <w:rsid w:val="000A5010"/>
    <w:rsid w:val="000A504A"/>
    <w:rsid w:val="000A5051"/>
    <w:rsid w:val="000A519D"/>
    <w:rsid w:val="000A51F0"/>
    <w:rsid w:val="000A5255"/>
    <w:rsid w:val="000A527B"/>
    <w:rsid w:val="000A54A8"/>
    <w:rsid w:val="000A550A"/>
    <w:rsid w:val="000A559B"/>
    <w:rsid w:val="000A5628"/>
    <w:rsid w:val="000A56B0"/>
    <w:rsid w:val="000A5751"/>
    <w:rsid w:val="000A5793"/>
    <w:rsid w:val="000A5888"/>
    <w:rsid w:val="000A588C"/>
    <w:rsid w:val="000A5956"/>
    <w:rsid w:val="000A5A1A"/>
    <w:rsid w:val="000A5AD4"/>
    <w:rsid w:val="000A5B1F"/>
    <w:rsid w:val="000A5B75"/>
    <w:rsid w:val="000A5C0C"/>
    <w:rsid w:val="000A5E5F"/>
    <w:rsid w:val="000A5E99"/>
    <w:rsid w:val="000A5EB7"/>
    <w:rsid w:val="000A5F35"/>
    <w:rsid w:val="000A5F81"/>
    <w:rsid w:val="000A5FBF"/>
    <w:rsid w:val="000A609B"/>
    <w:rsid w:val="000A60F7"/>
    <w:rsid w:val="000A614C"/>
    <w:rsid w:val="000A61ED"/>
    <w:rsid w:val="000A6240"/>
    <w:rsid w:val="000A62FD"/>
    <w:rsid w:val="000A6357"/>
    <w:rsid w:val="000A636C"/>
    <w:rsid w:val="000A63BC"/>
    <w:rsid w:val="000A63F1"/>
    <w:rsid w:val="000A6444"/>
    <w:rsid w:val="000A6454"/>
    <w:rsid w:val="000A655D"/>
    <w:rsid w:val="000A6659"/>
    <w:rsid w:val="000A6694"/>
    <w:rsid w:val="000A66E5"/>
    <w:rsid w:val="000A682A"/>
    <w:rsid w:val="000A68EE"/>
    <w:rsid w:val="000A69DC"/>
    <w:rsid w:val="000A6A6A"/>
    <w:rsid w:val="000A6AA7"/>
    <w:rsid w:val="000A6AE3"/>
    <w:rsid w:val="000A6B2F"/>
    <w:rsid w:val="000A6BD2"/>
    <w:rsid w:val="000A6BDE"/>
    <w:rsid w:val="000A6BE8"/>
    <w:rsid w:val="000A6C2F"/>
    <w:rsid w:val="000A6D45"/>
    <w:rsid w:val="000A6E18"/>
    <w:rsid w:val="000A6E37"/>
    <w:rsid w:val="000A6FB2"/>
    <w:rsid w:val="000A6FDC"/>
    <w:rsid w:val="000A7098"/>
    <w:rsid w:val="000A720C"/>
    <w:rsid w:val="000A72DF"/>
    <w:rsid w:val="000A7370"/>
    <w:rsid w:val="000A7371"/>
    <w:rsid w:val="000A739C"/>
    <w:rsid w:val="000A7402"/>
    <w:rsid w:val="000A74EE"/>
    <w:rsid w:val="000A74FB"/>
    <w:rsid w:val="000A7514"/>
    <w:rsid w:val="000A7520"/>
    <w:rsid w:val="000A7551"/>
    <w:rsid w:val="000A760A"/>
    <w:rsid w:val="000A7645"/>
    <w:rsid w:val="000A767A"/>
    <w:rsid w:val="000A76B1"/>
    <w:rsid w:val="000A76BD"/>
    <w:rsid w:val="000A7703"/>
    <w:rsid w:val="000A7759"/>
    <w:rsid w:val="000A77B9"/>
    <w:rsid w:val="000A7871"/>
    <w:rsid w:val="000A7988"/>
    <w:rsid w:val="000A79AC"/>
    <w:rsid w:val="000A79EF"/>
    <w:rsid w:val="000A7A1B"/>
    <w:rsid w:val="000A7A63"/>
    <w:rsid w:val="000A7B16"/>
    <w:rsid w:val="000A7B75"/>
    <w:rsid w:val="000A7C3F"/>
    <w:rsid w:val="000A7E2E"/>
    <w:rsid w:val="000A7EFA"/>
    <w:rsid w:val="000A7F19"/>
    <w:rsid w:val="000A7FF9"/>
    <w:rsid w:val="000B0045"/>
    <w:rsid w:val="000B004B"/>
    <w:rsid w:val="000B00E5"/>
    <w:rsid w:val="000B0179"/>
    <w:rsid w:val="000B0395"/>
    <w:rsid w:val="000B03EC"/>
    <w:rsid w:val="000B04AB"/>
    <w:rsid w:val="000B04F8"/>
    <w:rsid w:val="000B0629"/>
    <w:rsid w:val="000B062D"/>
    <w:rsid w:val="000B06E4"/>
    <w:rsid w:val="000B0736"/>
    <w:rsid w:val="000B093F"/>
    <w:rsid w:val="000B0947"/>
    <w:rsid w:val="000B0970"/>
    <w:rsid w:val="000B0978"/>
    <w:rsid w:val="000B098E"/>
    <w:rsid w:val="000B0A02"/>
    <w:rsid w:val="000B0A1B"/>
    <w:rsid w:val="000B0A1F"/>
    <w:rsid w:val="000B0B27"/>
    <w:rsid w:val="000B0B54"/>
    <w:rsid w:val="000B0B59"/>
    <w:rsid w:val="000B0B64"/>
    <w:rsid w:val="000B0BF8"/>
    <w:rsid w:val="000B0CC8"/>
    <w:rsid w:val="000B0CE5"/>
    <w:rsid w:val="000B0D35"/>
    <w:rsid w:val="000B0D60"/>
    <w:rsid w:val="000B1016"/>
    <w:rsid w:val="000B102C"/>
    <w:rsid w:val="000B105B"/>
    <w:rsid w:val="000B1125"/>
    <w:rsid w:val="000B129F"/>
    <w:rsid w:val="000B12E8"/>
    <w:rsid w:val="000B1325"/>
    <w:rsid w:val="000B1357"/>
    <w:rsid w:val="000B1503"/>
    <w:rsid w:val="000B1562"/>
    <w:rsid w:val="000B15C5"/>
    <w:rsid w:val="000B1671"/>
    <w:rsid w:val="000B16E4"/>
    <w:rsid w:val="000B174F"/>
    <w:rsid w:val="000B17CF"/>
    <w:rsid w:val="000B17F7"/>
    <w:rsid w:val="000B187A"/>
    <w:rsid w:val="000B1901"/>
    <w:rsid w:val="000B19A5"/>
    <w:rsid w:val="000B19E5"/>
    <w:rsid w:val="000B1B30"/>
    <w:rsid w:val="000B1B53"/>
    <w:rsid w:val="000B1B59"/>
    <w:rsid w:val="000B1B78"/>
    <w:rsid w:val="000B1B84"/>
    <w:rsid w:val="000B1BC5"/>
    <w:rsid w:val="000B1CBA"/>
    <w:rsid w:val="000B1CE6"/>
    <w:rsid w:val="000B1CFB"/>
    <w:rsid w:val="000B1D05"/>
    <w:rsid w:val="000B1D62"/>
    <w:rsid w:val="000B1F09"/>
    <w:rsid w:val="000B215D"/>
    <w:rsid w:val="000B21BF"/>
    <w:rsid w:val="000B21E9"/>
    <w:rsid w:val="000B221F"/>
    <w:rsid w:val="000B225F"/>
    <w:rsid w:val="000B2433"/>
    <w:rsid w:val="000B2513"/>
    <w:rsid w:val="000B25F3"/>
    <w:rsid w:val="000B2714"/>
    <w:rsid w:val="000B272E"/>
    <w:rsid w:val="000B273B"/>
    <w:rsid w:val="000B27A1"/>
    <w:rsid w:val="000B27E2"/>
    <w:rsid w:val="000B2865"/>
    <w:rsid w:val="000B2885"/>
    <w:rsid w:val="000B2961"/>
    <w:rsid w:val="000B29F1"/>
    <w:rsid w:val="000B2AE2"/>
    <w:rsid w:val="000B2C19"/>
    <w:rsid w:val="000B2C9F"/>
    <w:rsid w:val="000B2E4C"/>
    <w:rsid w:val="000B2E6A"/>
    <w:rsid w:val="000B2E9E"/>
    <w:rsid w:val="000B2F2C"/>
    <w:rsid w:val="000B2FD4"/>
    <w:rsid w:val="000B302A"/>
    <w:rsid w:val="000B30BA"/>
    <w:rsid w:val="000B31B3"/>
    <w:rsid w:val="000B321A"/>
    <w:rsid w:val="000B322B"/>
    <w:rsid w:val="000B3243"/>
    <w:rsid w:val="000B32DD"/>
    <w:rsid w:val="000B32F0"/>
    <w:rsid w:val="000B34EA"/>
    <w:rsid w:val="000B3666"/>
    <w:rsid w:val="000B370C"/>
    <w:rsid w:val="000B3762"/>
    <w:rsid w:val="000B38DF"/>
    <w:rsid w:val="000B3988"/>
    <w:rsid w:val="000B3A26"/>
    <w:rsid w:val="000B3B9B"/>
    <w:rsid w:val="000B3BFF"/>
    <w:rsid w:val="000B3C1B"/>
    <w:rsid w:val="000B3C23"/>
    <w:rsid w:val="000B3DA0"/>
    <w:rsid w:val="000B3DF8"/>
    <w:rsid w:val="000B3E06"/>
    <w:rsid w:val="000B3E11"/>
    <w:rsid w:val="000B3ECE"/>
    <w:rsid w:val="000B3F13"/>
    <w:rsid w:val="000B4041"/>
    <w:rsid w:val="000B404F"/>
    <w:rsid w:val="000B410F"/>
    <w:rsid w:val="000B4239"/>
    <w:rsid w:val="000B43A0"/>
    <w:rsid w:val="000B43F9"/>
    <w:rsid w:val="000B4429"/>
    <w:rsid w:val="000B44AB"/>
    <w:rsid w:val="000B44C7"/>
    <w:rsid w:val="000B4516"/>
    <w:rsid w:val="000B4524"/>
    <w:rsid w:val="000B454B"/>
    <w:rsid w:val="000B4572"/>
    <w:rsid w:val="000B4693"/>
    <w:rsid w:val="000B46A7"/>
    <w:rsid w:val="000B4790"/>
    <w:rsid w:val="000B4825"/>
    <w:rsid w:val="000B497A"/>
    <w:rsid w:val="000B49B8"/>
    <w:rsid w:val="000B49C9"/>
    <w:rsid w:val="000B49EA"/>
    <w:rsid w:val="000B49F0"/>
    <w:rsid w:val="000B4A22"/>
    <w:rsid w:val="000B4A89"/>
    <w:rsid w:val="000B4A93"/>
    <w:rsid w:val="000B4AC6"/>
    <w:rsid w:val="000B4BC1"/>
    <w:rsid w:val="000B4BDB"/>
    <w:rsid w:val="000B4C11"/>
    <w:rsid w:val="000B4DAA"/>
    <w:rsid w:val="000B4ECC"/>
    <w:rsid w:val="000B4F3B"/>
    <w:rsid w:val="000B4FBD"/>
    <w:rsid w:val="000B5083"/>
    <w:rsid w:val="000B50AB"/>
    <w:rsid w:val="000B50D0"/>
    <w:rsid w:val="000B5151"/>
    <w:rsid w:val="000B519A"/>
    <w:rsid w:val="000B51CE"/>
    <w:rsid w:val="000B51FC"/>
    <w:rsid w:val="000B5223"/>
    <w:rsid w:val="000B528C"/>
    <w:rsid w:val="000B52B8"/>
    <w:rsid w:val="000B5422"/>
    <w:rsid w:val="000B563D"/>
    <w:rsid w:val="000B5692"/>
    <w:rsid w:val="000B56F0"/>
    <w:rsid w:val="000B582F"/>
    <w:rsid w:val="000B58D1"/>
    <w:rsid w:val="000B58F5"/>
    <w:rsid w:val="000B59A6"/>
    <w:rsid w:val="000B5A29"/>
    <w:rsid w:val="000B5AD7"/>
    <w:rsid w:val="000B5B3C"/>
    <w:rsid w:val="000B5B3D"/>
    <w:rsid w:val="000B5DDD"/>
    <w:rsid w:val="000B5E3B"/>
    <w:rsid w:val="000B5ED1"/>
    <w:rsid w:val="000B5F3D"/>
    <w:rsid w:val="000B5F71"/>
    <w:rsid w:val="000B6019"/>
    <w:rsid w:val="000B603C"/>
    <w:rsid w:val="000B6046"/>
    <w:rsid w:val="000B61CF"/>
    <w:rsid w:val="000B6254"/>
    <w:rsid w:val="000B6264"/>
    <w:rsid w:val="000B627E"/>
    <w:rsid w:val="000B6356"/>
    <w:rsid w:val="000B6450"/>
    <w:rsid w:val="000B647D"/>
    <w:rsid w:val="000B647E"/>
    <w:rsid w:val="000B6654"/>
    <w:rsid w:val="000B6715"/>
    <w:rsid w:val="000B6904"/>
    <w:rsid w:val="000B6928"/>
    <w:rsid w:val="000B69A4"/>
    <w:rsid w:val="000B69F1"/>
    <w:rsid w:val="000B6B51"/>
    <w:rsid w:val="000B6B81"/>
    <w:rsid w:val="000B6C58"/>
    <w:rsid w:val="000B6E52"/>
    <w:rsid w:val="000B6EFC"/>
    <w:rsid w:val="000B6F71"/>
    <w:rsid w:val="000B6FE8"/>
    <w:rsid w:val="000B6FF5"/>
    <w:rsid w:val="000B70FC"/>
    <w:rsid w:val="000B70FF"/>
    <w:rsid w:val="000B71BA"/>
    <w:rsid w:val="000B71E2"/>
    <w:rsid w:val="000B72AA"/>
    <w:rsid w:val="000B73CD"/>
    <w:rsid w:val="000B7400"/>
    <w:rsid w:val="000B74CA"/>
    <w:rsid w:val="000B7522"/>
    <w:rsid w:val="000B7565"/>
    <w:rsid w:val="000B77B1"/>
    <w:rsid w:val="000B7820"/>
    <w:rsid w:val="000B7889"/>
    <w:rsid w:val="000B7A87"/>
    <w:rsid w:val="000B7AA9"/>
    <w:rsid w:val="000B7AB8"/>
    <w:rsid w:val="000B7AF7"/>
    <w:rsid w:val="000B7B26"/>
    <w:rsid w:val="000B7B30"/>
    <w:rsid w:val="000B7B6F"/>
    <w:rsid w:val="000B7C58"/>
    <w:rsid w:val="000B7CF5"/>
    <w:rsid w:val="000B7DB1"/>
    <w:rsid w:val="000B7E2F"/>
    <w:rsid w:val="000B7F32"/>
    <w:rsid w:val="000B7F75"/>
    <w:rsid w:val="000B7FDC"/>
    <w:rsid w:val="000C002D"/>
    <w:rsid w:val="000C0096"/>
    <w:rsid w:val="000C00DC"/>
    <w:rsid w:val="000C02A3"/>
    <w:rsid w:val="000C02AE"/>
    <w:rsid w:val="000C02BC"/>
    <w:rsid w:val="000C02F3"/>
    <w:rsid w:val="000C02FA"/>
    <w:rsid w:val="000C02FD"/>
    <w:rsid w:val="000C0338"/>
    <w:rsid w:val="000C033C"/>
    <w:rsid w:val="000C0409"/>
    <w:rsid w:val="000C05B9"/>
    <w:rsid w:val="000C05C3"/>
    <w:rsid w:val="000C0628"/>
    <w:rsid w:val="000C0630"/>
    <w:rsid w:val="000C069B"/>
    <w:rsid w:val="000C0726"/>
    <w:rsid w:val="000C0761"/>
    <w:rsid w:val="000C0772"/>
    <w:rsid w:val="000C08A3"/>
    <w:rsid w:val="000C08A7"/>
    <w:rsid w:val="000C09AE"/>
    <w:rsid w:val="000C0A46"/>
    <w:rsid w:val="000C0BB9"/>
    <w:rsid w:val="000C0CAC"/>
    <w:rsid w:val="000C0D0D"/>
    <w:rsid w:val="000C0D40"/>
    <w:rsid w:val="000C0D5B"/>
    <w:rsid w:val="000C0D88"/>
    <w:rsid w:val="000C0DBB"/>
    <w:rsid w:val="000C0E20"/>
    <w:rsid w:val="000C0EB3"/>
    <w:rsid w:val="000C0EE4"/>
    <w:rsid w:val="000C0F06"/>
    <w:rsid w:val="000C0F09"/>
    <w:rsid w:val="000C0F61"/>
    <w:rsid w:val="000C1018"/>
    <w:rsid w:val="000C10B6"/>
    <w:rsid w:val="000C10DA"/>
    <w:rsid w:val="000C1134"/>
    <w:rsid w:val="000C1184"/>
    <w:rsid w:val="000C11A0"/>
    <w:rsid w:val="000C1207"/>
    <w:rsid w:val="000C1226"/>
    <w:rsid w:val="000C124F"/>
    <w:rsid w:val="000C125C"/>
    <w:rsid w:val="000C15F3"/>
    <w:rsid w:val="000C1622"/>
    <w:rsid w:val="000C162F"/>
    <w:rsid w:val="000C16B5"/>
    <w:rsid w:val="000C1706"/>
    <w:rsid w:val="000C1744"/>
    <w:rsid w:val="000C1859"/>
    <w:rsid w:val="000C1878"/>
    <w:rsid w:val="000C18CC"/>
    <w:rsid w:val="000C18FD"/>
    <w:rsid w:val="000C1925"/>
    <w:rsid w:val="000C198E"/>
    <w:rsid w:val="000C1B52"/>
    <w:rsid w:val="000C1C26"/>
    <w:rsid w:val="000C1C2E"/>
    <w:rsid w:val="000C1CEB"/>
    <w:rsid w:val="000C1D44"/>
    <w:rsid w:val="000C1DEF"/>
    <w:rsid w:val="000C1E05"/>
    <w:rsid w:val="000C1EC5"/>
    <w:rsid w:val="000C2077"/>
    <w:rsid w:val="000C20D8"/>
    <w:rsid w:val="000C2122"/>
    <w:rsid w:val="000C215B"/>
    <w:rsid w:val="000C2262"/>
    <w:rsid w:val="000C227F"/>
    <w:rsid w:val="000C22B4"/>
    <w:rsid w:val="000C2392"/>
    <w:rsid w:val="000C2431"/>
    <w:rsid w:val="000C24DC"/>
    <w:rsid w:val="000C253E"/>
    <w:rsid w:val="000C25C2"/>
    <w:rsid w:val="000C26E0"/>
    <w:rsid w:val="000C26E6"/>
    <w:rsid w:val="000C27AE"/>
    <w:rsid w:val="000C2972"/>
    <w:rsid w:val="000C29FA"/>
    <w:rsid w:val="000C2ADB"/>
    <w:rsid w:val="000C2B0C"/>
    <w:rsid w:val="000C2B67"/>
    <w:rsid w:val="000C2B7D"/>
    <w:rsid w:val="000C2BBD"/>
    <w:rsid w:val="000C2C55"/>
    <w:rsid w:val="000C2C56"/>
    <w:rsid w:val="000C2C8A"/>
    <w:rsid w:val="000C2D04"/>
    <w:rsid w:val="000C2D24"/>
    <w:rsid w:val="000C2D64"/>
    <w:rsid w:val="000C2E46"/>
    <w:rsid w:val="000C2E99"/>
    <w:rsid w:val="000C2EE8"/>
    <w:rsid w:val="000C2F10"/>
    <w:rsid w:val="000C2F58"/>
    <w:rsid w:val="000C2F8C"/>
    <w:rsid w:val="000C3140"/>
    <w:rsid w:val="000C316C"/>
    <w:rsid w:val="000C3177"/>
    <w:rsid w:val="000C3199"/>
    <w:rsid w:val="000C31E2"/>
    <w:rsid w:val="000C3262"/>
    <w:rsid w:val="000C32AF"/>
    <w:rsid w:val="000C32C6"/>
    <w:rsid w:val="000C33AF"/>
    <w:rsid w:val="000C346D"/>
    <w:rsid w:val="000C3492"/>
    <w:rsid w:val="000C3677"/>
    <w:rsid w:val="000C387C"/>
    <w:rsid w:val="000C38B7"/>
    <w:rsid w:val="000C3936"/>
    <w:rsid w:val="000C3946"/>
    <w:rsid w:val="000C3A96"/>
    <w:rsid w:val="000C3AF9"/>
    <w:rsid w:val="000C3B3D"/>
    <w:rsid w:val="000C3BBD"/>
    <w:rsid w:val="000C3BEB"/>
    <w:rsid w:val="000C3C40"/>
    <w:rsid w:val="000C3C8D"/>
    <w:rsid w:val="000C3CD5"/>
    <w:rsid w:val="000C3D00"/>
    <w:rsid w:val="000C3D46"/>
    <w:rsid w:val="000C3DD1"/>
    <w:rsid w:val="000C3E13"/>
    <w:rsid w:val="000C3E8A"/>
    <w:rsid w:val="000C3FBF"/>
    <w:rsid w:val="000C3FF4"/>
    <w:rsid w:val="000C4023"/>
    <w:rsid w:val="000C40A5"/>
    <w:rsid w:val="000C41FE"/>
    <w:rsid w:val="000C434C"/>
    <w:rsid w:val="000C4355"/>
    <w:rsid w:val="000C43FC"/>
    <w:rsid w:val="000C4472"/>
    <w:rsid w:val="000C4513"/>
    <w:rsid w:val="000C456A"/>
    <w:rsid w:val="000C45E3"/>
    <w:rsid w:val="000C4635"/>
    <w:rsid w:val="000C47E3"/>
    <w:rsid w:val="000C4871"/>
    <w:rsid w:val="000C488E"/>
    <w:rsid w:val="000C48A9"/>
    <w:rsid w:val="000C496B"/>
    <w:rsid w:val="000C49A4"/>
    <w:rsid w:val="000C4B63"/>
    <w:rsid w:val="000C4C46"/>
    <w:rsid w:val="000C4C47"/>
    <w:rsid w:val="000C4CA6"/>
    <w:rsid w:val="000C4CF7"/>
    <w:rsid w:val="000C4D51"/>
    <w:rsid w:val="000C4D56"/>
    <w:rsid w:val="000C4E4E"/>
    <w:rsid w:val="000C4E70"/>
    <w:rsid w:val="000C4EA5"/>
    <w:rsid w:val="000C4F9F"/>
    <w:rsid w:val="000C4FCA"/>
    <w:rsid w:val="000C4FD5"/>
    <w:rsid w:val="000C5003"/>
    <w:rsid w:val="000C5022"/>
    <w:rsid w:val="000C50B4"/>
    <w:rsid w:val="000C50B8"/>
    <w:rsid w:val="000C515F"/>
    <w:rsid w:val="000C525C"/>
    <w:rsid w:val="000C526D"/>
    <w:rsid w:val="000C52EF"/>
    <w:rsid w:val="000C52F2"/>
    <w:rsid w:val="000C5320"/>
    <w:rsid w:val="000C53A1"/>
    <w:rsid w:val="000C5401"/>
    <w:rsid w:val="000C5452"/>
    <w:rsid w:val="000C5477"/>
    <w:rsid w:val="000C55DE"/>
    <w:rsid w:val="000C5614"/>
    <w:rsid w:val="000C5641"/>
    <w:rsid w:val="000C571D"/>
    <w:rsid w:val="000C5856"/>
    <w:rsid w:val="000C58D3"/>
    <w:rsid w:val="000C5966"/>
    <w:rsid w:val="000C5987"/>
    <w:rsid w:val="000C5B48"/>
    <w:rsid w:val="000C5BA0"/>
    <w:rsid w:val="000C5BC0"/>
    <w:rsid w:val="000C5C01"/>
    <w:rsid w:val="000C5C0D"/>
    <w:rsid w:val="000C5C5F"/>
    <w:rsid w:val="000C5CA1"/>
    <w:rsid w:val="000C5D72"/>
    <w:rsid w:val="000C5D7D"/>
    <w:rsid w:val="000C5D8A"/>
    <w:rsid w:val="000C5DB6"/>
    <w:rsid w:val="000C5DEC"/>
    <w:rsid w:val="000C5EAA"/>
    <w:rsid w:val="000C5EE0"/>
    <w:rsid w:val="000C5F40"/>
    <w:rsid w:val="000C5F6C"/>
    <w:rsid w:val="000C5F89"/>
    <w:rsid w:val="000C63F7"/>
    <w:rsid w:val="000C6547"/>
    <w:rsid w:val="000C6595"/>
    <w:rsid w:val="000C660C"/>
    <w:rsid w:val="000C6623"/>
    <w:rsid w:val="000C66C0"/>
    <w:rsid w:val="000C6775"/>
    <w:rsid w:val="000C67AE"/>
    <w:rsid w:val="000C6807"/>
    <w:rsid w:val="000C68D8"/>
    <w:rsid w:val="000C691D"/>
    <w:rsid w:val="000C6A7F"/>
    <w:rsid w:val="000C6AD5"/>
    <w:rsid w:val="000C6AF0"/>
    <w:rsid w:val="000C6B02"/>
    <w:rsid w:val="000C6BC1"/>
    <w:rsid w:val="000C6BCA"/>
    <w:rsid w:val="000C6C34"/>
    <w:rsid w:val="000C6C66"/>
    <w:rsid w:val="000C6C7D"/>
    <w:rsid w:val="000C6C90"/>
    <w:rsid w:val="000C6D75"/>
    <w:rsid w:val="000C6DB3"/>
    <w:rsid w:val="000C6E67"/>
    <w:rsid w:val="000C6EB0"/>
    <w:rsid w:val="000C7208"/>
    <w:rsid w:val="000C72E4"/>
    <w:rsid w:val="000C7405"/>
    <w:rsid w:val="000C7427"/>
    <w:rsid w:val="000C74A9"/>
    <w:rsid w:val="000C7502"/>
    <w:rsid w:val="000C753F"/>
    <w:rsid w:val="000C764E"/>
    <w:rsid w:val="000C7668"/>
    <w:rsid w:val="000C7694"/>
    <w:rsid w:val="000C7761"/>
    <w:rsid w:val="000C77CF"/>
    <w:rsid w:val="000C7814"/>
    <w:rsid w:val="000C7899"/>
    <w:rsid w:val="000C78BC"/>
    <w:rsid w:val="000C7D5D"/>
    <w:rsid w:val="000C7DED"/>
    <w:rsid w:val="000C7E5E"/>
    <w:rsid w:val="000C7E86"/>
    <w:rsid w:val="000C7FA7"/>
    <w:rsid w:val="000C7FB0"/>
    <w:rsid w:val="000C7FC5"/>
    <w:rsid w:val="000D011A"/>
    <w:rsid w:val="000D015F"/>
    <w:rsid w:val="000D02C0"/>
    <w:rsid w:val="000D02F9"/>
    <w:rsid w:val="000D0317"/>
    <w:rsid w:val="000D0342"/>
    <w:rsid w:val="000D041B"/>
    <w:rsid w:val="000D049C"/>
    <w:rsid w:val="000D04C7"/>
    <w:rsid w:val="000D0553"/>
    <w:rsid w:val="000D056B"/>
    <w:rsid w:val="000D0748"/>
    <w:rsid w:val="000D078F"/>
    <w:rsid w:val="000D07D6"/>
    <w:rsid w:val="000D07EB"/>
    <w:rsid w:val="000D08EE"/>
    <w:rsid w:val="000D092A"/>
    <w:rsid w:val="000D096A"/>
    <w:rsid w:val="000D0987"/>
    <w:rsid w:val="000D09A9"/>
    <w:rsid w:val="000D0A0B"/>
    <w:rsid w:val="000D0A85"/>
    <w:rsid w:val="000D0B51"/>
    <w:rsid w:val="000D0B87"/>
    <w:rsid w:val="000D0BD9"/>
    <w:rsid w:val="000D0C28"/>
    <w:rsid w:val="000D0E22"/>
    <w:rsid w:val="000D0EF5"/>
    <w:rsid w:val="000D0EFF"/>
    <w:rsid w:val="000D101C"/>
    <w:rsid w:val="000D1056"/>
    <w:rsid w:val="000D10AA"/>
    <w:rsid w:val="000D1132"/>
    <w:rsid w:val="000D11C9"/>
    <w:rsid w:val="000D11DF"/>
    <w:rsid w:val="000D122B"/>
    <w:rsid w:val="000D13D5"/>
    <w:rsid w:val="000D1405"/>
    <w:rsid w:val="000D1552"/>
    <w:rsid w:val="000D1609"/>
    <w:rsid w:val="000D1634"/>
    <w:rsid w:val="000D1890"/>
    <w:rsid w:val="000D1891"/>
    <w:rsid w:val="000D192F"/>
    <w:rsid w:val="000D1939"/>
    <w:rsid w:val="000D1970"/>
    <w:rsid w:val="000D1A23"/>
    <w:rsid w:val="000D1AB8"/>
    <w:rsid w:val="000D1AE1"/>
    <w:rsid w:val="000D1DB3"/>
    <w:rsid w:val="000D1E4D"/>
    <w:rsid w:val="000D1F2A"/>
    <w:rsid w:val="000D1F59"/>
    <w:rsid w:val="000D1F7C"/>
    <w:rsid w:val="000D202B"/>
    <w:rsid w:val="000D2047"/>
    <w:rsid w:val="000D213B"/>
    <w:rsid w:val="000D22BE"/>
    <w:rsid w:val="000D23C7"/>
    <w:rsid w:val="000D2431"/>
    <w:rsid w:val="000D2456"/>
    <w:rsid w:val="000D2489"/>
    <w:rsid w:val="000D24E4"/>
    <w:rsid w:val="000D24E6"/>
    <w:rsid w:val="000D24E9"/>
    <w:rsid w:val="000D260F"/>
    <w:rsid w:val="000D2639"/>
    <w:rsid w:val="000D2647"/>
    <w:rsid w:val="000D2749"/>
    <w:rsid w:val="000D27D4"/>
    <w:rsid w:val="000D28CF"/>
    <w:rsid w:val="000D2938"/>
    <w:rsid w:val="000D29B2"/>
    <w:rsid w:val="000D2BC1"/>
    <w:rsid w:val="000D2C97"/>
    <w:rsid w:val="000D2CDD"/>
    <w:rsid w:val="000D2CFA"/>
    <w:rsid w:val="000D2D2E"/>
    <w:rsid w:val="000D2D40"/>
    <w:rsid w:val="000D2D9C"/>
    <w:rsid w:val="000D2E1C"/>
    <w:rsid w:val="000D2E59"/>
    <w:rsid w:val="000D2E77"/>
    <w:rsid w:val="000D2F1C"/>
    <w:rsid w:val="000D2FE4"/>
    <w:rsid w:val="000D2FEF"/>
    <w:rsid w:val="000D301D"/>
    <w:rsid w:val="000D3065"/>
    <w:rsid w:val="000D307C"/>
    <w:rsid w:val="000D30A3"/>
    <w:rsid w:val="000D30BA"/>
    <w:rsid w:val="000D31A8"/>
    <w:rsid w:val="000D3309"/>
    <w:rsid w:val="000D333A"/>
    <w:rsid w:val="000D3353"/>
    <w:rsid w:val="000D33E5"/>
    <w:rsid w:val="000D3430"/>
    <w:rsid w:val="000D35C0"/>
    <w:rsid w:val="000D36EF"/>
    <w:rsid w:val="000D3735"/>
    <w:rsid w:val="000D383A"/>
    <w:rsid w:val="000D3864"/>
    <w:rsid w:val="000D38BB"/>
    <w:rsid w:val="000D3920"/>
    <w:rsid w:val="000D39A9"/>
    <w:rsid w:val="000D3A7D"/>
    <w:rsid w:val="000D3A9A"/>
    <w:rsid w:val="000D3B19"/>
    <w:rsid w:val="000D3B6F"/>
    <w:rsid w:val="000D3C1D"/>
    <w:rsid w:val="000D3D10"/>
    <w:rsid w:val="000D3DA1"/>
    <w:rsid w:val="000D3F4C"/>
    <w:rsid w:val="000D3FBE"/>
    <w:rsid w:val="000D4092"/>
    <w:rsid w:val="000D4200"/>
    <w:rsid w:val="000D452A"/>
    <w:rsid w:val="000D45D8"/>
    <w:rsid w:val="000D4799"/>
    <w:rsid w:val="000D47AD"/>
    <w:rsid w:val="000D47FB"/>
    <w:rsid w:val="000D4845"/>
    <w:rsid w:val="000D48AC"/>
    <w:rsid w:val="000D4947"/>
    <w:rsid w:val="000D496C"/>
    <w:rsid w:val="000D49A4"/>
    <w:rsid w:val="000D4BF3"/>
    <w:rsid w:val="000D4C4C"/>
    <w:rsid w:val="000D4D1E"/>
    <w:rsid w:val="000D4D30"/>
    <w:rsid w:val="000D4D44"/>
    <w:rsid w:val="000D4DA6"/>
    <w:rsid w:val="000D4E2F"/>
    <w:rsid w:val="000D4F8B"/>
    <w:rsid w:val="000D4FA3"/>
    <w:rsid w:val="000D4FFE"/>
    <w:rsid w:val="000D50B6"/>
    <w:rsid w:val="000D510D"/>
    <w:rsid w:val="000D5139"/>
    <w:rsid w:val="000D5187"/>
    <w:rsid w:val="000D51AC"/>
    <w:rsid w:val="000D51BC"/>
    <w:rsid w:val="000D51C6"/>
    <w:rsid w:val="000D51F2"/>
    <w:rsid w:val="000D5292"/>
    <w:rsid w:val="000D5343"/>
    <w:rsid w:val="000D5348"/>
    <w:rsid w:val="000D5364"/>
    <w:rsid w:val="000D544A"/>
    <w:rsid w:val="000D544C"/>
    <w:rsid w:val="000D547F"/>
    <w:rsid w:val="000D54F0"/>
    <w:rsid w:val="000D5611"/>
    <w:rsid w:val="000D56A5"/>
    <w:rsid w:val="000D56AD"/>
    <w:rsid w:val="000D56DD"/>
    <w:rsid w:val="000D5703"/>
    <w:rsid w:val="000D570C"/>
    <w:rsid w:val="000D572D"/>
    <w:rsid w:val="000D5811"/>
    <w:rsid w:val="000D58AE"/>
    <w:rsid w:val="000D58EB"/>
    <w:rsid w:val="000D593D"/>
    <w:rsid w:val="000D59C7"/>
    <w:rsid w:val="000D5BA2"/>
    <w:rsid w:val="000D5C3B"/>
    <w:rsid w:val="000D5CAC"/>
    <w:rsid w:val="000D5D33"/>
    <w:rsid w:val="000D5D7C"/>
    <w:rsid w:val="000D5E6C"/>
    <w:rsid w:val="000D5F31"/>
    <w:rsid w:val="000D6027"/>
    <w:rsid w:val="000D6112"/>
    <w:rsid w:val="000D615C"/>
    <w:rsid w:val="000D61E0"/>
    <w:rsid w:val="000D62A4"/>
    <w:rsid w:val="000D634E"/>
    <w:rsid w:val="000D63BF"/>
    <w:rsid w:val="000D6427"/>
    <w:rsid w:val="000D6455"/>
    <w:rsid w:val="000D64A6"/>
    <w:rsid w:val="000D666D"/>
    <w:rsid w:val="000D667A"/>
    <w:rsid w:val="000D66C2"/>
    <w:rsid w:val="000D6709"/>
    <w:rsid w:val="000D6837"/>
    <w:rsid w:val="000D68D5"/>
    <w:rsid w:val="000D69E1"/>
    <w:rsid w:val="000D6A4E"/>
    <w:rsid w:val="000D6A81"/>
    <w:rsid w:val="000D6A8C"/>
    <w:rsid w:val="000D6AC2"/>
    <w:rsid w:val="000D6B58"/>
    <w:rsid w:val="000D6BEB"/>
    <w:rsid w:val="000D6D7A"/>
    <w:rsid w:val="000D6E97"/>
    <w:rsid w:val="000D6EF8"/>
    <w:rsid w:val="000D6F24"/>
    <w:rsid w:val="000D70DB"/>
    <w:rsid w:val="000D7261"/>
    <w:rsid w:val="000D7314"/>
    <w:rsid w:val="000D741C"/>
    <w:rsid w:val="000D7447"/>
    <w:rsid w:val="000D74D8"/>
    <w:rsid w:val="000D762F"/>
    <w:rsid w:val="000D76A4"/>
    <w:rsid w:val="000D77DB"/>
    <w:rsid w:val="000D782F"/>
    <w:rsid w:val="000D7965"/>
    <w:rsid w:val="000D79CC"/>
    <w:rsid w:val="000D79E1"/>
    <w:rsid w:val="000D79EB"/>
    <w:rsid w:val="000D7ABA"/>
    <w:rsid w:val="000D7B3E"/>
    <w:rsid w:val="000D7BA3"/>
    <w:rsid w:val="000D7CF2"/>
    <w:rsid w:val="000D7D59"/>
    <w:rsid w:val="000D7E32"/>
    <w:rsid w:val="000D7E6D"/>
    <w:rsid w:val="000D7E82"/>
    <w:rsid w:val="000D7F45"/>
    <w:rsid w:val="000D7FE7"/>
    <w:rsid w:val="000E0028"/>
    <w:rsid w:val="000E0044"/>
    <w:rsid w:val="000E0135"/>
    <w:rsid w:val="000E023D"/>
    <w:rsid w:val="000E0266"/>
    <w:rsid w:val="000E0317"/>
    <w:rsid w:val="000E043E"/>
    <w:rsid w:val="000E0492"/>
    <w:rsid w:val="000E04F6"/>
    <w:rsid w:val="000E055D"/>
    <w:rsid w:val="000E0563"/>
    <w:rsid w:val="000E05FF"/>
    <w:rsid w:val="000E0683"/>
    <w:rsid w:val="000E06EA"/>
    <w:rsid w:val="000E0725"/>
    <w:rsid w:val="000E075C"/>
    <w:rsid w:val="000E0774"/>
    <w:rsid w:val="000E07B4"/>
    <w:rsid w:val="000E081B"/>
    <w:rsid w:val="000E0880"/>
    <w:rsid w:val="000E0974"/>
    <w:rsid w:val="000E0ACF"/>
    <w:rsid w:val="000E0B74"/>
    <w:rsid w:val="000E0BAB"/>
    <w:rsid w:val="000E0CF6"/>
    <w:rsid w:val="000E0E7B"/>
    <w:rsid w:val="000E0ED3"/>
    <w:rsid w:val="000E0F26"/>
    <w:rsid w:val="000E0F52"/>
    <w:rsid w:val="000E0FC3"/>
    <w:rsid w:val="000E105B"/>
    <w:rsid w:val="000E1114"/>
    <w:rsid w:val="000E1230"/>
    <w:rsid w:val="000E134C"/>
    <w:rsid w:val="000E156E"/>
    <w:rsid w:val="000E172C"/>
    <w:rsid w:val="000E1814"/>
    <w:rsid w:val="000E182E"/>
    <w:rsid w:val="000E18DF"/>
    <w:rsid w:val="000E1927"/>
    <w:rsid w:val="000E192B"/>
    <w:rsid w:val="000E1949"/>
    <w:rsid w:val="000E1A2B"/>
    <w:rsid w:val="000E1C36"/>
    <w:rsid w:val="000E1D49"/>
    <w:rsid w:val="000E1D78"/>
    <w:rsid w:val="000E1DED"/>
    <w:rsid w:val="000E1F18"/>
    <w:rsid w:val="000E1FA1"/>
    <w:rsid w:val="000E1FAC"/>
    <w:rsid w:val="000E1FEF"/>
    <w:rsid w:val="000E2037"/>
    <w:rsid w:val="000E2193"/>
    <w:rsid w:val="000E21EA"/>
    <w:rsid w:val="000E2214"/>
    <w:rsid w:val="000E2245"/>
    <w:rsid w:val="000E227F"/>
    <w:rsid w:val="000E23ED"/>
    <w:rsid w:val="000E2417"/>
    <w:rsid w:val="000E2470"/>
    <w:rsid w:val="000E24A0"/>
    <w:rsid w:val="000E24DA"/>
    <w:rsid w:val="000E24E4"/>
    <w:rsid w:val="000E2513"/>
    <w:rsid w:val="000E25DF"/>
    <w:rsid w:val="000E2674"/>
    <w:rsid w:val="000E2695"/>
    <w:rsid w:val="000E2717"/>
    <w:rsid w:val="000E275E"/>
    <w:rsid w:val="000E2822"/>
    <w:rsid w:val="000E2832"/>
    <w:rsid w:val="000E28EE"/>
    <w:rsid w:val="000E29A2"/>
    <w:rsid w:val="000E29FF"/>
    <w:rsid w:val="000E2A56"/>
    <w:rsid w:val="000E2AC7"/>
    <w:rsid w:val="000E2B16"/>
    <w:rsid w:val="000E2BE5"/>
    <w:rsid w:val="000E2C17"/>
    <w:rsid w:val="000E2C68"/>
    <w:rsid w:val="000E2CDF"/>
    <w:rsid w:val="000E2D05"/>
    <w:rsid w:val="000E2D06"/>
    <w:rsid w:val="000E2D14"/>
    <w:rsid w:val="000E2DDE"/>
    <w:rsid w:val="000E2E9A"/>
    <w:rsid w:val="000E3014"/>
    <w:rsid w:val="000E3042"/>
    <w:rsid w:val="000E3085"/>
    <w:rsid w:val="000E31D5"/>
    <w:rsid w:val="000E322D"/>
    <w:rsid w:val="000E3240"/>
    <w:rsid w:val="000E3261"/>
    <w:rsid w:val="000E3281"/>
    <w:rsid w:val="000E32BA"/>
    <w:rsid w:val="000E3382"/>
    <w:rsid w:val="000E33E4"/>
    <w:rsid w:val="000E3442"/>
    <w:rsid w:val="000E34C9"/>
    <w:rsid w:val="000E35AF"/>
    <w:rsid w:val="000E37B8"/>
    <w:rsid w:val="000E38D0"/>
    <w:rsid w:val="000E38F9"/>
    <w:rsid w:val="000E39B1"/>
    <w:rsid w:val="000E3B7C"/>
    <w:rsid w:val="000E3BFB"/>
    <w:rsid w:val="000E3C4E"/>
    <w:rsid w:val="000E3D58"/>
    <w:rsid w:val="000E3DBB"/>
    <w:rsid w:val="000E3ED7"/>
    <w:rsid w:val="000E3F89"/>
    <w:rsid w:val="000E40ED"/>
    <w:rsid w:val="000E41BE"/>
    <w:rsid w:val="000E41C9"/>
    <w:rsid w:val="000E442D"/>
    <w:rsid w:val="000E442F"/>
    <w:rsid w:val="000E44CE"/>
    <w:rsid w:val="000E45BE"/>
    <w:rsid w:val="000E4660"/>
    <w:rsid w:val="000E4745"/>
    <w:rsid w:val="000E4758"/>
    <w:rsid w:val="000E47B5"/>
    <w:rsid w:val="000E47F6"/>
    <w:rsid w:val="000E483B"/>
    <w:rsid w:val="000E491E"/>
    <w:rsid w:val="000E49A2"/>
    <w:rsid w:val="000E4A82"/>
    <w:rsid w:val="000E4A9D"/>
    <w:rsid w:val="000E4AB7"/>
    <w:rsid w:val="000E4AD3"/>
    <w:rsid w:val="000E4B6D"/>
    <w:rsid w:val="000E4C02"/>
    <w:rsid w:val="000E4C1F"/>
    <w:rsid w:val="000E4D7B"/>
    <w:rsid w:val="000E4E8D"/>
    <w:rsid w:val="000E4E97"/>
    <w:rsid w:val="000E4F33"/>
    <w:rsid w:val="000E508F"/>
    <w:rsid w:val="000E50CE"/>
    <w:rsid w:val="000E5161"/>
    <w:rsid w:val="000E5346"/>
    <w:rsid w:val="000E5354"/>
    <w:rsid w:val="000E53E5"/>
    <w:rsid w:val="000E5431"/>
    <w:rsid w:val="000E577A"/>
    <w:rsid w:val="000E58EF"/>
    <w:rsid w:val="000E5A31"/>
    <w:rsid w:val="000E5A64"/>
    <w:rsid w:val="000E5A7B"/>
    <w:rsid w:val="000E5AE0"/>
    <w:rsid w:val="000E5AF1"/>
    <w:rsid w:val="000E5BCE"/>
    <w:rsid w:val="000E5D44"/>
    <w:rsid w:val="000E5DE4"/>
    <w:rsid w:val="000E5E4E"/>
    <w:rsid w:val="000E5F14"/>
    <w:rsid w:val="000E5FCF"/>
    <w:rsid w:val="000E6068"/>
    <w:rsid w:val="000E614B"/>
    <w:rsid w:val="000E61C0"/>
    <w:rsid w:val="000E6248"/>
    <w:rsid w:val="000E62BF"/>
    <w:rsid w:val="000E6336"/>
    <w:rsid w:val="000E6352"/>
    <w:rsid w:val="000E649C"/>
    <w:rsid w:val="000E6529"/>
    <w:rsid w:val="000E6577"/>
    <w:rsid w:val="000E6669"/>
    <w:rsid w:val="000E6676"/>
    <w:rsid w:val="000E667C"/>
    <w:rsid w:val="000E66F0"/>
    <w:rsid w:val="000E671C"/>
    <w:rsid w:val="000E6739"/>
    <w:rsid w:val="000E6766"/>
    <w:rsid w:val="000E68D1"/>
    <w:rsid w:val="000E6C36"/>
    <w:rsid w:val="000E6C96"/>
    <w:rsid w:val="000E6CE1"/>
    <w:rsid w:val="000E6D06"/>
    <w:rsid w:val="000E6D2C"/>
    <w:rsid w:val="000E6D63"/>
    <w:rsid w:val="000E6DF5"/>
    <w:rsid w:val="000E6E26"/>
    <w:rsid w:val="000E6E2A"/>
    <w:rsid w:val="000E6E83"/>
    <w:rsid w:val="000E6EB2"/>
    <w:rsid w:val="000E6F2F"/>
    <w:rsid w:val="000E70F2"/>
    <w:rsid w:val="000E7156"/>
    <w:rsid w:val="000E71E2"/>
    <w:rsid w:val="000E71F3"/>
    <w:rsid w:val="000E7249"/>
    <w:rsid w:val="000E728D"/>
    <w:rsid w:val="000E74A1"/>
    <w:rsid w:val="000E74F3"/>
    <w:rsid w:val="000E753E"/>
    <w:rsid w:val="000E75DA"/>
    <w:rsid w:val="000E7616"/>
    <w:rsid w:val="000E7726"/>
    <w:rsid w:val="000E7745"/>
    <w:rsid w:val="000E7759"/>
    <w:rsid w:val="000E77FA"/>
    <w:rsid w:val="000E7821"/>
    <w:rsid w:val="000E78C3"/>
    <w:rsid w:val="000E78D6"/>
    <w:rsid w:val="000E7901"/>
    <w:rsid w:val="000E7936"/>
    <w:rsid w:val="000E79B8"/>
    <w:rsid w:val="000E79F6"/>
    <w:rsid w:val="000E7A6F"/>
    <w:rsid w:val="000E7A87"/>
    <w:rsid w:val="000E7AFA"/>
    <w:rsid w:val="000E7B08"/>
    <w:rsid w:val="000E7C3B"/>
    <w:rsid w:val="000E7CA4"/>
    <w:rsid w:val="000E7D6B"/>
    <w:rsid w:val="000E7D6C"/>
    <w:rsid w:val="000E7EE6"/>
    <w:rsid w:val="000E7EF3"/>
    <w:rsid w:val="000F00D9"/>
    <w:rsid w:val="000F0104"/>
    <w:rsid w:val="000F014C"/>
    <w:rsid w:val="000F0193"/>
    <w:rsid w:val="000F01B5"/>
    <w:rsid w:val="000F0351"/>
    <w:rsid w:val="000F0407"/>
    <w:rsid w:val="000F0425"/>
    <w:rsid w:val="000F06A6"/>
    <w:rsid w:val="000F0775"/>
    <w:rsid w:val="000F07D9"/>
    <w:rsid w:val="000F0804"/>
    <w:rsid w:val="000F0855"/>
    <w:rsid w:val="000F0890"/>
    <w:rsid w:val="000F0993"/>
    <w:rsid w:val="000F0A10"/>
    <w:rsid w:val="000F0AFA"/>
    <w:rsid w:val="000F0B0C"/>
    <w:rsid w:val="000F0B30"/>
    <w:rsid w:val="000F0B5E"/>
    <w:rsid w:val="000F0BFB"/>
    <w:rsid w:val="000F0BFD"/>
    <w:rsid w:val="000F0C7C"/>
    <w:rsid w:val="000F0CDE"/>
    <w:rsid w:val="000F0D20"/>
    <w:rsid w:val="000F0E0C"/>
    <w:rsid w:val="000F0E7B"/>
    <w:rsid w:val="000F0F04"/>
    <w:rsid w:val="000F0F16"/>
    <w:rsid w:val="000F0F67"/>
    <w:rsid w:val="000F1021"/>
    <w:rsid w:val="000F10F5"/>
    <w:rsid w:val="000F11B8"/>
    <w:rsid w:val="000F128B"/>
    <w:rsid w:val="000F12C2"/>
    <w:rsid w:val="000F1343"/>
    <w:rsid w:val="000F1387"/>
    <w:rsid w:val="000F13B5"/>
    <w:rsid w:val="000F13F9"/>
    <w:rsid w:val="000F1491"/>
    <w:rsid w:val="000F1653"/>
    <w:rsid w:val="000F179A"/>
    <w:rsid w:val="000F17A7"/>
    <w:rsid w:val="000F17C1"/>
    <w:rsid w:val="000F190C"/>
    <w:rsid w:val="000F192B"/>
    <w:rsid w:val="000F196E"/>
    <w:rsid w:val="000F196F"/>
    <w:rsid w:val="000F19A5"/>
    <w:rsid w:val="000F1B18"/>
    <w:rsid w:val="000F1B45"/>
    <w:rsid w:val="000F1BCC"/>
    <w:rsid w:val="000F1BE6"/>
    <w:rsid w:val="000F1D58"/>
    <w:rsid w:val="000F1D71"/>
    <w:rsid w:val="000F20C4"/>
    <w:rsid w:val="000F214E"/>
    <w:rsid w:val="000F2208"/>
    <w:rsid w:val="000F2258"/>
    <w:rsid w:val="000F225B"/>
    <w:rsid w:val="000F22A2"/>
    <w:rsid w:val="000F22AC"/>
    <w:rsid w:val="000F2318"/>
    <w:rsid w:val="000F2371"/>
    <w:rsid w:val="000F26B4"/>
    <w:rsid w:val="000F2730"/>
    <w:rsid w:val="000F27D3"/>
    <w:rsid w:val="000F27D9"/>
    <w:rsid w:val="000F2810"/>
    <w:rsid w:val="000F2982"/>
    <w:rsid w:val="000F2A73"/>
    <w:rsid w:val="000F2AC8"/>
    <w:rsid w:val="000F2AFE"/>
    <w:rsid w:val="000F2B6D"/>
    <w:rsid w:val="000F2CBB"/>
    <w:rsid w:val="000F2CCD"/>
    <w:rsid w:val="000F2D82"/>
    <w:rsid w:val="000F2E2F"/>
    <w:rsid w:val="000F2E4A"/>
    <w:rsid w:val="000F2F3B"/>
    <w:rsid w:val="000F3080"/>
    <w:rsid w:val="000F3111"/>
    <w:rsid w:val="000F3208"/>
    <w:rsid w:val="000F322A"/>
    <w:rsid w:val="000F32F5"/>
    <w:rsid w:val="000F3336"/>
    <w:rsid w:val="000F3343"/>
    <w:rsid w:val="000F33EB"/>
    <w:rsid w:val="000F3452"/>
    <w:rsid w:val="000F3461"/>
    <w:rsid w:val="000F34B0"/>
    <w:rsid w:val="000F34D2"/>
    <w:rsid w:val="000F34ED"/>
    <w:rsid w:val="000F3567"/>
    <w:rsid w:val="000F35D0"/>
    <w:rsid w:val="000F360D"/>
    <w:rsid w:val="000F368D"/>
    <w:rsid w:val="000F36B4"/>
    <w:rsid w:val="000F36FC"/>
    <w:rsid w:val="000F377B"/>
    <w:rsid w:val="000F3784"/>
    <w:rsid w:val="000F3835"/>
    <w:rsid w:val="000F3925"/>
    <w:rsid w:val="000F39B7"/>
    <w:rsid w:val="000F3AA0"/>
    <w:rsid w:val="000F3D00"/>
    <w:rsid w:val="000F3D52"/>
    <w:rsid w:val="000F3DD5"/>
    <w:rsid w:val="000F3E6C"/>
    <w:rsid w:val="000F3E8D"/>
    <w:rsid w:val="000F3F21"/>
    <w:rsid w:val="000F3FB4"/>
    <w:rsid w:val="000F3FDC"/>
    <w:rsid w:val="000F3FFD"/>
    <w:rsid w:val="000F400A"/>
    <w:rsid w:val="000F4138"/>
    <w:rsid w:val="000F4146"/>
    <w:rsid w:val="000F41CD"/>
    <w:rsid w:val="000F4209"/>
    <w:rsid w:val="000F43C0"/>
    <w:rsid w:val="000F444E"/>
    <w:rsid w:val="000F444F"/>
    <w:rsid w:val="000F4520"/>
    <w:rsid w:val="000F456F"/>
    <w:rsid w:val="000F4576"/>
    <w:rsid w:val="000F45D2"/>
    <w:rsid w:val="000F4614"/>
    <w:rsid w:val="000F4624"/>
    <w:rsid w:val="000F4694"/>
    <w:rsid w:val="000F4712"/>
    <w:rsid w:val="000F47B7"/>
    <w:rsid w:val="000F4893"/>
    <w:rsid w:val="000F48CD"/>
    <w:rsid w:val="000F496B"/>
    <w:rsid w:val="000F49E3"/>
    <w:rsid w:val="000F4A79"/>
    <w:rsid w:val="000F4AA4"/>
    <w:rsid w:val="000F4AB3"/>
    <w:rsid w:val="000F4B1B"/>
    <w:rsid w:val="000F4BD5"/>
    <w:rsid w:val="000F4BEC"/>
    <w:rsid w:val="000F4C23"/>
    <w:rsid w:val="000F4C43"/>
    <w:rsid w:val="000F4CC0"/>
    <w:rsid w:val="000F4E20"/>
    <w:rsid w:val="000F4E48"/>
    <w:rsid w:val="000F4E55"/>
    <w:rsid w:val="000F4F18"/>
    <w:rsid w:val="000F4F6D"/>
    <w:rsid w:val="000F5161"/>
    <w:rsid w:val="000F538D"/>
    <w:rsid w:val="000F53FF"/>
    <w:rsid w:val="000F540D"/>
    <w:rsid w:val="000F5438"/>
    <w:rsid w:val="000F543D"/>
    <w:rsid w:val="000F5493"/>
    <w:rsid w:val="000F556F"/>
    <w:rsid w:val="000F564F"/>
    <w:rsid w:val="000F56F4"/>
    <w:rsid w:val="000F5917"/>
    <w:rsid w:val="000F59F1"/>
    <w:rsid w:val="000F5AAD"/>
    <w:rsid w:val="000F5AF7"/>
    <w:rsid w:val="000F5B01"/>
    <w:rsid w:val="000F5C44"/>
    <w:rsid w:val="000F5CAD"/>
    <w:rsid w:val="000F5CDE"/>
    <w:rsid w:val="000F5D35"/>
    <w:rsid w:val="000F5DA3"/>
    <w:rsid w:val="000F5E84"/>
    <w:rsid w:val="000F5F46"/>
    <w:rsid w:val="000F6134"/>
    <w:rsid w:val="000F6190"/>
    <w:rsid w:val="000F6233"/>
    <w:rsid w:val="000F6245"/>
    <w:rsid w:val="000F6249"/>
    <w:rsid w:val="000F64DA"/>
    <w:rsid w:val="000F651A"/>
    <w:rsid w:val="000F6570"/>
    <w:rsid w:val="000F6593"/>
    <w:rsid w:val="000F6660"/>
    <w:rsid w:val="000F66D4"/>
    <w:rsid w:val="000F6817"/>
    <w:rsid w:val="000F688F"/>
    <w:rsid w:val="000F69CA"/>
    <w:rsid w:val="000F6AE7"/>
    <w:rsid w:val="000F6B12"/>
    <w:rsid w:val="000F6B6B"/>
    <w:rsid w:val="000F6B91"/>
    <w:rsid w:val="000F6B96"/>
    <w:rsid w:val="000F6BA6"/>
    <w:rsid w:val="000F6C1C"/>
    <w:rsid w:val="000F6C42"/>
    <w:rsid w:val="000F6CF7"/>
    <w:rsid w:val="000F6D10"/>
    <w:rsid w:val="000F6D64"/>
    <w:rsid w:val="000F6DEF"/>
    <w:rsid w:val="000F6E0D"/>
    <w:rsid w:val="000F6E1E"/>
    <w:rsid w:val="000F6FB9"/>
    <w:rsid w:val="000F700D"/>
    <w:rsid w:val="000F702E"/>
    <w:rsid w:val="000F7104"/>
    <w:rsid w:val="000F7125"/>
    <w:rsid w:val="000F72BC"/>
    <w:rsid w:val="000F72C7"/>
    <w:rsid w:val="000F731C"/>
    <w:rsid w:val="000F744D"/>
    <w:rsid w:val="000F7496"/>
    <w:rsid w:val="000F74AB"/>
    <w:rsid w:val="000F74D0"/>
    <w:rsid w:val="000F7564"/>
    <w:rsid w:val="000F7584"/>
    <w:rsid w:val="000F75D7"/>
    <w:rsid w:val="000F7677"/>
    <w:rsid w:val="000F7706"/>
    <w:rsid w:val="000F775C"/>
    <w:rsid w:val="000F7A21"/>
    <w:rsid w:val="000F7C07"/>
    <w:rsid w:val="000F7C9C"/>
    <w:rsid w:val="000F7D11"/>
    <w:rsid w:val="000F7D67"/>
    <w:rsid w:val="000F7D8E"/>
    <w:rsid w:val="000F7DB3"/>
    <w:rsid w:val="000F7E50"/>
    <w:rsid w:val="000F7F21"/>
    <w:rsid w:val="000F7F69"/>
    <w:rsid w:val="000F7FA5"/>
    <w:rsid w:val="00100006"/>
    <w:rsid w:val="0010003E"/>
    <w:rsid w:val="0010009C"/>
    <w:rsid w:val="00100102"/>
    <w:rsid w:val="00100122"/>
    <w:rsid w:val="00100141"/>
    <w:rsid w:val="001001BD"/>
    <w:rsid w:val="001001F4"/>
    <w:rsid w:val="0010028A"/>
    <w:rsid w:val="00100350"/>
    <w:rsid w:val="001004AB"/>
    <w:rsid w:val="001005C7"/>
    <w:rsid w:val="00100727"/>
    <w:rsid w:val="0010072D"/>
    <w:rsid w:val="00100826"/>
    <w:rsid w:val="0010084C"/>
    <w:rsid w:val="0010090A"/>
    <w:rsid w:val="00100950"/>
    <w:rsid w:val="00100972"/>
    <w:rsid w:val="00100A07"/>
    <w:rsid w:val="00100A15"/>
    <w:rsid w:val="00100A23"/>
    <w:rsid w:val="00100B98"/>
    <w:rsid w:val="00100C09"/>
    <w:rsid w:val="00100C39"/>
    <w:rsid w:val="00100C9A"/>
    <w:rsid w:val="00100CCD"/>
    <w:rsid w:val="00100CDD"/>
    <w:rsid w:val="00100D66"/>
    <w:rsid w:val="00100DF5"/>
    <w:rsid w:val="00100F47"/>
    <w:rsid w:val="00100F98"/>
    <w:rsid w:val="00101019"/>
    <w:rsid w:val="0010102F"/>
    <w:rsid w:val="001010C4"/>
    <w:rsid w:val="001010D5"/>
    <w:rsid w:val="001011AF"/>
    <w:rsid w:val="00101302"/>
    <w:rsid w:val="00101358"/>
    <w:rsid w:val="0010141D"/>
    <w:rsid w:val="0010147A"/>
    <w:rsid w:val="0010161D"/>
    <w:rsid w:val="00101648"/>
    <w:rsid w:val="0010178F"/>
    <w:rsid w:val="001017BC"/>
    <w:rsid w:val="0010181F"/>
    <w:rsid w:val="001019EA"/>
    <w:rsid w:val="00101AC0"/>
    <w:rsid w:val="00101B49"/>
    <w:rsid w:val="00101E03"/>
    <w:rsid w:val="00101F12"/>
    <w:rsid w:val="00101F4B"/>
    <w:rsid w:val="00101F77"/>
    <w:rsid w:val="00101FA5"/>
    <w:rsid w:val="0010201F"/>
    <w:rsid w:val="0010216A"/>
    <w:rsid w:val="0010216C"/>
    <w:rsid w:val="0010229F"/>
    <w:rsid w:val="0010230F"/>
    <w:rsid w:val="0010235C"/>
    <w:rsid w:val="001023DD"/>
    <w:rsid w:val="0010240C"/>
    <w:rsid w:val="0010250B"/>
    <w:rsid w:val="0010252E"/>
    <w:rsid w:val="00102597"/>
    <w:rsid w:val="001025A9"/>
    <w:rsid w:val="001025AB"/>
    <w:rsid w:val="0010269A"/>
    <w:rsid w:val="0010269E"/>
    <w:rsid w:val="001026AC"/>
    <w:rsid w:val="001026EB"/>
    <w:rsid w:val="00102814"/>
    <w:rsid w:val="0010281F"/>
    <w:rsid w:val="00102A1D"/>
    <w:rsid w:val="00102AC2"/>
    <w:rsid w:val="00102B3A"/>
    <w:rsid w:val="00102D04"/>
    <w:rsid w:val="00102E33"/>
    <w:rsid w:val="00102EA1"/>
    <w:rsid w:val="00102F2E"/>
    <w:rsid w:val="00102F60"/>
    <w:rsid w:val="00102FC7"/>
    <w:rsid w:val="00103008"/>
    <w:rsid w:val="00103023"/>
    <w:rsid w:val="00103112"/>
    <w:rsid w:val="0010315E"/>
    <w:rsid w:val="0010322B"/>
    <w:rsid w:val="00103281"/>
    <w:rsid w:val="00103419"/>
    <w:rsid w:val="001034A8"/>
    <w:rsid w:val="001034E8"/>
    <w:rsid w:val="0010386E"/>
    <w:rsid w:val="0010399F"/>
    <w:rsid w:val="00103A37"/>
    <w:rsid w:val="00103B13"/>
    <w:rsid w:val="00103B28"/>
    <w:rsid w:val="00103C54"/>
    <w:rsid w:val="00103CCF"/>
    <w:rsid w:val="00103D69"/>
    <w:rsid w:val="00103E51"/>
    <w:rsid w:val="00103E92"/>
    <w:rsid w:val="00103ECA"/>
    <w:rsid w:val="00103F3B"/>
    <w:rsid w:val="00103F3C"/>
    <w:rsid w:val="00103FE1"/>
    <w:rsid w:val="00104025"/>
    <w:rsid w:val="00104029"/>
    <w:rsid w:val="001040F3"/>
    <w:rsid w:val="00104196"/>
    <w:rsid w:val="001041A6"/>
    <w:rsid w:val="001041AF"/>
    <w:rsid w:val="001041D9"/>
    <w:rsid w:val="0010429D"/>
    <w:rsid w:val="0010431B"/>
    <w:rsid w:val="00104328"/>
    <w:rsid w:val="00104357"/>
    <w:rsid w:val="00104411"/>
    <w:rsid w:val="00104450"/>
    <w:rsid w:val="001045F4"/>
    <w:rsid w:val="00104622"/>
    <w:rsid w:val="00104634"/>
    <w:rsid w:val="0010471C"/>
    <w:rsid w:val="00104798"/>
    <w:rsid w:val="001047A5"/>
    <w:rsid w:val="001047AC"/>
    <w:rsid w:val="00104890"/>
    <w:rsid w:val="0010495A"/>
    <w:rsid w:val="00104960"/>
    <w:rsid w:val="001049C1"/>
    <w:rsid w:val="00104A43"/>
    <w:rsid w:val="00104A96"/>
    <w:rsid w:val="00104AD9"/>
    <w:rsid w:val="00104B1D"/>
    <w:rsid w:val="00104B65"/>
    <w:rsid w:val="00104B97"/>
    <w:rsid w:val="00104BC0"/>
    <w:rsid w:val="00104BFA"/>
    <w:rsid w:val="00104C3B"/>
    <w:rsid w:val="00104D87"/>
    <w:rsid w:val="00104DD9"/>
    <w:rsid w:val="00104E4C"/>
    <w:rsid w:val="00104E72"/>
    <w:rsid w:val="00104E95"/>
    <w:rsid w:val="00104EAE"/>
    <w:rsid w:val="00104FFF"/>
    <w:rsid w:val="001050D9"/>
    <w:rsid w:val="0010511E"/>
    <w:rsid w:val="001051FC"/>
    <w:rsid w:val="00105204"/>
    <w:rsid w:val="001052F7"/>
    <w:rsid w:val="00105306"/>
    <w:rsid w:val="001053F1"/>
    <w:rsid w:val="00105471"/>
    <w:rsid w:val="001054DE"/>
    <w:rsid w:val="00105542"/>
    <w:rsid w:val="0010563E"/>
    <w:rsid w:val="00105663"/>
    <w:rsid w:val="0010569F"/>
    <w:rsid w:val="001056D9"/>
    <w:rsid w:val="001056E1"/>
    <w:rsid w:val="0010571F"/>
    <w:rsid w:val="001057ED"/>
    <w:rsid w:val="001057FB"/>
    <w:rsid w:val="001057FC"/>
    <w:rsid w:val="0010583E"/>
    <w:rsid w:val="0010594C"/>
    <w:rsid w:val="00105962"/>
    <w:rsid w:val="00105A0B"/>
    <w:rsid w:val="00105A76"/>
    <w:rsid w:val="00105BFE"/>
    <w:rsid w:val="00105CDA"/>
    <w:rsid w:val="00105D3C"/>
    <w:rsid w:val="00105F19"/>
    <w:rsid w:val="00105F6C"/>
    <w:rsid w:val="00106082"/>
    <w:rsid w:val="0010609D"/>
    <w:rsid w:val="001061D9"/>
    <w:rsid w:val="0010627C"/>
    <w:rsid w:val="001062EA"/>
    <w:rsid w:val="00106330"/>
    <w:rsid w:val="00106351"/>
    <w:rsid w:val="0010638D"/>
    <w:rsid w:val="001063AF"/>
    <w:rsid w:val="00106444"/>
    <w:rsid w:val="00106550"/>
    <w:rsid w:val="0010657C"/>
    <w:rsid w:val="00106703"/>
    <w:rsid w:val="0010670A"/>
    <w:rsid w:val="00106753"/>
    <w:rsid w:val="00106755"/>
    <w:rsid w:val="0010676C"/>
    <w:rsid w:val="0010679C"/>
    <w:rsid w:val="001068AD"/>
    <w:rsid w:val="001068DF"/>
    <w:rsid w:val="00106912"/>
    <w:rsid w:val="00106930"/>
    <w:rsid w:val="001069FF"/>
    <w:rsid w:val="00106A10"/>
    <w:rsid w:val="00106AC6"/>
    <w:rsid w:val="00106B5A"/>
    <w:rsid w:val="00106BFC"/>
    <w:rsid w:val="00106D82"/>
    <w:rsid w:val="00106DCC"/>
    <w:rsid w:val="00106E4F"/>
    <w:rsid w:val="00106E7F"/>
    <w:rsid w:val="00106ECE"/>
    <w:rsid w:val="00106F26"/>
    <w:rsid w:val="00106F4D"/>
    <w:rsid w:val="00106F4E"/>
    <w:rsid w:val="00106F7C"/>
    <w:rsid w:val="00106FA0"/>
    <w:rsid w:val="00106FED"/>
    <w:rsid w:val="00107046"/>
    <w:rsid w:val="001070EA"/>
    <w:rsid w:val="0010712B"/>
    <w:rsid w:val="00107151"/>
    <w:rsid w:val="001071BB"/>
    <w:rsid w:val="001071C7"/>
    <w:rsid w:val="00107271"/>
    <w:rsid w:val="0010732E"/>
    <w:rsid w:val="00107347"/>
    <w:rsid w:val="00107356"/>
    <w:rsid w:val="00107380"/>
    <w:rsid w:val="00107506"/>
    <w:rsid w:val="0010761B"/>
    <w:rsid w:val="001078C1"/>
    <w:rsid w:val="00107914"/>
    <w:rsid w:val="00107A29"/>
    <w:rsid w:val="00107B61"/>
    <w:rsid w:val="00107B67"/>
    <w:rsid w:val="00107C64"/>
    <w:rsid w:val="00107D94"/>
    <w:rsid w:val="00107DE4"/>
    <w:rsid w:val="00110139"/>
    <w:rsid w:val="001101A8"/>
    <w:rsid w:val="001101EF"/>
    <w:rsid w:val="0011024A"/>
    <w:rsid w:val="00110308"/>
    <w:rsid w:val="0011033B"/>
    <w:rsid w:val="00110347"/>
    <w:rsid w:val="001103E6"/>
    <w:rsid w:val="00110545"/>
    <w:rsid w:val="0011086A"/>
    <w:rsid w:val="001108BA"/>
    <w:rsid w:val="001109A4"/>
    <w:rsid w:val="001109CE"/>
    <w:rsid w:val="00110AB1"/>
    <w:rsid w:val="00110C1F"/>
    <w:rsid w:val="00110CD1"/>
    <w:rsid w:val="00110CD9"/>
    <w:rsid w:val="00110D35"/>
    <w:rsid w:val="00110DE8"/>
    <w:rsid w:val="00110E84"/>
    <w:rsid w:val="00110ECD"/>
    <w:rsid w:val="0011107A"/>
    <w:rsid w:val="0011124D"/>
    <w:rsid w:val="0011129C"/>
    <w:rsid w:val="001112A7"/>
    <w:rsid w:val="00111417"/>
    <w:rsid w:val="001114FB"/>
    <w:rsid w:val="0011156E"/>
    <w:rsid w:val="001115B1"/>
    <w:rsid w:val="001115DF"/>
    <w:rsid w:val="00111689"/>
    <w:rsid w:val="00111715"/>
    <w:rsid w:val="00111800"/>
    <w:rsid w:val="001118B8"/>
    <w:rsid w:val="001118CB"/>
    <w:rsid w:val="001118E7"/>
    <w:rsid w:val="0011191F"/>
    <w:rsid w:val="00111921"/>
    <w:rsid w:val="00111993"/>
    <w:rsid w:val="001119C9"/>
    <w:rsid w:val="00111B09"/>
    <w:rsid w:val="00111B16"/>
    <w:rsid w:val="00111B4B"/>
    <w:rsid w:val="00111B4D"/>
    <w:rsid w:val="00111B6E"/>
    <w:rsid w:val="00111BAD"/>
    <w:rsid w:val="00111C56"/>
    <w:rsid w:val="00111C68"/>
    <w:rsid w:val="00111C74"/>
    <w:rsid w:val="00111CBD"/>
    <w:rsid w:val="00111D83"/>
    <w:rsid w:val="00111E7F"/>
    <w:rsid w:val="00111FD3"/>
    <w:rsid w:val="00112077"/>
    <w:rsid w:val="0011221C"/>
    <w:rsid w:val="0011230F"/>
    <w:rsid w:val="00112399"/>
    <w:rsid w:val="001124CE"/>
    <w:rsid w:val="001124F5"/>
    <w:rsid w:val="00112542"/>
    <w:rsid w:val="0011254E"/>
    <w:rsid w:val="0011256E"/>
    <w:rsid w:val="001125AC"/>
    <w:rsid w:val="00112637"/>
    <w:rsid w:val="0011267F"/>
    <w:rsid w:val="001126ED"/>
    <w:rsid w:val="0011273D"/>
    <w:rsid w:val="0011281B"/>
    <w:rsid w:val="00112870"/>
    <w:rsid w:val="0011289E"/>
    <w:rsid w:val="00112A44"/>
    <w:rsid w:val="00112A4B"/>
    <w:rsid w:val="00112AF2"/>
    <w:rsid w:val="00112BC4"/>
    <w:rsid w:val="00112BF2"/>
    <w:rsid w:val="00112C41"/>
    <w:rsid w:val="00112DF1"/>
    <w:rsid w:val="00112E9B"/>
    <w:rsid w:val="00112FF0"/>
    <w:rsid w:val="00113075"/>
    <w:rsid w:val="00113098"/>
    <w:rsid w:val="001130A5"/>
    <w:rsid w:val="0011312B"/>
    <w:rsid w:val="001131ED"/>
    <w:rsid w:val="0011327D"/>
    <w:rsid w:val="00113333"/>
    <w:rsid w:val="001133A1"/>
    <w:rsid w:val="001133A3"/>
    <w:rsid w:val="001135D3"/>
    <w:rsid w:val="001135FC"/>
    <w:rsid w:val="00113615"/>
    <w:rsid w:val="00113680"/>
    <w:rsid w:val="001137AD"/>
    <w:rsid w:val="001137B6"/>
    <w:rsid w:val="0011380A"/>
    <w:rsid w:val="00113826"/>
    <w:rsid w:val="001138A2"/>
    <w:rsid w:val="0011399B"/>
    <w:rsid w:val="001139B5"/>
    <w:rsid w:val="00113A28"/>
    <w:rsid w:val="00113AD4"/>
    <w:rsid w:val="00113B01"/>
    <w:rsid w:val="00113B05"/>
    <w:rsid w:val="00113B7D"/>
    <w:rsid w:val="00113C3B"/>
    <w:rsid w:val="00113C95"/>
    <w:rsid w:val="00113CCD"/>
    <w:rsid w:val="00113D53"/>
    <w:rsid w:val="00113ED4"/>
    <w:rsid w:val="00113FCA"/>
    <w:rsid w:val="00114088"/>
    <w:rsid w:val="001140DA"/>
    <w:rsid w:val="00114166"/>
    <w:rsid w:val="0011419A"/>
    <w:rsid w:val="0011421B"/>
    <w:rsid w:val="0011426C"/>
    <w:rsid w:val="0011429A"/>
    <w:rsid w:val="001142F9"/>
    <w:rsid w:val="00114373"/>
    <w:rsid w:val="00114531"/>
    <w:rsid w:val="00114582"/>
    <w:rsid w:val="001146B3"/>
    <w:rsid w:val="001146FE"/>
    <w:rsid w:val="0011476F"/>
    <w:rsid w:val="001147C2"/>
    <w:rsid w:val="00114819"/>
    <w:rsid w:val="00114AA6"/>
    <w:rsid w:val="00114B09"/>
    <w:rsid w:val="00114B16"/>
    <w:rsid w:val="00114B5D"/>
    <w:rsid w:val="00114D1E"/>
    <w:rsid w:val="00114D35"/>
    <w:rsid w:val="00114D3C"/>
    <w:rsid w:val="00114D78"/>
    <w:rsid w:val="00114DA1"/>
    <w:rsid w:val="00114EED"/>
    <w:rsid w:val="00114F85"/>
    <w:rsid w:val="00115024"/>
    <w:rsid w:val="00115144"/>
    <w:rsid w:val="001151F2"/>
    <w:rsid w:val="0011524A"/>
    <w:rsid w:val="001152BF"/>
    <w:rsid w:val="0011546E"/>
    <w:rsid w:val="001154DD"/>
    <w:rsid w:val="001154F7"/>
    <w:rsid w:val="001154FD"/>
    <w:rsid w:val="00115526"/>
    <w:rsid w:val="001155C6"/>
    <w:rsid w:val="001157D9"/>
    <w:rsid w:val="001157E4"/>
    <w:rsid w:val="001157FA"/>
    <w:rsid w:val="001158C8"/>
    <w:rsid w:val="0011591D"/>
    <w:rsid w:val="001159E0"/>
    <w:rsid w:val="00115BA9"/>
    <w:rsid w:val="00115BEC"/>
    <w:rsid w:val="00115BFF"/>
    <w:rsid w:val="00115C50"/>
    <w:rsid w:val="00115CC5"/>
    <w:rsid w:val="00115D36"/>
    <w:rsid w:val="00115D83"/>
    <w:rsid w:val="00115DB6"/>
    <w:rsid w:val="00115E49"/>
    <w:rsid w:val="00115EA7"/>
    <w:rsid w:val="00115F1B"/>
    <w:rsid w:val="00115F21"/>
    <w:rsid w:val="00115F56"/>
    <w:rsid w:val="00115F60"/>
    <w:rsid w:val="00115FB9"/>
    <w:rsid w:val="00115FD6"/>
    <w:rsid w:val="00116105"/>
    <w:rsid w:val="0011611E"/>
    <w:rsid w:val="001161FD"/>
    <w:rsid w:val="0011621F"/>
    <w:rsid w:val="00116251"/>
    <w:rsid w:val="00116254"/>
    <w:rsid w:val="0011628E"/>
    <w:rsid w:val="00116345"/>
    <w:rsid w:val="00116375"/>
    <w:rsid w:val="00116377"/>
    <w:rsid w:val="001163B5"/>
    <w:rsid w:val="001164D2"/>
    <w:rsid w:val="001165A4"/>
    <w:rsid w:val="00116605"/>
    <w:rsid w:val="00116631"/>
    <w:rsid w:val="001166C6"/>
    <w:rsid w:val="00116796"/>
    <w:rsid w:val="001167C3"/>
    <w:rsid w:val="001167EC"/>
    <w:rsid w:val="001167F1"/>
    <w:rsid w:val="0011684E"/>
    <w:rsid w:val="001168ED"/>
    <w:rsid w:val="0011693C"/>
    <w:rsid w:val="00116B6D"/>
    <w:rsid w:val="00116C8E"/>
    <w:rsid w:val="00116CAD"/>
    <w:rsid w:val="00116CFF"/>
    <w:rsid w:val="00116D34"/>
    <w:rsid w:val="00116DA0"/>
    <w:rsid w:val="00116DBA"/>
    <w:rsid w:val="00116EA0"/>
    <w:rsid w:val="0011706F"/>
    <w:rsid w:val="00117077"/>
    <w:rsid w:val="001170F3"/>
    <w:rsid w:val="001171A2"/>
    <w:rsid w:val="00117294"/>
    <w:rsid w:val="001172DE"/>
    <w:rsid w:val="00117472"/>
    <w:rsid w:val="0011749B"/>
    <w:rsid w:val="00117533"/>
    <w:rsid w:val="00117564"/>
    <w:rsid w:val="0011758E"/>
    <w:rsid w:val="001175DD"/>
    <w:rsid w:val="0011779D"/>
    <w:rsid w:val="001177B3"/>
    <w:rsid w:val="001177D4"/>
    <w:rsid w:val="00117832"/>
    <w:rsid w:val="00117836"/>
    <w:rsid w:val="00117888"/>
    <w:rsid w:val="001178FE"/>
    <w:rsid w:val="00117A06"/>
    <w:rsid w:val="00117A1D"/>
    <w:rsid w:val="00117A8B"/>
    <w:rsid w:val="00117B31"/>
    <w:rsid w:val="00117B68"/>
    <w:rsid w:val="00117BD7"/>
    <w:rsid w:val="00117CAB"/>
    <w:rsid w:val="00117CBC"/>
    <w:rsid w:val="00117CFB"/>
    <w:rsid w:val="00117E6E"/>
    <w:rsid w:val="00117E97"/>
    <w:rsid w:val="00117F26"/>
    <w:rsid w:val="00120054"/>
    <w:rsid w:val="001200BF"/>
    <w:rsid w:val="0012013B"/>
    <w:rsid w:val="0012013E"/>
    <w:rsid w:val="00120195"/>
    <w:rsid w:val="0012022E"/>
    <w:rsid w:val="0012025D"/>
    <w:rsid w:val="0012031C"/>
    <w:rsid w:val="0012032B"/>
    <w:rsid w:val="001203C6"/>
    <w:rsid w:val="0012040F"/>
    <w:rsid w:val="00120443"/>
    <w:rsid w:val="00120458"/>
    <w:rsid w:val="0012047E"/>
    <w:rsid w:val="00120592"/>
    <w:rsid w:val="001206F3"/>
    <w:rsid w:val="001207F3"/>
    <w:rsid w:val="00120881"/>
    <w:rsid w:val="00120884"/>
    <w:rsid w:val="001208B0"/>
    <w:rsid w:val="001209C6"/>
    <w:rsid w:val="00120A43"/>
    <w:rsid w:val="00120A5E"/>
    <w:rsid w:val="00120B33"/>
    <w:rsid w:val="00120B6D"/>
    <w:rsid w:val="00120B76"/>
    <w:rsid w:val="00120BA2"/>
    <w:rsid w:val="00120C46"/>
    <w:rsid w:val="00120CB8"/>
    <w:rsid w:val="00120D91"/>
    <w:rsid w:val="00120DFA"/>
    <w:rsid w:val="00120F28"/>
    <w:rsid w:val="00120FB9"/>
    <w:rsid w:val="00121091"/>
    <w:rsid w:val="00121138"/>
    <w:rsid w:val="00121237"/>
    <w:rsid w:val="001212AD"/>
    <w:rsid w:val="0012138C"/>
    <w:rsid w:val="001213B1"/>
    <w:rsid w:val="001214A0"/>
    <w:rsid w:val="001214FC"/>
    <w:rsid w:val="00121516"/>
    <w:rsid w:val="00121520"/>
    <w:rsid w:val="00121697"/>
    <w:rsid w:val="001218AC"/>
    <w:rsid w:val="00121972"/>
    <w:rsid w:val="00121A14"/>
    <w:rsid w:val="00121A2F"/>
    <w:rsid w:val="00121A7D"/>
    <w:rsid w:val="00121B49"/>
    <w:rsid w:val="00121B70"/>
    <w:rsid w:val="00121C1E"/>
    <w:rsid w:val="00121DE5"/>
    <w:rsid w:val="00121E03"/>
    <w:rsid w:val="00121E28"/>
    <w:rsid w:val="00121E45"/>
    <w:rsid w:val="00121E48"/>
    <w:rsid w:val="00121F45"/>
    <w:rsid w:val="00121F6B"/>
    <w:rsid w:val="00121F76"/>
    <w:rsid w:val="00121FA0"/>
    <w:rsid w:val="00121FF2"/>
    <w:rsid w:val="0012209E"/>
    <w:rsid w:val="00122116"/>
    <w:rsid w:val="00122117"/>
    <w:rsid w:val="001221D6"/>
    <w:rsid w:val="0012221A"/>
    <w:rsid w:val="00122226"/>
    <w:rsid w:val="0012223A"/>
    <w:rsid w:val="00122385"/>
    <w:rsid w:val="00122436"/>
    <w:rsid w:val="00122485"/>
    <w:rsid w:val="001224D0"/>
    <w:rsid w:val="001224D2"/>
    <w:rsid w:val="001224DC"/>
    <w:rsid w:val="0012251E"/>
    <w:rsid w:val="001225AA"/>
    <w:rsid w:val="00122641"/>
    <w:rsid w:val="001226BE"/>
    <w:rsid w:val="00122712"/>
    <w:rsid w:val="001227DF"/>
    <w:rsid w:val="0012283F"/>
    <w:rsid w:val="00122876"/>
    <w:rsid w:val="00122A30"/>
    <w:rsid w:val="00122A5A"/>
    <w:rsid w:val="00122AA5"/>
    <w:rsid w:val="00122AE3"/>
    <w:rsid w:val="00122AFE"/>
    <w:rsid w:val="00122B0B"/>
    <w:rsid w:val="00122B4C"/>
    <w:rsid w:val="00122BDC"/>
    <w:rsid w:val="00122C5B"/>
    <w:rsid w:val="00122C6A"/>
    <w:rsid w:val="00122CF0"/>
    <w:rsid w:val="00122D48"/>
    <w:rsid w:val="00122D52"/>
    <w:rsid w:val="00122D6B"/>
    <w:rsid w:val="00122DF8"/>
    <w:rsid w:val="00122EBB"/>
    <w:rsid w:val="00122ECA"/>
    <w:rsid w:val="00122EEA"/>
    <w:rsid w:val="0012303A"/>
    <w:rsid w:val="00123044"/>
    <w:rsid w:val="0012308C"/>
    <w:rsid w:val="001230EB"/>
    <w:rsid w:val="00123112"/>
    <w:rsid w:val="00123372"/>
    <w:rsid w:val="001233BB"/>
    <w:rsid w:val="001233D2"/>
    <w:rsid w:val="001233EE"/>
    <w:rsid w:val="00123454"/>
    <w:rsid w:val="00123484"/>
    <w:rsid w:val="0012359F"/>
    <w:rsid w:val="00123684"/>
    <w:rsid w:val="001236F5"/>
    <w:rsid w:val="001236F8"/>
    <w:rsid w:val="00123803"/>
    <w:rsid w:val="00123811"/>
    <w:rsid w:val="0012385B"/>
    <w:rsid w:val="00123865"/>
    <w:rsid w:val="00123985"/>
    <w:rsid w:val="00123988"/>
    <w:rsid w:val="001239CE"/>
    <w:rsid w:val="00123A10"/>
    <w:rsid w:val="00123ACF"/>
    <w:rsid w:val="00123B30"/>
    <w:rsid w:val="00123B8D"/>
    <w:rsid w:val="00123BEB"/>
    <w:rsid w:val="00123C3F"/>
    <w:rsid w:val="00123DB4"/>
    <w:rsid w:val="00123E1C"/>
    <w:rsid w:val="00123F16"/>
    <w:rsid w:val="00123F7F"/>
    <w:rsid w:val="00123FB8"/>
    <w:rsid w:val="00123FEA"/>
    <w:rsid w:val="00123FF1"/>
    <w:rsid w:val="00124030"/>
    <w:rsid w:val="00124080"/>
    <w:rsid w:val="001241A0"/>
    <w:rsid w:val="001241F5"/>
    <w:rsid w:val="0012420D"/>
    <w:rsid w:val="0012422F"/>
    <w:rsid w:val="0012424D"/>
    <w:rsid w:val="00124293"/>
    <w:rsid w:val="001242BA"/>
    <w:rsid w:val="00124386"/>
    <w:rsid w:val="001243FE"/>
    <w:rsid w:val="00124409"/>
    <w:rsid w:val="00124477"/>
    <w:rsid w:val="00124536"/>
    <w:rsid w:val="001245FA"/>
    <w:rsid w:val="001246D5"/>
    <w:rsid w:val="001247ED"/>
    <w:rsid w:val="00124870"/>
    <w:rsid w:val="0012487F"/>
    <w:rsid w:val="00124905"/>
    <w:rsid w:val="00124967"/>
    <w:rsid w:val="001249AD"/>
    <w:rsid w:val="00124A39"/>
    <w:rsid w:val="00124B5C"/>
    <w:rsid w:val="00124B61"/>
    <w:rsid w:val="00124BA5"/>
    <w:rsid w:val="00124D39"/>
    <w:rsid w:val="00124D4A"/>
    <w:rsid w:val="00124D79"/>
    <w:rsid w:val="00124DBF"/>
    <w:rsid w:val="00124E43"/>
    <w:rsid w:val="00124E9F"/>
    <w:rsid w:val="00124F14"/>
    <w:rsid w:val="00124F9A"/>
    <w:rsid w:val="00124FE7"/>
    <w:rsid w:val="00125028"/>
    <w:rsid w:val="00125212"/>
    <w:rsid w:val="0012521B"/>
    <w:rsid w:val="001252B3"/>
    <w:rsid w:val="001252DC"/>
    <w:rsid w:val="00125383"/>
    <w:rsid w:val="001253F7"/>
    <w:rsid w:val="0012543E"/>
    <w:rsid w:val="001254CE"/>
    <w:rsid w:val="0012552B"/>
    <w:rsid w:val="001255D5"/>
    <w:rsid w:val="0012560C"/>
    <w:rsid w:val="0012571D"/>
    <w:rsid w:val="00125724"/>
    <w:rsid w:val="00125795"/>
    <w:rsid w:val="001257C5"/>
    <w:rsid w:val="00125892"/>
    <w:rsid w:val="001258B4"/>
    <w:rsid w:val="00125908"/>
    <w:rsid w:val="0012598E"/>
    <w:rsid w:val="00125AC6"/>
    <w:rsid w:val="00125B58"/>
    <w:rsid w:val="00125BB8"/>
    <w:rsid w:val="00125C12"/>
    <w:rsid w:val="00125E54"/>
    <w:rsid w:val="00125E70"/>
    <w:rsid w:val="00125EAE"/>
    <w:rsid w:val="00125FAD"/>
    <w:rsid w:val="00125FBA"/>
    <w:rsid w:val="00125FCD"/>
    <w:rsid w:val="00125FE1"/>
    <w:rsid w:val="0012605B"/>
    <w:rsid w:val="00126071"/>
    <w:rsid w:val="00126098"/>
    <w:rsid w:val="001260C2"/>
    <w:rsid w:val="00126133"/>
    <w:rsid w:val="0012613E"/>
    <w:rsid w:val="00126165"/>
    <w:rsid w:val="00126229"/>
    <w:rsid w:val="00126356"/>
    <w:rsid w:val="001263E5"/>
    <w:rsid w:val="00126403"/>
    <w:rsid w:val="0012643C"/>
    <w:rsid w:val="0012653C"/>
    <w:rsid w:val="00126590"/>
    <w:rsid w:val="00126614"/>
    <w:rsid w:val="00126652"/>
    <w:rsid w:val="001267B9"/>
    <w:rsid w:val="00126870"/>
    <w:rsid w:val="001268C6"/>
    <w:rsid w:val="00126905"/>
    <w:rsid w:val="00126AEA"/>
    <w:rsid w:val="00126B9E"/>
    <w:rsid w:val="00126BB3"/>
    <w:rsid w:val="00126C14"/>
    <w:rsid w:val="00126CE1"/>
    <w:rsid w:val="00126E38"/>
    <w:rsid w:val="00126E52"/>
    <w:rsid w:val="00126E70"/>
    <w:rsid w:val="00126E91"/>
    <w:rsid w:val="00126FA0"/>
    <w:rsid w:val="00126FAF"/>
    <w:rsid w:val="00126FC4"/>
    <w:rsid w:val="001270F3"/>
    <w:rsid w:val="00127122"/>
    <w:rsid w:val="00127170"/>
    <w:rsid w:val="001271A5"/>
    <w:rsid w:val="001271F8"/>
    <w:rsid w:val="00127337"/>
    <w:rsid w:val="00127471"/>
    <w:rsid w:val="00127474"/>
    <w:rsid w:val="001274B2"/>
    <w:rsid w:val="0012752C"/>
    <w:rsid w:val="001275CB"/>
    <w:rsid w:val="001275EF"/>
    <w:rsid w:val="00127655"/>
    <w:rsid w:val="00127789"/>
    <w:rsid w:val="001278A1"/>
    <w:rsid w:val="001278C7"/>
    <w:rsid w:val="001278EA"/>
    <w:rsid w:val="0012796F"/>
    <w:rsid w:val="00127A01"/>
    <w:rsid w:val="00127A21"/>
    <w:rsid w:val="00127AEB"/>
    <w:rsid w:val="00127B87"/>
    <w:rsid w:val="00127BFB"/>
    <w:rsid w:val="00127C3B"/>
    <w:rsid w:val="00127D9D"/>
    <w:rsid w:val="00127E8F"/>
    <w:rsid w:val="00127F94"/>
    <w:rsid w:val="0013005B"/>
    <w:rsid w:val="00130097"/>
    <w:rsid w:val="0013010B"/>
    <w:rsid w:val="00130189"/>
    <w:rsid w:val="001301C8"/>
    <w:rsid w:val="0013023B"/>
    <w:rsid w:val="0013035F"/>
    <w:rsid w:val="00130429"/>
    <w:rsid w:val="0013047A"/>
    <w:rsid w:val="001304A6"/>
    <w:rsid w:val="001304DE"/>
    <w:rsid w:val="001305DD"/>
    <w:rsid w:val="00130623"/>
    <w:rsid w:val="001306EB"/>
    <w:rsid w:val="00130781"/>
    <w:rsid w:val="00130877"/>
    <w:rsid w:val="00130971"/>
    <w:rsid w:val="00130A43"/>
    <w:rsid w:val="00130A63"/>
    <w:rsid w:val="00130AAC"/>
    <w:rsid w:val="00130AB8"/>
    <w:rsid w:val="00130ABB"/>
    <w:rsid w:val="00130AEE"/>
    <w:rsid w:val="00130B1B"/>
    <w:rsid w:val="00130B5E"/>
    <w:rsid w:val="00130B84"/>
    <w:rsid w:val="00130C22"/>
    <w:rsid w:val="00130C51"/>
    <w:rsid w:val="00130C70"/>
    <w:rsid w:val="00130D52"/>
    <w:rsid w:val="00130DB9"/>
    <w:rsid w:val="00130DD5"/>
    <w:rsid w:val="00130DE1"/>
    <w:rsid w:val="00130E3D"/>
    <w:rsid w:val="00130F82"/>
    <w:rsid w:val="00131114"/>
    <w:rsid w:val="00131117"/>
    <w:rsid w:val="00131333"/>
    <w:rsid w:val="00131358"/>
    <w:rsid w:val="001313A2"/>
    <w:rsid w:val="0013145C"/>
    <w:rsid w:val="0013146A"/>
    <w:rsid w:val="001314FA"/>
    <w:rsid w:val="001315B0"/>
    <w:rsid w:val="001315F6"/>
    <w:rsid w:val="001316A3"/>
    <w:rsid w:val="00131816"/>
    <w:rsid w:val="0013187D"/>
    <w:rsid w:val="001318BD"/>
    <w:rsid w:val="001319ED"/>
    <w:rsid w:val="00131A1C"/>
    <w:rsid w:val="00131A8F"/>
    <w:rsid w:val="00131B6A"/>
    <w:rsid w:val="00131C0F"/>
    <w:rsid w:val="00131C5E"/>
    <w:rsid w:val="00131D8B"/>
    <w:rsid w:val="00131DB9"/>
    <w:rsid w:val="00131DC3"/>
    <w:rsid w:val="00131E64"/>
    <w:rsid w:val="00131E99"/>
    <w:rsid w:val="00131EAC"/>
    <w:rsid w:val="00131EB5"/>
    <w:rsid w:val="00131F75"/>
    <w:rsid w:val="00131FFD"/>
    <w:rsid w:val="001320A6"/>
    <w:rsid w:val="00132130"/>
    <w:rsid w:val="001321F2"/>
    <w:rsid w:val="00132211"/>
    <w:rsid w:val="00132289"/>
    <w:rsid w:val="001324F0"/>
    <w:rsid w:val="00132587"/>
    <w:rsid w:val="0013263C"/>
    <w:rsid w:val="001326AA"/>
    <w:rsid w:val="001326D0"/>
    <w:rsid w:val="00132779"/>
    <w:rsid w:val="001328A9"/>
    <w:rsid w:val="001328C9"/>
    <w:rsid w:val="0013291D"/>
    <w:rsid w:val="0013292C"/>
    <w:rsid w:val="001329AC"/>
    <w:rsid w:val="00132AEE"/>
    <w:rsid w:val="00132B4D"/>
    <w:rsid w:val="00132C7E"/>
    <w:rsid w:val="00132D9F"/>
    <w:rsid w:val="00132DF5"/>
    <w:rsid w:val="00132E1F"/>
    <w:rsid w:val="00132F68"/>
    <w:rsid w:val="00133110"/>
    <w:rsid w:val="00133142"/>
    <w:rsid w:val="00133217"/>
    <w:rsid w:val="00133262"/>
    <w:rsid w:val="00133286"/>
    <w:rsid w:val="001332B7"/>
    <w:rsid w:val="001332E8"/>
    <w:rsid w:val="0013333C"/>
    <w:rsid w:val="0013341E"/>
    <w:rsid w:val="00133490"/>
    <w:rsid w:val="001334D2"/>
    <w:rsid w:val="00133745"/>
    <w:rsid w:val="00133834"/>
    <w:rsid w:val="00133887"/>
    <w:rsid w:val="001338A1"/>
    <w:rsid w:val="001338AA"/>
    <w:rsid w:val="00133944"/>
    <w:rsid w:val="00133958"/>
    <w:rsid w:val="001339F1"/>
    <w:rsid w:val="001339F2"/>
    <w:rsid w:val="00133A17"/>
    <w:rsid w:val="00133A27"/>
    <w:rsid w:val="00133B09"/>
    <w:rsid w:val="00133BE0"/>
    <w:rsid w:val="00133BF6"/>
    <w:rsid w:val="00133C04"/>
    <w:rsid w:val="00133C67"/>
    <w:rsid w:val="00133CE3"/>
    <w:rsid w:val="00133D39"/>
    <w:rsid w:val="00133D82"/>
    <w:rsid w:val="00133DFA"/>
    <w:rsid w:val="00133E1B"/>
    <w:rsid w:val="00133E4A"/>
    <w:rsid w:val="00133E6E"/>
    <w:rsid w:val="00133EC9"/>
    <w:rsid w:val="00133EFB"/>
    <w:rsid w:val="00133F1B"/>
    <w:rsid w:val="00133F1C"/>
    <w:rsid w:val="00133FBB"/>
    <w:rsid w:val="00134033"/>
    <w:rsid w:val="00134037"/>
    <w:rsid w:val="0013403D"/>
    <w:rsid w:val="00134088"/>
    <w:rsid w:val="00134147"/>
    <w:rsid w:val="001341C5"/>
    <w:rsid w:val="001341F1"/>
    <w:rsid w:val="001342C3"/>
    <w:rsid w:val="0013437B"/>
    <w:rsid w:val="0013437F"/>
    <w:rsid w:val="0013443D"/>
    <w:rsid w:val="001344B9"/>
    <w:rsid w:val="001344CB"/>
    <w:rsid w:val="00134618"/>
    <w:rsid w:val="0013468C"/>
    <w:rsid w:val="001346B5"/>
    <w:rsid w:val="001346C3"/>
    <w:rsid w:val="001347A1"/>
    <w:rsid w:val="00134863"/>
    <w:rsid w:val="00134920"/>
    <w:rsid w:val="0013492B"/>
    <w:rsid w:val="00134956"/>
    <w:rsid w:val="0013498C"/>
    <w:rsid w:val="00134A83"/>
    <w:rsid w:val="00134B6B"/>
    <w:rsid w:val="00134BAF"/>
    <w:rsid w:val="00134CDE"/>
    <w:rsid w:val="00134D49"/>
    <w:rsid w:val="00134E66"/>
    <w:rsid w:val="00134F0F"/>
    <w:rsid w:val="00134F45"/>
    <w:rsid w:val="001350C0"/>
    <w:rsid w:val="001350E3"/>
    <w:rsid w:val="00135181"/>
    <w:rsid w:val="00135216"/>
    <w:rsid w:val="00135221"/>
    <w:rsid w:val="00135296"/>
    <w:rsid w:val="001352EA"/>
    <w:rsid w:val="00135345"/>
    <w:rsid w:val="00135352"/>
    <w:rsid w:val="001353A2"/>
    <w:rsid w:val="001353C4"/>
    <w:rsid w:val="0013542E"/>
    <w:rsid w:val="00135473"/>
    <w:rsid w:val="0013547A"/>
    <w:rsid w:val="001354DB"/>
    <w:rsid w:val="0013554A"/>
    <w:rsid w:val="0013554B"/>
    <w:rsid w:val="001355EF"/>
    <w:rsid w:val="00135604"/>
    <w:rsid w:val="001356B7"/>
    <w:rsid w:val="001356CB"/>
    <w:rsid w:val="001356E5"/>
    <w:rsid w:val="001356F5"/>
    <w:rsid w:val="00135785"/>
    <w:rsid w:val="0013579D"/>
    <w:rsid w:val="00135910"/>
    <w:rsid w:val="0013593A"/>
    <w:rsid w:val="00135940"/>
    <w:rsid w:val="001359F2"/>
    <w:rsid w:val="00135A41"/>
    <w:rsid w:val="00135B80"/>
    <w:rsid w:val="00135BDC"/>
    <w:rsid w:val="00135C16"/>
    <w:rsid w:val="00135CD1"/>
    <w:rsid w:val="00135D1C"/>
    <w:rsid w:val="00135D45"/>
    <w:rsid w:val="00135DCE"/>
    <w:rsid w:val="00135DD4"/>
    <w:rsid w:val="00135E4C"/>
    <w:rsid w:val="00135E7F"/>
    <w:rsid w:val="00136060"/>
    <w:rsid w:val="001360EA"/>
    <w:rsid w:val="00136212"/>
    <w:rsid w:val="0013625B"/>
    <w:rsid w:val="0013630C"/>
    <w:rsid w:val="001363C8"/>
    <w:rsid w:val="00136464"/>
    <w:rsid w:val="0013648C"/>
    <w:rsid w:val="0013656B"/>
    <w:rsid w:val="001365A0"/>
    <w:rsid w:val="001365C0"/>
    <w:rsid w:val="00136686"/>
    <w:rsid w:val="0013668E"/>
    <w:rsid w:val="00136696"/>
    <w:rsid w:val="001366F0"/>
    <w:rsid w:val="0013684B"/>
    <w:rsid w:val="00136933"/>
    <w:rsid w:val="00136ADF"/>
    <w:rsid w:val="00136B3F"/>
    <w:rsid w:val="00136B5A"/>
    <w:rsid w:val="00136B92"/>
    <w:rsid w:val="00136C3C"/>
    <w:rsid w:val="00136C78"/>
    <w:rsid w:val="00136D26"/>
    <w:rsid w:val="00136D7E"/>
    <w:rsid w:val="00136E9D"/>
    <w:rsid w:val="00136F0B"/>
    <w:rsid w:val="00136F3A"/>
    <w:rsid w:val="00137057"/>
    <w:rsid w:val="00137067"/>
    <w:rsid w:val="00137145"/>
    <w:rsid w:val="001371FE"/>
    <w:rsid w:val="00137287"/>
    <w:rsid w:val="001372A8"/>
    <w:rsid w:val="001372FD"/>
    <w:rsid w:val="00137365"/>
    <w:rsid w:val="001373D6"/>
    <w:rsid w:val="001373F5"/>
    <w:rsid w:val="001373FD"/>
    <w:rsid w:val="00137401"/>
    <w:rsid w:val="00137441"/>
    <w:rsid w:val="001374B5"/>
    <w:rsid w:val="001374B9"/>
    <w:rsid w:val="0013754B"/>
    <w:rsid w:val="00137567"/>
    <w:rsid w:val="00137604"/>
    <w:rsid w:val="001376A4"/>
    <w:rsid w:val="001376B0"/>
    <w:rsid w:val="001377AD"/>
    <w:rsid w:val="001377C7"/>
    <w:rsid w:val="001377D7"/>
    <w:rsid w:val="001379BC"/>
    <w:rsid w:val="001379C8"/>
    <w:rsid w:val="001379E0"/>
    <w:rsid w:val="001379FD"/>
    <w:rsid w:val="00137AD9"/>
    <w:rsid w:val="00137B99"/>
    <w:rsid w:val="00137BA1"/>
    <w:rsid w:val="00137CF3"/>
    <w:rsid w:val="00137E4B"/>
    <w:rsid w:val="00137E6E"/>
    <w:rsid w:val="00140004"/>
    <w:rsid w:val="001400C3"/>
    <w:rsid w:val="0014010C"/>
    <w:rsid w:val="00140119"/>
    <w:rsid w:val="0014013F"/>
    <w:rsid w:val="00140154"/>
    <w:rsid w:val="00140175"/>
    <w:rsid w:val="0014019F"/>
    <w:rsid w:val="00140287"/>
    <w:rsid w:val="00140292"/>
    <w:rsid w:val="001402ED"/>
    <w:rsid w:val="0014031C"/>
    <w:rsid w:val="001403DA"/>
    <w:rsid w:val="00140414"/>
    <w:rsid w:val="001404C6"/>
    <w:rsid w:val="001404CC"/>
    <w:rsid w:val="00140681"/>
    <w:rsid w:val="001406BB"/>
    <w:rsid w:val="00140702"/>
    <w:rsid w:val="001407D7"/>
    <w:rsid w:val="001407E0"/>
    <w:rsid w:val="001407F7"/>
    <w:rsid w:val="001408D7"/>
    <w:rsid w:val="0014094B"/>
    <w:rsid w:val="001409C5"/>
    <w:rsid w:val="001409DA"/>
    <w:rsid w:val="00140ABC"/>
    <w:rsid w:val="00140C51"/>
    <w:rsid w:val="00140D0F"/>
    <w:rsid w:val="00140E0B"/>
    <w:rsid w:val="00140E23"/>
    <w:rsid w:val="00140E40"/>
    <w:rsid w:val="00140EED"/>
    <w:rsid w:val="00140F26"/>
    <w:rsid w:val="00140F3E"/>
    <w:rsid w:val="00141113"/>
    <w:rsid w:val="0014122D"/>
    <w:rsid w:val="001412AE"/>
    <w:rsid w:val="001412C1"/>
    <w:rsid w:val="00141369"/>
    <w:rsid w:val="00141381"/>
    <w:rsid w:val="001413C2"/>
    <w:rsid w:val="0014145F"/>
    <w:rsid w:val="00141506"/>
    <w:rsid w:val="00141660"/>
    <w:rsid w:val="001416D5"/>
    <w:rsid w:val="0014178B"/>
    <w:rsid w:val="00141812"/>
    <w:rsid w:val="00141869"/>
    <w:rsid w:val="001419D0"/>
    <w:rsid w:val="00141A17"/>
    <w:rsid w:val="00141B89"/>
    <w:rsid w:val="00141BA4"/>
    <w:rsid w:val="00141BAE"/>
    <w:rsid w:val="00141C45"/>
    <w:rsid w:val="00141C62"/>
    <w:rsid w:val="00141CAC"/>
    <w:rsid w:val="00141D1C"/>
    <w:rsid w:val="00141E81"/>
    <w:rsid w:val="00141F2A"/>
    <w:rsid w:val="00141F3D"/>
    <w:rsid w:val="00141FA8"/>
    <w:rsid w:val="00141FFE"/>
    <w:rsid w:val="001420D6"/>
    <w:rsid w:val="001420DC"/>
    <w:rsid w:val="001421B5"/>
    <w:rsid w:val="001422CF"/>
    <w:rsid w:val="001422E8"/>
    <w:rsid w:val="00142461"/>
    <w:rsid w:val="001424B7"/>
    <w:rsid w:val="00142551"/>
    <w:rsid w:val="00142567"/>
    <w:rsid w:val="001425E9"/>
    <w:rsid w:val="00142644"/>
    <w:rsid w:val="0014265C"/>
    <w:rsid w:val="0014271B"/>
    <w:rsid w:val="00142777"/>
    <w:rsid w:val="001428CC"/>
    <w:rsid w:val="00142911"/>
    <w:rsid w:val="00142962"/>
    <w:rsid w:val="0014299A"/>
    <w:rsid w:val="001429D5"/>
    <w:rsid w:val="00142A5E"/>
    <w:rsid w:val="00142B45"/>
    <w:rsid w:val="00142BAA"/>
    <w:rsid w:val="00142BC5"/>
    <w:rsid w:val="00142BE4"/>
    <w:rsid w:val="00142BEA"/>
    <w:rsid w:val="00142C5F"/>
    <w:rsid w:val="00142CF5"/>
    <w:rsid w:val="00142D0D"/>
    <w:rsid w:val="00142D42"/>
    <w:rsid w:val="00142D6D"/>
    <w:rsid w:val="00142DBC"/>
    <w:rsid w:val="00142DCF"/>
    <w:rsid w:val="00142E3E"/>
    <w:rsid w:val="00142E6F"/>
    <w:rsid w:val="00142E8F"/>
    <w:rsid w:val="00142F0E"/>
    <w:rsid w:val="00142F22"/>
    <w:rsid w:val="00142F78"/>
    <w:rsid w:val="001430F2"/>
    <w:rsid w:val="00143174"/>
    <w:rsid w:val="001431FD"/>
    <w:rsid w:val="0014323A"/>
    <w:rsid w:val="001432C1"/>
    <w:rsid w:val="00143342"/>
    <w:rsid w:val="00143366"/>
    <w:rsid w:val="0014343F"/>
    <w:rsid w:val="00143480"/>
    <w:rsid w:val="001434C0"/>
    <w:rsid w:val="001434CB"/>
    <w:rsid w:val="001434DF"/>
    <w:rsid w:val="00143531"/>
    <w:rsid w:val="001435E0"/>
    <w:rsid w:val="00143622"/>
    <w:rsid w:val="0014362A"/>
    <w:rsid w:val="001436BA"/>
    <w:rsid w:val="001436C9"/>
    <w:rsid w:val="00143786"/>
    <w:rsid w:val="001437B3"/>
    <w:rsid w:val="001437CA"/>
    <w:rsid w:val="001437FC"/>
    <w:rsid w:val="001438A3"/>
    <w:rsid w:val="001439DD"/>
    <w:rsid w:val="00143A92"/>
    <w:rsid w:val="00143ACB"/>
    <w:rsid w:val="00143B39"/>
    <w:rsid w:val="00143BC0"/>
    <w:rsid w:val="00143C0A"/>
    <w:rsid w:val="00143C40"/>
    <w:rsid w:val="00143C56"/>
    <w:rsid w:val="00143D19"/>
    <w:rsid w:val="00143D1F"/>
    <w:rsid w:val="00143EC7"/>
    <w:rsid w:val="00143FBF"/>
    <w:rsid w:val="00143FFF"/>
    <w:rsid w:val="00144062"/>
    <w:rsid w:val="001441A8"/>
    <w:rsid w:val="0014420C"/>
    <w:rsid w:val="001442E3"/>
    <w:rsid w:val="00144380"/>
    <w:rsid w:val="001443D6"/>
    <w:rsid w:val="0014441B"/>
    <w:rsid w:val="00144432"/>
    <w:rsid w:val="0014452E"/>
    <w:rsid w:val="001445B0"/>
    <w:rsid w:val="001445D9"/>
    <w:rsid w:val="001445E9"/>
    <w:rsid w:val="00144664"/>
    <w:rsid w:val="001446AE"/>
    <w:rsid w:val="001446F5"/>
    <w:rsid w:val="00144714"/>
    <w:rsid w:val="0014479D"/>
    <w:rsid w:val="0014480B"/>
    <w:rsid w:val="00144997"/>
    <w:rsid w:val="00144B03"/>
    <w:rsid w:val="00144B06"/>
    <w:rsid w:val="00144BC5"/>
    <w:rsid w:val="00144BCF"/>
    <w:rsid w:val="00144C20"/>
    <w:rsid w:val="00144CFE"/>
    <w:rsid w:val="00144E2C"/>
    <w:rsid w:val="00144E4E"/>
    <w:rsid w:val="00144F8A"/>
    <w:rsid w:val="00144FB6"/>
    <w:rsid w:val="00145031"/>
    <w:rsid w:val="001450FE"/>
    <w:rsid w:val="0014515F"/>
    <w:rsid w:val="001451B0"/>
    <w:rsid w:val="00145208"/>
    <w:rsid w:val="00145231"/>
    <w:rsid w:val="00145283"/>
    <w:rsid w:val="001452FC"/>
    <w:rsid w:val="001453B5"/>
    <w:rsid w:val="001454B5"/>
    <w:rsid w:val="00145506"/>
    <w:rsid w:val="0014557E"/>
    <w:rsid w:val="0014566A"/>
    <w:rsid w:val="00145889"/>
    <w:rsid w:val="00145898"/>
    <w:rsid w:val="00145A23"/>
    <w:rsid w:val="00145AF7"/>
    <w:rsid w:val="00145B42"/>
    <w:rsid w:val="00145B6C"/>
    <w:rsid w:val="00145B74"/>
    <w:rsid w:val="00145B80"/>
    <w:rsid w:val="00145BC0"/>
    <w:rsid w:val="00145C0B"/>
    <w:rsid w:val="00145C6A"/>
    <w:rsid w:val="00145CE5"/>
    <w:rsid w:val="00145DC7"/>
    <w:rsid w:val="00145DD0"/>
    <w:rsid w:val="00145E97"/>
    <w:rsid w:val="00145EEE"/>
    <w:rsid w:val="00145FFF"/>
    <w:rsid w:val="00146145"/>
    <w:rsid w:val="0014616B"/>
    <w:rsid w:val="00146187"/>
    <w:rsid w:val="00146269"/>
    <w:rsid w:val="00146393"/>
    <w:rsid w:val="001463E1"/>
    <w:rsid w:val="00146447"/>
    <w:rsid w:val="00146458"/>
    <w:rsid w:val="001464CF"/>
    <w:rsid w:val="00146577"/>
    <w:rsid w:val="00146648"/>
    <w:rsid w:val="00146651"/>
    <w:rsid w:val="00146731"/>
    <w:rsid w:val="0014681A"/>
    <w:rsid w:val="00146835"/>
    <w:rsid w:val="00146856"/>
    <w:rsid w:val="001468B8"/>
    <w:rsid w:val="00146925"/>
    <w:rsid w:val="001469A6"/>
    <w:rsid w:val="001469B7"/>
    <w:rsid w:val="00146A32"/>
    <w:rsid w:val="00146B1F"/>
    <w:rsid w:val="00146B78"/>
    <w:rsid w:val="00146B93"/>
    <w:rsid w:val="00146C19"/>
    <w:rsid w:val="00146C25"/>
    <w:rsid w:val="00146C3D"/>
    <w:rsid w:val="00146E38"/>
    <w:rsid w:val="00146EC2"/>
    <w:rsid w:val="00146EF4"/>
    <w:rsid w:val="00146F7F"/>
    <w:rsid w:val="00146F92"/>
    <w:rsid w:val="00146FB1"/>
    <w:rsid w:val="00146FE7"/>
    <w:rsid w:val="001470D5"/>
    <w:rsid w:val="0014711E"/>
    <w:rsid w:val="00147182"/>
    <w:rsid w:val="00147293"/>
    <w:rsid w:val="00147299"/>
    <w:rsid w:val="001472F0"/>
    <w:rsid w:val="00147369"/>
    <w:rsid w:val="001473F9"/>
    <w:rsid w:val="00147440"/>
    <w:rsid w:val="00147483"/>
    <w:rsid w:val="00147597"/>
    <w:rsid w:val="00147626"/>
    <w:rsid w:val="001476B2"/>
    <w:rsid w:val="001476C6"/>
    <w:rsid w:val="001476CD"/>
    <w:rsid w:val="00147753"/>
    <w:rsid w:val="0014777C"/>
    <w:rsid w:val="00147797"/>
    <w:rsid w:val="001477CF"/>
    <w:rsid w:val="00147829"/>
    <w:rsid w:val="00147830"/>
    <w:rsid w:val="001478A5"/>
    <w:rsid w:val="001478FD"/>
    <w:rsid w:val="00147A11"/>
    <w:rsid w:val="00147A20"/>
    <w:rsid w:val="00147A56"/>
    <w:rsid w:val="00147AD2"/>
    <w:rsid w:val="00147AE5"/>
    <w:rsid w:val="00147C6D"/>
    <w:rsid w:val="00147CB7"/>
    <w:rsid w:val="00147CF3"/>
    <w:rsid w:val="00147E04"/>
    <w:rsid w:val="00147E20"/>
    <w:rsid w:val="00147F32"/>
    <w:rsid w:val="00147F55"/>
    <w:rsid w:val="00147FF2"/>
    <w:rsid w:val="0015009E"/>
    <w:rsid w:val="001500D0"/>
    <w:rsid w:val="001500E6"/>
    <w:rsid w:val="00150134"/>
    <w:rsid w:val="001502DC"/>
    <w:rsid w:val="001502EB"/>
    <w:rsid w:val="0015030F"/>
    <w:rsid w:val="001503BA"/>
    <w:rsid w:val="001506E8"/>
    <w:rsid w:val="001506F0"/>
    <w:rsid w:val="0015075C"/>
    <w:rsid w:val="001507D6"/>
    <w:rsid w:val="00150837"/>
    <w:rsid w:val="001508CA"/>
    <w:rsid w:val="001508CE"/>
    <w:rsid w:val="001508D9"/>
    <w:rsid w:val="001509B8"/>
    <w:rsid w:val="001509FD"/>
    <w:rsid w:val="00150B3B"/>
    <w:rsid w:val="00150BD6"/>
    <w:rsid w:val="00150C07"/>
    <w:rsid w:val="00150C0E"/>
    <w:rsid w:val="00150C14"/>
    <w:rsid w:val="00150C5C"/>
    <w:rsid w:val="00150CEE"/>
    <w:rsid w:val="00150D7C"/>
    <w:rsid w:val="00151001"/>
    <w:rsid w:val="0015107B"/>
    <w:rsid w:val="001510B3"/>
    <w:rsid w:val="0015121D"/>
    <w:rsid w:val="00151221"/>
    <w:rsid w:val="0015125D"/>
    <w:rsid w:val="00151278"/>
    <w:rsid w:val="001512E3"/>
    <w:rsid w:val="001512FB"/>
    <w:rsid w:val="00151304"/>
    <w:rsid w:val="0015131D"/>
    <w:rsid w:val="001513A1"/>
    <w:rsid w:val="001514F5"/>
    <w:rsid w:val="00151563"/>
    <w:rsid w:val="00151616"/>
    <w:rsid w:val="0015165B"/>
    <w:rsid w:val="0015169A"/>
    <w:rsid w:val="001516DB"/>
    <w:rsid w:val="001516F3"/>
    <w:rsid w:val="00151758"/>
    <w:rsid w:val="00151859"/>
    <w:rsid w:val="001519A6"/>
    <w:rsid w:val="00151BD5"/>
    <w:rsid w:val="00151DCD"/>
    <w:rsid w:val="00151E07"/>
    <w:rsid w:val="00151ED1"/>
    <w:rsid w:val="00151FC5"/>
    <w:rsid w:val="0015200D"/>
    <w:rsid w:val="00152038"/>
    <w:rsid w:val="0015207C"/>
    <w:rsid w:val="001520B1"/>
    <w:rsid w:val="001520F2"/>
    <w:rsid w:val="0015210D"/>
    <w:rsid w:val="00152272"/>
    <w:rsid w:val="001522A7"/>
    <w:rsid w:val="00152331"/>
    <w:rsid w:val="001523ED"/>
    <w:rsid w:val="00152420"/>
    <w:rsid w:val="00152457"/>
    <w:rsid w:val="00152534"/>
    <w:rsid w:val="00152546"/>
    <w:rsid w:val="0015259C"/>
    <w:rsid w:val="001525D2"/>
    <w:rsid w:val="001525E1"/>
    <w:rsid w:val="0015274D"/>
    <w:rsid w:val="0015281D"/>
    <w:rsid w:val="0015294E"/>
    <w:rsid w:val="0015296A"/>
    <w:rsid w:val="00152A1F"/>
    <w:rsid w:val="00152C71"/>
    <w:rsid w:val="00152C87"/>
    <w:rsid w:val="00152CBC"/>
    <w:rsid w:val="00152CC2"/>
    <w:rsid w:val="00152D02"/>
    <w:rsid w:val="00152DDF"/>
    <w:rsid w:val="00152DE2"/>
    <w:rsid w:val="00152E7D"/>
    <w:rsid w:val="00152F64"/>
    <w:rsid w:val="00152F94"/>
    <w:rsid w:val="00152FCC"/>
    <w:rsid w:val="0015307D"/>
    <w:rsid w:val="001530BE"/>
    <w:rsid w:val="001530EC"/>
    <w:rsid w:val="001531E8"/>
    <w:rsid w:val="001532FD"/>
    <w:rsid w:val="0015348F"/>
    <w:rsid w:val="001534DD"/>
    <w:rsid w:val="00153536"/>
    <w:rsid w:val="001535D5"/>
    <w:rsid w:val="001535EA"/>
    <w:rsid w:val="00153611"/>
    <w:rsid w:val="0015369B"/>
    <w:rsid w:val="001536B7"/>
    <w:rsid w:val="001536BA"/>
    <w:rsid w:val="00153787"/>
    <w:rsid w:val="0015381C"/>
    <w:rsid w:val="0015381D"/>
    <w:rsid w:val="00153825"/>
    <w:rsid w:val="0015386A"/>
    <w:rsid w:val="0015387C"/>
    <w:rsid w:val="00153894"/>
    <w:rsid w:val="0015389A"/>
    <w:rsid w:val="001539E4"/>
    <w:rsid w:val="001539FA"/>
    <w:rsid w:val="00153C6D"/>
    <w:rsid w:val="00153D93"/>
    <w:rsid w:val="00153E2E"/>
    <w:rsid w:val="00153E87"/>
    <w:rsid w:val="00153EA4"/>
    <w:rsid w:val="00153F68"/>
    <w:rsid w:val="0015400F"/>
    <w:rsid w:val="00154078"/>
    <w:rsid w:val="001540B2"/>
    <w:rsid w:val="001540F1"/>
    <w:rsid w:val="0015410A"/>
    <w:rsid w:val="00154145"/>
    <w:rsid w:val="00154199"/>
    <w:rsid w:val="001541CF"/>
    <w:rsid w:val="001543A8"/>
    <w:rsid w:val="0015442E"/>
    <w:rsid w:val="0015444E"/>
    <w:rsid w:val="00154559"/>
    <w:rsid w:val="001545DB"/>
    <w:rsid w:val="001545F0"/>
    <w:rsid w:val="00154615"/>
    <w:rsid w:val="001546B9"/>
    <w:rsid w:val="00154744"/>
    <w:rsid w:val="00154849"/>
    <w:rsid w:val="001548E1"/>
    <w:rsid w:val="00154909"/>
    <w:rsid w:val="00154AD4"/>
    <w:rsid w:val="00154B65"/>
    <w:rsid w:val="00154C1A"/>
    <w:rsid w:val="00154C95"/>
    <w:rsid w:val="00154CF8"/>
    <w:rsid w:val="00154D4C"/>
    <w:rsid w:val="00154DAA"/>
    <w:rsid w:val="00154E82"/>
    <w:rsid w:val="00154F5A"/>
    <w:rsid w:val="00155038"/>
    <w:rsid w:val="001550F9"/>
    <w:rsid w:val="0015526C"/>
    <w:rsid w:val="0015531B"/>
    <w:rsid w:val="00155360"/>
    <w:rsid w:val="001553C4"/>
    <w:rsid w:val="0015545E"/>
    <w:rsid w:val="001554DA"/>
    <w:rsid w:val="001555B6"/>
    <w:rsid w:val="00155602"/>
    <w:rsid w:val="00155669"/>
    <w:rsid w:val="00155672"/>
    <w:rsid w:val="0015569B"/>
    <w:rsid w:val="001556B4"/>
    <w:rsid w:val="00155712"/>
    <w:rsid w:val="00155723"/>
    <w:rsid w:val="00155728"/>
    <w:rsid w:val="00155756"/>
    <w:rsid w:val="001558BF"/>
    <w:rsid w:val="0015595B"/>
    <w:rsid w:val="00155963"/>
    <w:rsid w:val="0015596C"/>
    <w:rsid w:val="001559E7"/>
    <w:rsid w:val="00155A1F"/>
    <w:rsid w:val="00155AEE"/>
    <w:rsid w:val="00155AFB"/>
    <w:rsid w:val="00155B23"/>
    <w:rsid w:val="00155B4D"/>
    <w:rsid w:val="00155BCE"/>
    <w:rsid w:val="00155CB8"/>
    <w:rsid w:val="00155CBC"/>
    <w:rsid w:val="00155CC0"/>
    <w:rsid w:val="00155D74"/>
    <w:rsid w:val="00155E37"/>
    <w:rsid w:val="00155F4F"/>
    <w:rsid w:val="00156132"/>
    <w:rsid w:val="0015617D"/>
    <w:rsid w:val="0015621A"/>
    <w:rsid w:val="0015628D"/>
    <w:rsid w:val="001562A3"/>
    <w:rsid w:val="001562D7"/>
    <w:rsid w:val="001563F5"/>
    <w:rsid w:val="001564E0"/>
    <w:rsid w:val="001565EB"/>
    <w:rsid w:val="0015663D"/>
    <w:rsid w:val="00156691"/>
    <w:rsid w:val="00156740"/>
    <w:rsid w:val="001567B2"/>
    <w:rsid w:val="001567CF"/>
    <w:rsid w:val="001567DC"/>
    <w:rsid w:val="001567DF"/>
    <w:rsid w:val="001567F8"/>
    <w:rsid w:val="00156968"/>
    <w:rsid w:val="00156A84"/>
    <w:rsid w:val="00156AAF"/>
    <w:rsid w:val="00156ACE"/>
    <w:rsid w:val="00156B45"/>
    <w:rsid w:val="00156BDD"/>
    <w:rsid w:val="00156C18"/>
    <w:rsid w:val="00156C54"/>
    <w:rsid w:val="00156EA6"/>
    <w:rsid w:val="00156EEA"/>
    <w:rsid w:val="00156F7E"/>
    <w:rsid w:val="00156FE5"/>
    <w:rsid w:val="00157010"/>
    <w:rsid w:val="0015709E"/>
    <w:rsid w:val="00157193"/>
    <w:rsid w:val="00157283"/>
    <w:rsid w:val="00157311"/>
    <w:rsid w:val="0015731F"/>
    <w:rsid w:val="001573A1"/>
    <w:rsid w:val="001573C1"/>
    <w:rsid w:val="001573D2"/>
    <w:rsid w:val="001574C0"/>
    <w:rsid w:val="0015751E"/>
    <w:rsid w:val="00157549"/>
    <w:rsid w:val="001575A4"/>
    <w:rsid w:val="00157675"/>
    <w:rsid w:val="00157680"/>
    <w:rsid w:val="0015769D"/>
    <w:rsid w:val="001576CE"/>
    <w:rsid w:val="001577EE"/>
    <w:rsid w:val="00157812"/>
    <w:rsid w:val="0015781A"/>
    <w:rsid w:val="00157821"/>
    <w:rsid w:val="0015789A"/>
    <w:rsid w:val="00157A16"/>
    <w:rsid w:val="00157A42"/>
    <w:rsid w:val="00157A94"/>
    <w:rsid w:val="00157DBB"/>
    <w:rsid w:val="00157E90"/>
    <w:rsid w:val="00157E93"/>
    <w:rsid w:val="00157EB1"/>
    <w:rsid w:val="00157EFA"/>
    <w:rsid w:val="00157FF3"/>
    <w:rsid w:val="00160104"/>
    <w:rsid w:val="00160105"/>
    <w:rsid w:val="0016016A"/>
    <w:rsid w:val="00160202"/>
    <w:rsid w:val="001602CC"/>
    <w:rsid w:val="00160308"/>
    <w:rsid w:val="00160335"/>
    <w:rsid w:val="0016038E"/>
    <w:rsid w:val="00160393"/>
    <w:rsid w:val="00160537"/>
    <w:rsid w:val="001606CF"/>
    <w:rsid w:val="001606DD"/>
    <w:rsid w:val="00160738"/>
    <w:rsid w:val="00160748"/>
    <w:rsid w:val="0016078E"/>
    <w:rsid w:val="0016088D"/>
    <w:rsid w:val="0016094B"/>
    <w:rsid w:val="00160956"/>
    <w:rsid w:val="0016097E"/>
    <w:rsid w:val="0016098B"/>
    <w:rsid w:val="00160A82"/>
    <w:rsid w:val="00160B00"/>
    <w:rsid w:val="00160B8C"/>
    <w:rsid w:val="00160CA1"/>
    <w:rsid w:val="00160CCC"/>
    <w:rsid w:val="00160DA6"/>
    <w:rsid w:val="00160DA8"/>
    <w:rsid w:val="00160E67"/>
    <w:rsid w:val="00160EC0"/>
    <w:rsid w:val="0016102E"/>
    <w:rsid w:val="001610DE"/>
    <w:rsid w:val="001610E2"/>
    <w:rsid w:val="00161141"/>
    <w:rsid w:val="001611E8"/>
    <w:rsid w:val="0016122B"/>
    <w:rsid w:val="00161252"/>
    <w:rsid w:val="0016128D"/>
    <w:rsid w:val="00161348"/>
    <w:rsid w:val="00161413"/>
    <w:rsid w:val="001614B7"/>
    <w:rsid w:val="00161520"/>
    <w:rsid w:val="00161553"/>
    <w:rsid w:val="0016176B"/>
    <w:rsid w:val="00161800"/>
    <w:rsid w:val="00161854"/>
    <w:rsid w:val="001618A5"/>
    <w:rsid w:val="001618C2"/>
    <w:rsid w:val="00161931"/>
    <w:rsid w:val="00161994"/>
    <w:rsid w:val="001619C9"/>
    <w:rsid w:val="00161A2F"/>
    <w:rsid w:val="00161A83"/>
    <w:rsid w:val="00161A93"/>
    <w:rsid w:val="00161AFA"/>
    <w:rsid w:val="00161C2C"/>
    <w:rsid w:val="00161C6F"/>
    <w:rsid w:val="00161D89"/>
    <w:rsid w:val="00161D8B"/>
    <w:rsid w:val="00161E25"/>
    <w:rsid w:val="00161E91"/>
    <w:rsid w:val="00161F55"/>
    <w:rsid w:val="001620A3"/>
    <w:rsid w:val="00162296"/>
    <w:rsid w:val="0016230F"/>
    <w:rsid w:val="00162311"/>
    <w:rsid w:val="0016237E"/>
    <w:rsid w:val="001623C5"/>
    <w:rsid w:val="001625D1"/>
    <w:rsid w:val="001625D4"/>
    <w:rsid w:val="001625EF"/>
    <w:rsid w:val="00162720"/>
    <w:rsid w:val="001627F0"/>
    <w:rsid w:val="00162879"/>
    <w:rsid w:val="001628D1"/>
    <w:rsid w:val="001629E3"/>
    <w:rsid w:val="00162A6F"/>
    <w:rsid w:val="00162B20"/>
    <w:rsid w:val="00162B96"/>
    <w:rsid w:val="00162BCE"/>
    <w:rsid w:val="00162CD2"/>
    <w:rsid w:val="00162D16"/>
    <w:rsid w:val="00162D92"/>
    <w:rsid w:val="00162E2E"/>
    <w:rsid w:val="00162F1D"/>
    <w:rsid w:val="00162FCF"/>
    <w:rsid w:val="00162FD8"/>
    <w:rsid w:val="00163172"/>
    <w:rsid w:val="00163317"/>
    <w:rsid w:val="0016333E"/>
    <w:rsid w:val="001633A3"/>
    <w:rsid w:val="001633DE"/>
    <w:rsid w:val="00163496"/>
    <w:rsid w:val="001636DB"/>
    <w:rsid w:val="00163727"/>
    <w:rsid w:val="001638ED"/>
    <w:rsid w:val="001639F1"/>
    <w:rsid w:val="00163A06"/>
    <w:rsid w:val="00163A1F"/>
    <w:rsid w:val="00163A5F"/>
    <w:rsid w:val="00163AA0"/>
    <w:rsid w:val="00163ADB"/>
    <w:rsid w:val="00163ADC"/>
    <w:rsid w:val="00163B6F"/>
    <w:rsid w:val="00163BBF"/>
    <w:rsid w:val="00163BCD"/>
    <w:rsid w:val="00163C47"/>
    <w:rsid w:val="00163C76"/>
    <w:rsid w:val="00163D19"/>
    <w:rsid w:val="00163D34"/>
    <w:rsid w:val="00163E61"/>
    <w:rsid w:val="00163EAB"/>
    <w:rsid w:val="00163EB2"/>
    <w:rsid w:val="00163F19"/>
    <w:rsid w:val="00163F75"/>
    <w:rsid w:val="00163FA2"/>
    <w:rsid w:val="00163FC5"/>
    <w:rsid w:val="00163FF7"/>
    <w:rsid w:val="00164059"/>
    <w:rsid w:val="001640FD"/>
    <w:rsid w:val="001641AE"/>
    <w:rsid w:val="001641C0"/>
    <w:rsid w:val="00164226"/>
    <w:rsid w:val="00164388"/>
    <w:rsid w:val="001643AB"/>
    <w:rsid w:val="00164431"/>
    <w:rsid w:val="00164490"/>
    <w:rsid w:val="00164535"/>
    <w:rsid w:val="0016456F"/>
    <w:rsid w:val="00164590"/>
    <w:rsid w:val="00164599"/>
    <w:rsid w:val="00164913"/>
    <w:rsid w:val="001649F4"/>
    <w:rsid w:val="00164A25"/>
    <w:rsid w:val="00164A59"/>
    <w:rsid w:val="00164A7A"/>
    <w:rsid w:val="00164B12"/>
    <w:rsid w:val="00164BE0"/>
    <w:rsid w:val="00164C48"/>
    <w:rsid w:val="00164C4D"/>
    <w:rsid w:val="00164C55"/>
    <w:rsid w:val="00164C74"/>
    <w:rsid w:val="00164C87"/>
    <w:rsid w:val="00164C8B"/>
    <w:rsid w:val="00164D26"/>
    <w:rsid w:val="00164D7F"/>
    <w:rsid w:val="00164D80"/>
    <w:rsid w:val="00164DA5"/>
    <w:rsid w:val="00164EF1"/>
    <w:rsid w:val="00164F59"/>
    <w:rsid w:val="00164F8A"/>
    <w:rsid w:val="00164FFB"/>
    <w:rsid w:val="00165061"/>
    <w:rsid w:val="001650A8"/>
    <w:rsid w:val="001651C1"/>
    <w:rsid w:val="001651FA"/>
    <w:rsid w:val="0016520D"/>
    <w:rsid w:val="00165218"/>
    <w:rsid w:val="0016526B"/>
    <w:rsid w:val="00165285"/>
    <w:rsid w:val="001652FB"/>
    <w:rsid w:val="00165324"/>
    <w:rsid w:val="00165334"/>
    <w:rsid w:val="001653AA"/>
    <w:rsid w:val="001653CF"/>
    <w:rsid w:val="0016540E"/>
    <w:rsid w:val="001654CA"/>
    <w:rsid w:val="001654FE"/>
    <w:rsid w:val="001656C5"/>
    <w:rsid w:val="0016575C"/>
    <w:rsid w:val="00165764"/>
    <w:rsid w:val="001657AD"/>
    <w:rsid w:val="001657CF"/>
    <w:rsid w:val="00165883"/>
    <w:rsid w:val="00165A1F"/>
    <w:rsid w:val="00165AD1"/>
    <w:rsid w:val="00165BFB"/>
    <w:rsid w:val="00165C03"/>
    <w:rsid w:val="00165C46"/>
    <w:rsid w:val="00165D2F"/>
    <w:rsid w:val="00165EFB"/>
    <w:rsid w:val="00165F2E"/>
    <w:rsid w:val="00166040"/>
    <w:rsid w:val="001660A3"/>
    <w:rsid w:val="001660DE"/>
    <w:rsid w:val="001660E9"/>
    <w:rsid w:val="001660EE"/>
    <w:rsid w:val="0016617D"/>
    <w:rsid w:val="0016627A"/>
    <w:rsid w:val="001662F3"/>
    <w:rsid w:val="00166305"/>
    <w:rsid w:val="0016632C"/>
    <w:rsid w:val="00166374"/>
    <w:rsid w:val="00166393"/>
    <w:rsid w:val="00166444"/>
    <w:rsid w:val="00166466"/>
    <w:rsid w:val="00166468"/>
    <w:rsid w:val="00166499"/>
    <w:rsid w:val="00166586"/>
    <w:rsid w:val="00166619"/>
    <w:rsid w:val="00166664"/>
    <w:rsid w:val="001666F7"/>
    <w:rsid w:val="001668A8"/>
    <w:rsid w:val="001668D0"/>
    <w:rsid w:val="0016690F"/>
    <w:rsid w:val="00166922"/>
    <w:rsid w:val="00166949"/>
    <w:rsid w:val="0016694F"/>
    <w:rsid w:val="00166995"/>
    <w:rsid w:val="001669C9"/>
    <w:rsid w:val="00166AD6"/>
    <w:rsid w:val="00166AF0"/>
    <w:rsid w:val="00166B22"/>
    <w:rsid w:val="00166B74"/>
    <w:rsid w:val="00166C45"/>
    <w:rsid w:val="00166D78"/>
    <w:rsid w:val="00166D91"/>
    <w:rsid w:val="00166DC1"/>
    <w:rsid w:val="00166DC3"/>
    <w:rsid w:val="00166E03"/>
    <w:rsid w:val="00166F1C"/>
    <w:rsid w:val="00166F20"/>
    <w:rsid w:val="00167081"/>
    <w:rsid w:val="0016728D"/>
    <w:rsid w:val="001672DC"/>
    <w:rsid w:val="0016734C"/>
    <w:rsid w:val="00167353"/>
    <w:rsid w:val="0016741B"/>
    <w:rsid w:val="0016745C"/>
    <w:rsid w:val="001674A1"/>
    <w:rsid w:val="0016757A"/>
    <w:rsid w:val="0016760C"/>
    <w:rsid w:val="00167682"/>
    <w:rsid w:val="001676F6"/>
    <w:rsid w:val="0016770B"/>
    <w:rsid w:val="001677AA"/>
    <w:rsid w:val="0016786E"/>
    <w:rsid w:val="0016790E"/>
    <w:rsid w:val="00167955"/>
    <w:rsid w:val="00167981"/>
    <w:rsid w:val="001679CB"/>
    <w:rsid w:val="00167A0F"/>
    <w:rsid w:val="00167A25"/>
    <w:rsid w:val="00167ABA"/>
    <w:rsid w:val="00167B73"/>
    <w:rsid w:val="00167BC2"/>
    <w:rsid w:val="00167C44"/>
    <w:rsid w:val="00167C6D"/>
    <w:rsid w:val="00167D1B"/>
    <w:rsid w:val="00167E62"/>
    <w:rsid w:val="00167FD3"/>
    <w:rsid w:val="00170008"/>
    <w:rsid w:val="00170085"/>
    <w:rsid w:val="00170135"/>
    <w:rsid w:val="001702DC"/>
    <w:rsid w:val="0017037A"/>
    <w:rsid w:val="001703B6"/>
    <w:rsid w:val="001703F7"/>
    <w:rsid w:val="0017049E"/>
    <w:rsid w:val="001704D7"/>
    <w:rsid w:val="0017057D"/>
    <w:rsid w:val="001705CF"/>
    <w:rsid w:val="00170636"/>
    <w:rsid w:val="001706E8"/>
    <w:rsid w:val="00170710"/>
    <w:rsid w:val="0017071F"/>
    <w:rsid w:val="00170735"/>
    <w:rsid w:val="0017074F"/>
    <w:rsid w:val="00170857"/>
    <w:rsid w:val="0017087A"/>
    <w:rsid w:val="0017088B"/>
    <w:rsid w:val="0017089D"/>
    <w:rsid w:val="00170977"/>
    <w:rsid w:val="00170A3F"/>
    <w:rsid w:val="00170AAF"/>
    <w:rsid w:val="00170ACB"/>
    <w:rsid w:val="00170B28"/>
    <w:rsid w:val="00170B33"/>
    <w:rsid w:val="00170C30"/>
    <w:rsid w:val="00170D21"/>
    <w:rsid w:val="00170DFA"/>
    <w:rsid w:val="00170E13"/>
    <w:rsid w:val="00170E91"/>
    <w:rsid w:val="00170EBD"/>
    <w:rsid w:val="001710CE"/>
    <w:rsid w:val="0017121E"/>
    <w:rsid w:val="0017126E"/>
    <w:rsid w:val="001712C3"/>
    <w:rsid w:val="001712CF"/>
    <w:rsid w:val="00171304"/>
    <w:rsid w:val="00171369"/>
    <w:rsid w:val="0017156D"/>
    <w:rsid w:val="0017167D"/>
    <w:rsid w:val="001716CF"/>
    <w:rsid w:val="001717A7"/>
    <w:rsid w:val="001717C2"/>
    <w:rsid w:val="001717F0"/>
    <w:rsid w:val="0017189A"/>
    <w:rsid w:val="001718B6"/>
    <w:rsid w:val="00171921"/>
    <w:rsid w:val="001719EF"/>
    <w:rsid w:val="00171A3F"/>
    <w:rsid w:val="00171A4F"/>
    <w:rsid w:val="00171B2E"/>
    <w:rsid w:val="00171C1F"/>
    <w:rsid w:val="00171C72"/>
    <w:rsid w:val="00171D22"/>
    <w:rsid w:val="00171D5B"/>
    <w:rsid w:val="00171D6B"/>
    <w:rsid w:val="00171DE5"/>
    <w:rsid w:val="00171EFE"/>
    <w:rsid w:val="00171F5C"/>
    <w:rsid w:val="00172041"/>
    <w:rsid w:val="00172059"/>
    <w:rsid w:val="0017206C"/>
    <w:rsid w:val="0017207E"/>
    <w:rsid w:val="0017209D"/>
    <w:rsid w:val="00172114"/>
    <w:rsid w:val="00172133"/>
    <w:rsid w:val="00172249"/>
    <w:rsid w:val="0017224B"/>
    <w:rsid w:val="00172272"/>
    <w:rsid w:val="001722F8"/>
    <w:rsid w:val="00172361"/>
    <w:rsid w:val="00172382"/>
    <w:rsid w:val="00172388"/>
    <w:rsid w:val="001723C8"/>
    <w:rsid w:val="0017246C"/>
    <w:rsid w:val="00172551"/>
    <w:rsid w:val="001725B7"/>
    <w:rsid w:val="001725DA"/>
    <w:rsid w:val="00172619"/>
    <w:rsid w:val="00172658"/>
    <w:rsid w:val="001726B0"/>
    <w:rsid w:val="0017272B"/>
    <w:rsid w:val="001727BE"/>
    <w:rsid w:val="001728BC"/>
    <w:rsid w:val="00172971"/>
    <w:rsid w:val="001729E9"/>
    <w:rsid w:val="00172A99"/>
    <w:rsid w:val="00172B6D"/>
    <w:rsid w:val="00172BC2"/>
    <w:rsid w:val="00172C10"/>
    <w:rsid w:val="00172CB2"/>
    <w:rsid w:val="00172D94"/>
    <w:rsid w:val="00172E32"/>
    <w:rsid w:val="00172E55"/>
    <w:rsid w:val="00172F0E"/>
    <w:rsid w:val="00172F24"/>
    <w:rsid w:val="00172F37"/>
    <w:rsid w:val="00172F48"/>
    <w:rsid w:val="00172F65"/>
    <w:rsid w:val="00173099"/>
    <w:rsid w:val="0017309F"/>
    <w:rsid w:val="001730B8"/>
    <w:rsid w:val="00173180"/>
    <w:rsid w:val="00173195"/>
    <w:rsid w:val="0017323A"/>
    <w:rsid w:val="0017331C"/>
    <w:rsid w:val="00173337"/>
    <w:rsid w:val="00173592"/>
    <w:rsid w:val="0017366D"/>
    <w:rsid w:val="001736F6"/>
    <w:rsid w:val="0017375B"/>
    <w:rsid w:val="0017377E"/>
    <w:rsid w:val="00173848"/>
    <w:rsid w:val="001738AE"/>
    <w:rsid w:val="00173960"/>
    <w:rsid w:val="00173988"/>
    <w:rsid w:val="0017398D"/>
    <w:rsid w:val="001739C5"/>
    <w:rsid w:val="001739DD"/>
    <w:rsid w:val="00173A1F"/>
    <w:rsid w:val="00173A2B"/>
    <w:rsid w:val="00173A7B"/>
    <w:rsid w:val="00173AC1"/>
    <w:rsid w:val="00173ACE"/>
    <w:rsid w:val="00173C1E"/>
    <w:rsid w:val="00173C4D"/>
    <w:rsid w:val="00173CC2"/>
    <w:rsid w:val="00173D38"/>
    <w:rsid w:val="00173D65"/>
    <w:rsid w:val="00173E39"/>
    <w:rsid w:val="00173E67"/>
    <w:rsid w:val="00173EA8"/>
    <w:rsid w:val="00174013"/>
    <w:rsid w:val="0017406A"/>
    <w:rsid w:val="00174213"/>
    <w:rsid w:val="00174260"/>
    <w:rsid w:val="00174282"/>
    <w:rsid w:val="001742A9"/>
    <w:rsid w:val="001742B6"/>
    <w:rsid w:val="001742E8"/>
    <w:rsid w:val="0017432D"/>
    <w:rsid w:val="0017434C"/>
    <w:rsid w:val="001743AD"/>
    <w:rsid w:val="0017444B"/>
    <w:rsid w:val="00174473"/>
    <w:rsid w:val="0017447B"/>
    <w:rsid w:val="00174496"/>
    <w:rsid w:val="001744C5"/>
    <w:rsid w:val="001744F2"/>
    <w:rsid w:val="00174551"/>
    <w:rsid w:val="0017459D"/>
    <w:rsid w:val="00174630"/>
    <w:rsid w:val="001746B6"/>
    <w:rsid w:val="001746C1"/>
    <w:rsid w:val="001746F9"/>
    <w:rsid w:val="00174700"/>
    <w:rsid w:val="00174775"/>
    <w:rsid w:val="0017477D"/>
    <w:rsid w:val="001747DD"/>
    <w:rsid w:val="00174801"/>
    <w:rsid w:val="00174857"/>
    <w:rsid w:val="00174867"/>
    <w:rsid w:val="0017497A"/>
    <w:rsid w:val="00174AE3"/>
    <w:rsid w:val="00174AFC"/>
    <w:rsid w:val="00174B47"/>
    <w:rsid w:val="00174BAC"/>
    <w:rsid w:val="00174BB9"/>
    <w:rsid w:val="00174BF3"/>
    <w:rsid w:val="00174C49"/>
    <w:rsid w:val="00174CD1"/>
    <w:rsid w:val="00174E20"/>
    <w:rsid w:val="00174F55"/>
    <w:rsid w:val="00174FC9"/>
    <w:rsid w:val="00174FE2"/>
    <w:rsid w:val="00175142"/>
    <w:rsid w:val="0017528C"/>
    <w:rsid w:val="0017537D"/>
    <w:rsid w:val="00175393"/>
    <w:rsid w:val="001753DA"/>
    <w:rsid w:val="0017559E"/>
    <w:rsid w:val="001755B3"/>
    <w:rsid w:val="0017566B"/>
    <w:rsid w:val="00175687"/>
    <w:rsid w:val="00175700"/>
    <w:rsid w:val="00175718"/>
    <w:rsid w:val="001757A1"/>
    <w:rsid w:val="001757F9"/>
    <w:rsid w:val="001758E8"/>
    <w:rsid w:val="0017597E"/>
    <w:rsid w:val="001759C8"/>
    <w:rsid w:val="001759D9"/>
    <w:rsid w:val="00175B08"/>
    <w:rsid w:val="00175B26"/>
    <w:rsid w:val="00175B82"/>
    <w:rsid w:val="00175CA6"/>
    <w:rsid w:val="00175D4C"/>
    <w:rsid w:val="00175D87"/>
    <w:rsid w:val="00175E93"/>
    <w:rsid w:val="00175EA5"/>
    <w:rsid w:val="00175F02"/>
    <w:rsid w:val="00175F16"/>
    <w:rsid w:val="00175F7F"/>
    <w:rsid w:val="00175F9C"/>
    <w:rsid w:val="00175FBC"/>
    <w:rsid w:val="00175FFC"/>
    <w:rsid w:val="00176098"/>
    <w:rsid w:val="001760B4"/>
    <w:rsid w:val="00176121"/>
    <w:rsid w:val="00176151"/>
    <w:rsid w:val="00176279"/>
    <w:rsid w:val="00176376"/>
    <w:rsid w:val="0017639F"/>
    <w:rsid w:val="001763EC"/>
    <w:rsid w:val="00176428"/>
    <w:rsid w:val="00176480"/>
    <w:rsid w:val="001764BB"/>
    <w:rsid w:val="00176561"/>
    <w:rsid w:val="00176606"/>
    <w:rsid w:val="0017660D"/>
    <w:rsid w:val="00176784"/>
    <w:rsid w:val="001767C6"/>
    <w:rsid w:val="0017682C"/>
    <w:rsid w:val="001768E5"/>
    <w:rsid w:val="001769FA"/>
    <w:rsid w:val="00176AD0"/>
    <w:rsid w:val="00176B6F"/>
    <w:rsid w:val="00176BB6"/>
    <w:rsid w:val="00176C14"/>
    <w:rsid w:val="00176C5A"/>
    <w:rsid w:val="00176D0D"/>
    <w:rsid w:val="00176D16"/>
    <w:rsid w:val="00176D86"/>
    <w:rsid w:val="00176DEC"/>
    <w:rsid w:val="00176E78"/>
    <w:rsid w:val="00176FC5"/>
    <w:rsid w:val="00177082"/>
    <w:rsid w:val="00177114"/>
    <w:rsid w:val="0017725B"/>
    <w:rsid w:val="00177510"/>
    <w:rsid w:val="00177600"/>
    <w:rsid w:val="001776D0"/>
    <w:rsid w:val="00177706"/>
    <w:rsid w:val="0017773D"/>
    <w:rsid w:val="001777E2"/>
    <w:rsid w:val="00177847"/>
    <w:rsid w:val="0017784F"/>
    <w:rsid w:val="00177956"/>
    <w:rsid w:val="00177B23"/>
    <w:rsid w:val="00177B7D"/>
    <w:rsid w:val="00177D27"/>
    <w:rsid w:val="00177DA7"/>
    <w:rsid w:val="00177DBB"/>
    <w:rsid w:val="00177E17"/>
    <w:rsid w:val="00177F66"/>
    <w:rsid w:val="00177F7C"/>
    <w:rsid w:val="00177FD5"/>
    <w:rsid w:val="00180031"/>
    <w:rsid w:val="00180085"/>
    <w:rsid w:val="001800D8"/>
    <w:rsid w:val="001801FE"/>
    <w:rsid w:val="0018025C"/>
    <w:rsid w:val="001802A6"/>
    <w:rsid w:val="001803AC"/>
    <w:rsid w:val="001803B4"/>
    <w:rsid w:val="0018045C"/>
    <w:rsid w:val="0018046A"/>
    <w:rsid w:val="001805A8"/>
    <w:rsid w:val="00180649"/>
    <w:rsid w:val="001807C9"/>
    <w:rsid w:val="001807DA"/>
    <w:rsid w:val="00180830"/>
    <w:rsid w:val="00180928"/>
    <w:rsid w:val="001809B3"/>
    <w:rsid w:val="00180A1C"/>
    <w:rsid w:val="00180B2C"/>
    <w:rsid w:val="00180CBB"/>
    <w:rsid w:val="00180DF7"/>
    <w:rsid w:val="00180E05"/>
    <w:rsid w:val="00180E10"/>
    <w:rsid w:val="00180E27"/>
    <w:rsid w:val="00180E84"/>
    <w:rsid w:val="00180EEC"/>
    <w:rsid w:val="00180F9A"/>
    <w:rsid w:val="00180F9E"/>
    <w:rsid w:val="00180FA0"/>
    <w:rsid w:val="00180FD4"/>
    <w:rsid w:val="001810D5"/>
    <w:rsid w:val="00181142"/>
    <w:rsid w:val="00181162"/>
    <w:rsid w:val="001811CE"/>
    <w:rsid w:val="001811D8"/>
    <w:rsid w:val="0018120D"/>
    <w:rsid w:val="0018126E"/>
    <w:rsid w:val="001813B5"/>
    <w:rsid w:val="0018140E"/>
    <w:rsid w:val="0018144B"/>
    <w:rsid w:val="00181457"/>
    <w:rsid w:val="0018149E"/>
    <w:rsid w:val="001814C4"/>
    <w:rsid w:val="001814C5"/>
    <w:rsid w:val="001814FC"/>
    <w:rsid w:val="001816DF"/>
    <w:rsid w:val="00181710"/>
    <w:rsid w:val="00181726"/>
    <w:rsid w:val="0018174C"/>
    <w:rsid w:val="00181765"/>
    <w:rsid w:val="001818E0"/>
    <w:rsid w:val="0018198B"/>
    <w:rsid w:val="00181A1E"/>
    <w:rsid w:val="00181A21"/>
    <w:rsid w:val="00181A5D"/>
    <w:rsid w:val="00181AAA"/>
    <w:rsid w:val="00181AF2"/>
    <w:rsid w:val="00181BB6"/>
    <w:rsid w:val="00181CDF"/>
    <w:rsid w:val="00181CE1"/>
    <w:rsid w:val="00181CED"/>
    <w:rsid w:val="00181DFB"/>
    <w:rsid w:val="00181F49"/>
    <w:rsid w:val="00181F9A"/>
    <w:rsid w:val="00181FE4"/>
    <w:rsid w:val="00181FE8"/>
    <w:rsid w:val="0018203F"/>
    <w:rsid w:val="00182297"/>
    <w:rsid w:val="001822DA"/>
    <w:rsid w:val="0018231F"/>
    <w:rsid w:val="00182337"/>
    <w:rsid w:val="001823DE"/>
    <w:rsid w:val="001824C4"/>
    <w:rsid w:val="001824F4"/>
    <w:rsid w:val="0018256F"/>
    <w:rsid w:val="001825A1"/>
    <w:rsid w:val="00182638"/>
    <w:rsid w:val="00182697"/>
    <w:rsid w:val="001826CE"/>
    <w:rsid w:val="00182757"/>
    <w:rsid w:val="0018282A"/>
    <w:rsid w:val="00182848"/>
    <w:rsid w:val="001828A9"/>
    <w:rsid w:val="001828E8"/>
    <w:rsid w:val="001828F5"/>
    <w:rsid w:val="0018297E"/>
    <w:rsid w:val="00182B18"/>
    <w:rsid w:val="00182BCC"/>
    <w:rsid w:val="00182C17"/>
    <w:rsid w:val="00182C90"/>
    <w:rsid w:val="00182C9D"/>
    <w:rsid w:val="00182CA2"/>
    <w:rsid w:val="00182CA4"/>
    <w:rsid w:val="00182D06"/>
    <w:rsid w:val="00182D4E"/>
    <w:rsid w:val="00182D58"/>
    <w:rsid w:val="00182DC7"/>
    <w:rsid w:val="00182E25"/>
    <w:rsid w:val="00182E68"/>
    <w:rsid w:val="00182F3A"/>
    <w:rsid w:val="00182F64"/>
    <w:rsid w:val="0018300B"/>
    <w:rsid w:val="0018305A"/>
    <w:rsid w:val="00183089"/>
    <w:rsid w:val="001831FC"/>
    <w:rsid w:val="00183232"/>
    <w:rsid w:val="00183270"/>
    <w:rsid w:val="001832B0"/>
    <w:rsid w:val="00183309"/>
    <w:rsid w:val="00183312"/>
    <w:rsid w:val="00183436"/>
    <w:rsid w:val="00183458"/>
    <w:rsid w:val="001834A0"/>
    <w:rsid w:val="00183502"/>
    <w:rsid w:val="001836C3"/>
    <w:rsid w:val="001836EB"/>
    <w:rsid w:val="001836F2"/>
    <w:rsid w:val="00183708"/>
    <w:rsid w:val="00183828"/>
    <w:rsid w:val="00183842"/>
    <w:rsid w:val="00183847"/>
    <w:rsid w:val="001839DF"/>
    <w:rsid w:val="00183AD0"/>
    <w:rsid w:val="00183AF3"/>
    <w:rsid w:val="00183B2E"/>
    <w:rsid w:val="00183B79"/>
    <w:rsid w:val="00183BB6"/>
    <w:rsid w:val="00183BBF"/>
    <w:rsid w:val="00183BC4"/>
    <w:rsid w:val="00183C9C"/>
    <w:rsid w:val="00183CBA"/>
    <w:rsid w:val="00183CEF"/>
    <w:rsid w:val="00183D57"/>
    <w:rsid w:val="00183D93"/>
    <w:rsid w:val="00183DE2"/>
    <w:rsid w:val="00183E37"/>
    <w:rsid w:val="00183E7C"/>
    <w:rsid w:val="00183ED8"/>
    <w:rsid w:val="00183F08"/>
    <w:rsid w:val="00183F1E"/>
    <w:rsid w:val="00183F22"/>
    <w:rsid w:val="00183F23"/>
    <w:rsid w:val="00183FF1"/>
    <w:rsid w:val="0018404B"/>
    <w:rsid w:val="0018405B"/>
    <w:rsid w:val="00184083"/>
    <w:rsid w:val="0018417E"/>
    <w:rsid w:val="00184184"/>
    <w:rsid w:val="0018429A"/>
    <w:rsid w:val="0018432A"/>
    <w:rsid w:val="0018446B"/>
    <w:rsid w:val="001845D1"/>
    <w:rsid w:val="001846D7"/>
    <w:rsid w:val="001846DF"/>
    <w:rsid w:val="00184712"/>
    <w:rsid w:val="001847F8"/>
    <w:rsid w:val="00184841"/>
    <w:rsid w:val="001848DC"/>
    <w:rsid w:val="0018490F"/>
    <w:rsid w:val="00184946"/>
    <w:rsid w:val="0018494C"/>
    <w:rsid w:val="00184AE8"/>
    <w:rsid w:val="00184B7C"/>
    <w:rsid w:val="00184B89"/>
    <w:rsid w:val="00184C80"/>
    <w:rsid w:val="00184C91"/>
    <w:rsid w:val="00184D07"/>
    <w:rsid w:val="00184D10"/>
    <w:rsid w:val="00184D32"/>
    <w:rsid w:val="00184DB7"/>
    <w:rsid w:val="00184DDD"/>
    <w:rsid w:val="00184DDE"/>
    <w:rsid w:val="00184E26"/>
    <w:rsid w:val="00184E92"/>
    <w:rsid w:val="00184F7D"/>
    <w:rsid w:val="00184F96"/>
    <w:rsid w:val="00184F9F"/>
    <w:rsid w:val="0018506D"/>
    <w:rsid w:val="00185074"/>
    <w:rsid w:val="001850C4"/>
    <w:rsid w:val="00185106"/>
    <w:rsid w:val="0018515A"/>
    <w:rsid w:val="001851A0"/>
    <w:rsid w:val="00185288"/>
    <w:rsid w:val="001852C1"/>
    <w:rsid w:val="001852D2"/>
    <w:rsid w:val="001853BF"/>
    <w:rsid w:val="0018556F"/>
    <w:rsid w:val="0018557C"/>
    <w:rsid w:val="0018559A"/>
    <w:rsid w:val="001855B2"/>
    <w:rsid w:val="0018567E"/>
    <w:rsid w:val="00185748"/>
    <w:rsid w:val="00185798"/>
    <w:rsid w:val="001857F3"/>
    <w:rsid w:val="00185828"/>
    <w:rsid w:val="001858BE"/>
    <w:rsid w:val="0018596E"/>
    <w:rsid w:val="0018599D"/>
    <w:rsid w:val="001859AB"/>
    <w:rsid w:val="00185ABC"/>
    <w:rsid w:val="00185B23"/>
    <w:rsid w:val="00185C5A"/>
    <w:rsid w:val="00185D70"/>
    <w:rsid w:val="00185D72"/>
    <w:rsid w:val="00185ED0"/>
    <w:rsid w:val="00185F10"/>
    <w:rsid w:val="00185FD3"/>
    <w:rsid w:val="001860ED"/>
    <w:rsid w:val="0018611A"/>
    <w:rsid w:val="001862B2"/>
    <w:rsid w:val="001862CC"/>
    <w:rsid w:val="00186458"/>
    <w:rsid w:val="00186481"/>
    <w:rsid w:val="00186486"/>
    <w:rsid w:val="001864A1"/>
    <w:rsid w:val="0018650A"/>
    <w:rsid w:val="00186579"/>
    <w:rsid w:val="0018659B"/>
    <w:rsid w:val="0018659D"/>
    <w:rsid w:val="001865CC"/>
    <w:rsid w:val="00186629"/>
    <w:rsid w:val="001866F8"/>
    <w:rsid w:val="00186775"/>
    <w:rsid w:val="001867F4"/>
    <w:rsid w:val="00186A26"/>
    <w:rsid w:val="00186B67"/>
    <w:rsid w:val="00186BCD"/>
    <w:rsid w:val="00186C62"/>
    <w:rsid w:val="00186C9C"/>
    <w:rsid w:val="00186E1B"/>
    <w:rsid w:val="00186E67"/>
    <w:rsid w:val="00186FAA"/>
    <w:rsid w:val="00187028"/>
    <w:rsid w:val="0018705A"/>
    <w:rsid w:val="001870DD"/>
    <w:rsid w:val="001871B3"/>
    <w:rsid w:val="001871B9"/>
    <w:rsid w:val="001873B0"/>
    <w:rsid w:val="001873BE"/>
    <w:rsid w:val="00187442"/>
    <w:rsid w:val="00187444"/>
    <w:rsid w:val="00187553"/>
    <w:rsid w:val="00187573"/>
    <w:rsid w:val="00187869"/>
    <w:rsid w:val="001878AE"/>
    <w:rsid w:val="00187A8A"/>
    <w:rsid w:val="00187BCF"/>
    <w:rsid w:val="00187C1E"/>
    <w:rsid w:val="00187CA8"/>
    <w:rsid w:val="00187CB0"/>
    <w:rsid w:val="00187D4C"/>
    <w:rsid w:val="00187DE0"/>
    <w:rsid w:val="00190004"/>
    <w:rsid w:val="0019003D"/>
    <w:rsid w:val="001900C2"/>
    <w:rsid w:val="0019012B"/>
    <w:rsid w:val="0019014B"/>
    <w:rsid w:val="0019024E"/>
    <w:rsid w:val="001902D7"/>
    <w:rsid w:val="00190303"/>
    <w:rsid w:val="001903C2"/>
    <w:rsid w:val="0019042A"/>
    <w:rsid w:val="00190431"/>
    <w:rsid w:val="00190474"/>
    <w:rsid w:val="001904AA"/>
    <w:rsid w:val="00190522"/>
    <w:rsid w:val="00190542"/>
    <w:rsid w:val="00190556"/>
    <w:rsid w:val="001905A1"/>
    <w:rsid w:val="001905BC"/>
    <w:rsid w:val="001905DC"/>
    <w:rsid w:val="001906BF"/>
    <w:rsid w:val="00190716"/>
    <w:rsid w:val="00190760"/>
    <w:rsid w:val="00190968"/>
    <w:rsid w:val="001909C2"/>
    <w:rsid w:val="001909FA"/>
    <w:rsid w:val="00190AA0"/>
    <w:rsid w:val="00190AFA"/>
    <w:rsid w:val="00190B8C"/>
    <w:rsid w:val="00190C65"/>
    <w:rsid w:val="00190C8D"/>
    <w:rsid w:val="00190D1A"/>
    <w:rsid w:val="00190D49"/>
    <w:rsid w:val="00190DB1"/>
    <w:rsid w:val="00190EC1"/>
    <w:rsid w:val="00190EE5"/>
    <w:rsid w:val="00190EE6"/>
    <w:rsid w:val="00190F97"/>
    <w:rsid w:val="00190FB8"/>
    <w:rsid w:val="0019101A"/>
    <w:rsid w:val="00191043"/>
    <w:rsid w:val="00191163"/>
    <w:rsid w:val="00191298"/>
    <w:rsid w:val="0019133E"/>
    <w:rsid w:val="001913AB"/>
    <w:rsid w:val="001913FA"/>
    <w:rsid w:val="0019155C"/>
    <w:rsid w:val="001915F7"/>
    <w:rsid w:val="0019162C"/>
    <w:rsid w:val="001916BB"/>
    <w:rsid w:val="0019178A"/>
    <w:rsid w:val="001917BD"/>
    <w:rsid w:val="00191861"/>
    <w:rsid w:val="001918CC"/>
    <w:rsid w:val="001918ED"/>
    <w:rsid w:val="0019198B"/>
    <w:rsid w:val="001919D9"/>
    <w:rsid w:val="001919DD"/>
    <w:rsid w:val="001919F0"/>
    <w:rsid w:val="00191A2D"/>
    <w:rsid w:val="00191A9F"/>
    <w:rsid w:val="00191B6A"/>
    <w:rsid w:val="00191BC2"/>
    <w:rsid w:val="00191C49"/>
    <w:rsid w:val="00191CEC"/>
    <w:rsid w:val="00191D2A"/>
    <w:rsid w:val="00191D3F"/>
    <w:rsid w:val="00191DF3"/>
    <w:rsid w:val="00191E06"/>
    <w:rsid w:val="00191E09"/>
    <w:rsid w:val="00191E2D"/>
    <w:rsid w:val="00191E45"/>
    <w:rsid w:val="00191EBB"/>
    <w:rsid w:val="00191EEF"/>
    <w:rsid w:val="00191F1C"/>
    <w:rsid w:val="00191F5A"/>
    <w:rsid w:val="001920AA"/>
    <w:rsid w:val="001920BA"/>
    <w:rsid w:val="001920E6"/>
    <w:rsid w:val="00192168"/>
    <w:rsid w:val="0019223A"/>
    <w:rsid w:val="00192249"/>
    <w:rsid w:val="0019227F"/>
    <w:rsid w:val="001922EB"/>
    <w:rsid w:val="0019237B"/>
    <w:rsid w:val="001925EB"/>
    <w:rsid w:val="0019265C"/>
    <w:rsid w:val="001928D9"/>
    <w:rsid w:val="00192933"/>
    <w:rsid w:val="0019296E"/>
    <w:rsid w:val="00192B56"/>
    <w:rsid w:val="00192B5C"/>
    <w:rsid w:val="00192B7F"/>
    <w:rsid w:val="00192C0E"/>
    <w:rsid w:val="00192C3F"/>
    <w:rsid w:val="00192DA6"/>
    <w:rsid w:val="00192E02"/>
    <w:rsid w:val="00192E13"/>
    <w:rsid w:val="00192EBC"/>
    <w:rsid w:val="00193010"/>
    <w:rsid w:val="00193082"/>
    <w:rsid w:val="00193086"/>
    <w:rsid w:val="00193094"/>
    <w:rsid w:val="0019309C"/>
    <w:rsid w:val="001930C5"/>
    <w:rsid w:val="0019325F"/>
    <w:rsid w:val="00193285"/>
    <w:rsid w:val="0019336E"/>
    <w:rsid w:val="001933DB"/>
    <w:rsid w:val="00193430"/>
    <w:rsid w:val="001934C3"/>
    <w:rsid w:val="0019359E"/>
    <w:rsid w:val="00193664"/>
    <w:rsid w:val="00193680"/>
    <w:rsid w:val="00193707"/>
    <w:rsid w:val="00193733"/>
    <w:rsid w:val="00193816"/>
    <w:rsid w:val="001938A3"/>
    <w:rsid w:val="001939AD"/>
    <w:rsid w:val="00193A7A"/>
    <w:rsid w:val="00193AE1"/>
    <w:rsid w:val="00193B3C"/>
    <w:rsid w:val="00193BCC"/>
    <w:rsid w:val="00193C53"/>
    <w:rsid w:val="00193CCB"/>
    <w:rsid w:val="00193DC3"/>
    <w:rsid w:val="00193DE0"/>
    <w:rsid w:val="00193E8A"/>
    <w:rsid w:val="00193E9F"/>
    <w:rsid w:val="00193EBC"/>
    <w:rsid w:val="00193F43"/>
    <w:rsid w:val="00193FB8"/>
    <w:rsid w:val="00193FC9"/>
    <w:rsid w:val="0019401E"/>
    <w:rsid w:val="0019407A"/>
    <w:rsid w:val="0019415C"/>
    <w:rsid w:val="0019419A"/>
    <w:rsid w:val="0019425A"/>
    <w:rsid w:val="0019433F"/>
    <w:rsid w:val="001943FE"/>
    <w:rsid w:val="0019444B"/>
    <w:rsid w:val="001945EC"/>
    <w:rsid w:val="001945F2"/>
    <w:rsid w:val="001945FD"/>
    <w:rsid w:val="00194618"/>
    <w:rsid w:val="001947A0"/>
    <w:rsid w:val="001947C9"/>
    <w:rsid w:val="001948B8"/>
    <w:rsid w:val="00194951"/>
    <w:rsid w:val="00194956"/>
    <w:rsid w:val="001949CB"/>
    <w:rsid w:val="00194A11"/>
    <w:rsid w:val="00194A76"/>
    <w:rsid w:val="00194AF6"/>
    <w:rsid w:val="00194B0F"/>
    <w:rsid w:val="00194B5B"/>
    <w:rsid w:val="00194BA4"/>
    <w:rsid w:val="00194C3E"/>
    <w:rsid w:val="00194C46"/>
    <w:rsid w:val="00194C70"/>
    <w:rsid w:val="00194DAA"/>
    <w:rsid w:val="00194E04"/>
    <w:rsid w:val="00194E16"/>
    <w:rsid w:val="00194E81"/>
    <w:rsid w:val="00194EFB"/>
    <w:rsid w:val="00194F14"/>
    <w:rsid w:val="00194F25"/>
    <w:rsid w:val="0019503C"/>
    <w:rsid w:val="001950CA"/>
    <w:rsid w:val="0019512D"/>
    <w:rsid w:val="00195184"/>
    <w:rsid w:val="001951BB"/>
    <w:rsid w:val="00195232"/>
    <w:rsid w:val="00195290"/>
    <w:rsid w:val="00195334"/>
    <w:rsid w:val="00195359"/>
    <w:rsid w:val="001953DF"/>
    <w:rsid w:val="0019552D"/>
    <w:rsid w:val="00195567"/>
    <w:rsid w:val="00195636"/>
    <w:rsid w:val="0019564D"/>
    <w:rsid w:val="00195673"/>
    <w:rsid w:val="001956E5"/>
    <w:rsid w:val="0019573E"/>
    <w:rsid w:val="00195892"/>
    <w:rsid w:val="001958D0"/>
    <w:rsid w:val="00195917"/>
    <w:rsid w:val="0019592A"/>
    <w:rsid w:val="001959A4"/>
    <w:rsid w:val="001959D4"/>
    <w:rsid w:val="001959E4"/>
    <w:rsid w:val="001959F1"/>
    <w:rsid w:val="00195A38"/>
    <w:rsid w:val="00195AED"/>
    <w:rsid w:val="00195B9B"/>
    <w:rsid w:val="00195C08"/>
    <w:rsid w:val="00195C8E"/>
    <w:rsid w:val="00195E08"/>
    <w:rsid w:val="00195ECB"/>
    <w:rsid w:val="00195F19"/>
    <w:rsid w:val="00195F4D"/>
    <w:rsid w:val="00195F8C"/>
    <w:rsid w:val="001960D2"/>
    <w:rsid w:val="00196175"/>
    <w:rsid w:val="0019618D"/>
    <w:rsid w:val="001961CC"/>
    <w:rsid w:val="00196218"/>
    <w:rsid w:val="00196335"/>
    <w:rsid w:val="001963B1"/>
    <w:rsid w:val="00196402"/>
    <w:rsid w:val="001964C2"/>
    <w:rsid w:val="00196583"/>
    <w:rsid w:val="001965B9"/>
    <w:rsid w:val="00196698"/>
    <w:rsid w:val="001966FB"/>
    <w:rsid w:val="0019676A"/>
    <w:rsid w:val="00196779"/>
    <w:rsid w:val="001967A0"/>
    <w:rsid w:val="0019698B"/>
    <w:rsid w:val="001969A5"/>
    <w:rsid w:val="00196AB4"/>
    <w:rsid w:val="00196B84"/>
    <w:rsid w:val="00196C02"/>
    <w:rsid w:val="00196C4C"/>
    <w:rsid w:val="00196C50"/>
    <w:rsid w:val="00196D8D"/>
    <w:rsid w:val="00196DCF"/>
    <w:rsid w:val="00196E9A"/>
    <w:rsid w:val="00196ED2"/>
    <w:rsid w:val="00197002"/>
    <w:rsid w:val="00197026"/>
    <w:rsid w:val="00197061"/>
    <w:rsid w:val="0019711D"/>
    <w:rsid w:val="00197238"/>
    <w:rsid w:val="00197282"/>
    <w:rsid w:val="0019728C"/>
    <w:rsid w:val="001972D2"/>
    <w:rsid w:val="00197322"/>
    <w:rsid w:val="001973A5"/>
    <w:rsid w:val="00197426"/>
    <w:rsid w:val="001974D0"/>
    <w:rsid w:val="001974E0"/>
    <w:rsid w:val="001974E1"/>
    <w:rsid w:val="0019751F"/>
    <w:rsid w:val="0019753E"/>
    <w:rsid w:val="00197543"/>
    <w:rsid w:val="0019757C"/>
    <w:rsid w:val="001975EC"/>
    <w:rsid w:val="001975F5"/>
    <w:rsid w:val="001975FC"/>
    <w:rsid w:val="0019764E"/>
    <w:rsid w:val="001976CA"/>
    <w:rsid w:val="00197820"/>
    <w:rsid w:val="00197867"/>
    <w:rsid w:val="001978DE"/>
    <w:rsid w:val="0019793F"/>
    <w:rsid w:val="00197958"/>
    <w:rsid w:val="00197A92"/>
    <w:rsid w:val="00197AB8"/>
    <w:rsid w:val="00197C26"/>
    <w:rsid w:val="00197C8B"/>
    <w:rsid w:val="00197C97"/>
    <w:rsid w:val="00197CC3"/>
    <w:rsid w:val="00197D16"/>
    <w:rsid w:val="00197D50"/>
    <w:rsid w:val="00197E33"/>
    <w:rsid w:val="00197F21"/>
    <w:rsid w:val="00197FC3"/>
    <w:rsid w:val="00197FD8"/>
    <w:rsid w:val="00197FEF"/>
    <w:rsid w:val="00197FFB"/>
    <w:rsid w:val="001A007D"/>
    <w:rsid w:val="001A00B2"/>
    <w:rsid w:val="001A00E1"/>
    <w:rsid w:val="001A01EB"/>
    <w:rsid w:val="001A0272"/>
    <w:rsid w:val="001A02CB"/>
    <w:rsid w:val="001A0323"/>
    <w:rsid w:val="001A0361"/>
    <w:rsid w:val="001A036B"/>
    <w:rsid w:val="001A03D9"/>
    <w:rsid w:val="001A03F9"/>
    <w:rsid w:val="001A04A4"/>
    <w:rsid w:val="001A053E"/>
    <w:rsid w:val="001A0544"/>
    <w:rsid w:val="001A0588"/>
    <w:rsid w:val="001A05B3"/>
    <w:rsid w:val="001A0765"/>
    <w:rsid w:val="001A07C6"/>
    <w:rsid w:val="001A0802"/>
    <w:rsid w:val="001A0865"/>
    <w:rsid w:val="001A09DB"/>
    <w:rsid w:val="001A0A09"/>
    <w:rsid w:val="001A0B97"/>
    <w:rsid w:val="001A0C57"/>
    <w:rsid w:val="001A0D41"/>
    <w:rsid w:val="001A0D6A"/>
    <w:rsid w:val="001A0DA0"/>
    <w:rsid w:val="001A0F20"/>
    <w:rsid w:val="001A1064"/>
    <w:rsid w:val="001A1074"/>
    <w:rsid w:val="001A10D8"/>
    <w:rsid w:val="001A1115"/>
    <w:rsid w:val="001A114C"/>
    <w:rsid w:val="001A11B8"/>
    <w:rsid w:val="001A11C6"/>
    <w:rsid w:val="001A11D3"/>
    <w:rsid w:val="001A11D4"/>
    <w:rsid w:val="001A1278"/>
    <w:rsid w:val="001A12B1"/>
    <w:rsid w:val="001A12CE"/>
    <w:rsid w:val="001A1394"/>
    <w:rsid w:val="001A13A9"/>
    <w:rsid w:val="001A13D0"/>
    <w:rsid w:val="001A15A4"/>
    <w:rsid w:val="001A15CC"/>
    <w:rsid w:val="001A1681"/>
    <w:rsid w:val="001A1697"/>
    <w:rsid w:val="001A16C7"/>
    <w:rsid w:val="001A1743"/>
    <w:rsid w:val="001A1790"/>
    <w:rsid w:val="001A17A2"/>
    <w:rsid w:val="001A17C1"/>
    <w:rsid w:val="001A17F6"/>
    <w:rsid w:val="001A180F"/>
    <w:rsid w:val="001A1834"/>
    <w:rsid w:val="001A1A02"/>
    <w:rsid w:val="001A1BAA"/>
    <w:rsid w:val="001A1C06"/>
    <w:rsid w:val="001A1DBF"/>
    <w:rsid w:val="001A1E9C"/>
    <w:rsid w:val="001A1EA2"/>
    <w:rsid w:val="001A1ECC"/>
    <w:rsid w:val="001A1F0F"/>
    <w:rsid w:val="001A1FC0"/>
    <w:rsid w:val="001A20C8"/>
    <w:rsid w:val="001A2100"/>
    <w:rsid w:val="001A2191"/>
    <w:rsid w:val="001A224E"/>
    <w:rsid w:val="001A2283"/>
    <w:rsid w:val="001A236C"/>
    <w:rsid w:val="001A237D"/>
    <w:rsid w:val="001A23F6"/>
    <w:rsid w:val="001A2404"/>
    <w:rsid w:val="001A244B"/>
    <w:rsid w:val="001A24E1"/>
    <w:rsid w:val="001A2544"/>
    <w:rsid w:val="001A25A6"/>
    <w:rsid w:val="001A262C"/>
    <w:rsid w:val="001A26F6"/>
    <w:rsid w:val="001A27F3"/>
    <w:rsid w:val="001A282A"/>
    <w:rsid w:val="001A2840"/>
    <w:rsid w:val="001A2886"/>
    <w:rsid w:val="001A28D7"/>
    <w:rsid w:val="001A294D"/>
    <w:rsid w:val="001A2994"/>
    <w:rsid w:val="001A2A18"/>
    <w:rsid w:val="001A2A1B"/>
    <w:rsid w:val="001A2A21"/>
    <w:rsid w:val="001A2A59"/>
    <w:rsid w:val="001A2A92"/>
    <w:rsid w:val="001A2AE0"/>
    <w:rsid w:val="001A2B86"/>
    <w:rsid w:val="001A2B9C"/>
    <w:rsid w:val="001A2CC2"/>
    <w:rsid w:val="001A2CD4"/>
    <w:rsid w:val="001A2D62"/>
    <w:rsid w:val="001A2D82"/>
    <w:rsid w:val="001A2F66"/>
    <w:rsid w:val="001A2FFC"/>
    <w:rsid w:val="001A3037"/>
    <w:rsid w:val="001A313E"/>
    <w:rsid w:val="001A317F"/>
    <w:rsid w:val="001A31B1"/>
    <w:rsid w:val="001A339A"/>
    <w:rsid w:val="001A344A"/>
    <w:rsid w:val="001A349D"/>
    <w:rsid w:val="001A34DC"/>
    <w:rsid w:val="001A3519"/>
    <w:rsid w:val="001A35C0"/>
    <w:rsid w:val="001A365C"/>
    <w:rsid w:val="001A36FE"/>
    <w:rsid w:val="001A3712"/>
    <w:rsid w:val="001A380B"/>
    <w:rsid w:val="001A3A74"/>
    <w:rsid w:val="001A3AB7"/>
    <w:rsid w:val="001A3B79"/>
    <w:rsid w:val="001A3CFE"/>
    <w:rsid w:val="001A3D71"/>
    <w:rsid w:val="001A3DAF"/>
    <w:rsid w:val="001A3E10"/>
    <w:rsid w:val="001A3E11"/>
    <w:rsid w:val="001A3E12"/>
    <w:rsid w:val="001A3EF1"/>
    <w:rsid w:val="001A3F53"/>
    <w:rsid w:val="001A3F5A"/>
    <w:rsid w:val="001A3F8B"/>
    <w:rsid w:val="001A4112"/>
    <w:rsid w:val="001A4141"/>
    <w:rsid w:val="001A415C"/>
    <w:rsid w:val="001A41F1"/>
    <w:rsid w:val="001A4203"/>
    <w:rsid w:val="001A42F2"/>
    <w:rsid w:val="001A42FB"/>
    <w:rsid w:val="001A432B"/>
    <w:rsid w:val="001A4373"/>
    <w:rsid w:val="001A44DC"/>
    <w:rsid w:val="001A45F6"/>
    <w:rsid w:val="001A4610"/>
    <w:rsid w:val="001A46B3"/>
    <w:rsid w:val="001A46DF"/>
    <w:rsid w:val="001A46EA"/>
    <w:rsid w:val="001A4793"/>
    <w:rsid w:val="001A4913"/>
    <w:rsid w:val="001A497C"/>
    <w:rsid w:val="001A497D"/>
    <w:rsid w:val="001A4A1B"/>
    <w:rsid w:val="001A4A44"/>
    <w:rsid w:val="001A4C7E"/>
    <w:rsid w:val="001A4D01"/>
    <w:rsid w:val="001A4E1B"/>
    <w:rsid w:val="001A4F1F"/>
    <w:rsid w:val="001A4F3A"/>
    <w:rsid w:val="001A4FD3"/>
    <w:rsid w:val="001A5039"/>
    <w:rsid w:val="001A50E5"/>
    <w:rsid w:val="001A5165"/>
    <w:rsid w:val="001A51DE"/>
    <w:rsid w:val="001A537A"/>
    <w:rsid w:val="001A5391"/>
    <w:rsid w:val="001A542D"/>
    <w:rsid w:val="001A54D8"/>
    <w:rsid w:val="001A5565"/>
    <w:rsid w:val="001A558E"/>
    <w:rsid w:val="001A5695"/>
    <w:rsid w:val="001A56A0"/>
    <w:rsid w:val="001A5894"/>
    <w:rsid w:val="001A596E"/>
    <w:rsid w:val="001A59AA"/>
    <w:rsid w:val="001A5A55"/>
    <w:rsid w:val="001A5B14"/>
    <w:rsid w:val="001A5BB0"/>
    <w:rsid w:val="001A5CC4"/>
    <w:rsid w:val="001A5CCD"/>
    <w:rsid w:val="001A5D6E"/>
    <w:rsid w:val="001A5EA5"/>
    <w:rsid w:val="001A5EF5"/>
    <w:rsid w:val="001A5F54"/>
    <w:rsid w:val="001A5F73"/>
    <w:rsid w:val="001A5F76"/>
    <w:rsid w:val="001A6042"/>
    <w:rsid w:val="001A60FC"/>
    <w:rsid w:val="001A6378"/>
    <w:rsid w:val="001A63EC"/>
    <w:rsid w:val="001A6420"/>
    <w:rsid w:val="001A6471"/>
    <w:rsid w:val="001A6575"/>
    <w:rsid w:val="001A65B9"/>
    <w:rsid w:val="001A660C"/>
    <w:rsid w:val="001A661F"/>
    <w:rsid w:val="001A6624"/>
    <w:rsid w:val="001A668E"/>
    <w:rsid w:val="001A66A1"/>
    <w:rsid w:val="001A6846"/>
    <w:rsid w:val="001A690F"/>
    <w:rsid w:val="001A69AE"/>
    <w:rsid w:val="001A6A00"/>
    <w:rsid w:val="001A6A0C"/>
    <w:rsid w:val="001A6A90"/>
    <w:rsid w:val="001A6AE7"/>
    <w:rsid w:val="001A6B4F"/>
    <w:rsid w:val="001A6C16"/>
    <w:rsid w:val="001A6D7A"/>
    <w:rsid w:val="001A6DBE"/>
    <w:rsid w:val="001A6E08"/>
    <w:rsid w:val="001A6E59"/>
    <w:rsid w:val="001A6F1C"/>
    <w:rsid w:val="001A6F48"/>
    <w:rsid w:val="001A6FD2"/>
    <w:rsid w:val="001A7114"/>
    <w:rsid w:val="001A7220"/>
    <w:rsid w:val="001A724A"/>
    <w:rsid w:val="001A72A1"/>
    <w:rsid w:val="001A72B8"/>
    <w:rsid w:val="001A7327"/>
    <w:rsid w:val="001A7389"/>
    <w:rsid w:val="001A74BF"/>
    <w:rsid w:val="001A7642"/>
    <w:rsid w:val="001A765F"/>
    <w:rsid w:val="001A7699"/>
    <w:rsid w:val="001A776A"/>
    <w:rsid w:val="001A778D"/>
    <w:rsid w:val="001A77BF"/>
    <w:rsid w:val="001A78AF"/>
    <w:rsid w:val="001A796E"/>
    <w:rsid w:val="001A7972"/>
    <w:rsid w:val="001A79EA"/>
    <w:rsid w:val="001A7A1E"/>
    <w:rsid w:val="001A7AB4"/>
    <w:rsid w:val="001A7AE9"/>
    <w:rsid w:val="001A7B14"/>
    <w:rsid w:val="001A7B35"/>
    <w:rsid w:val="001A7B3D"/>
    <w:rsid w:val="001A7C29"/>
    <w:rsid w:val="001A7C8B"/>
    <w:rsid w:val="001A7D0F"/>
    <w:rsid w:val="001A7DC7"/>
    <w:rsid w:val="001A7E0E"/>
    <w:rsid w:val="001A7E22"/>
    <w:rsid w:val="001A7E46"/>
    <w:rsid w:val="001A7E71"/>
    <w:rsid w:val="001A7EAC"/>
    <w:rsid w:val="001A7F9D"/>
    <w:rsid w:val="001B0000"/>
    <w:rsid w:val="001B0011"/>
    <w:rsid w:val="001B0131"/>
    <w:rsid w:val="001B0145"/>
    <w:rsid w:val="001B0226"/>
    <w:rsid w:val="001B0276"/>
    <w:rsid w:val="001B02E9"/>
    <w:rsid w:val="001B0386"/>
    <w:rsid w:val="001B0388"/>
    <w:rsid w:val="001B04C4"/>
    <w:rsid w:val="001B04D2"/>
    <w:rsid w:val="001B04EC"/>
    <w:rsid w:val="001B04EE"/>
    <w:rsid w:val="001B0519"/>
    <w:rsid w:val="001B05AE"/>
    <w:rsid w:val="001B05C0"/>
    <w:rsid w:val="001B0748"/>
    <w:rsid w:val="001B07A0"/>
    <w:rsid w:val="001B07D1"/>
    <w:rsid w:val="001B083A"/>
    <w:rsid w:val="001B0847"/>
    <w:rsid w:val="001B08EA"/>
    <w:rsid w:val="001B08EF"/>
    <w:rsid w:val="001B09B0"/>
    <w:rsid w:val="001B09F4"/>
    <w:rsid w:val="001B09FF"/>
    <w:rsid w:val="001B0AD8"/>
    <w:rsid w:val="001B0B0E"/>
    <w:rsid w:val="001B0BC0"/>
    <w:rsid w:val="001B0CAF"/>
    <w:rsid w:val="001B0CBB"/>
    <w:rsid w:val="001B0CCB"/>
    <w:rsid w:val="001B0D93"/>
    <w:rsid w:val="001B0EEC"/>
    <w:rsid w:val="001B1008"/>
    <w:rsid w:val="001B10FB"/>
    <w:rsid w:val="001B1144"/>
    <w:rsid w:val="001B116F"/>
    <w:rsid w:val="001B12B4"/>
    <w:rsid w:val="001B133C"/>
    <w:rsid w:val="001B1341"/>
    <w:rsid w:val="001B1407"/>
    <w:rsid w:val="001B143F"/>
    <w:rsid w:val="001B14C2"/>
    <w:rsid w:val="001B151A"/>
    <w:rsid w:val="001B1636"/>
    <w:rsid w:val="001B1668"/>
    <w:rsid w:val="001B16EF"/>
    <w:rsid w:val="001B1715"/>
    <w:rsid w:val="001B17B2"/>
    <w:rsid w:val="001B182A"/>
    <w:rsid w:val="001B182D"/>
    <w:rsid w:val="001B1839"/>
    <w:rsid w:val="001B18D7"/>
    <w:rsid w:val="001B19EF"/>
    <w:rsid w:val="001B1B14"/>
    <w:rsid w:val="001B1B5A"/>
    <w:rsid w:val="001B1C4B"/>
    <w:rsid w:val="001B1C52"/>
    <w:rsid w:val="001B1C72"/>
    <w:rsid w:val="001B1D47"/>
    <w:rsid w:val="001B1EEA"/>
    <w:rsid w:val="001B1F27"/>
    <w:rsid w:val="001B1F7F"/>
    <w:rsid w:val="001B1FA7"/>
    <w:rsid w:val="001B2008"/>
    <w:rsid w:val="001B2028"/>
    <w:rsid w:val="001B222C"/>
    <w:rsid w:val="001B2341"/>
    <w:rsid w:val="001B23E1"/>
    <w:rsid w:val="001B252A"/>
    <w:rsid w:val="001B25C0"/>
    <w:rsid w:val="001B26E3"/>
    <w:rsid w:val="001B27DE"/>
    <w:rsid w:val="001B27E3"/>
    <w:rsid w:val="001B2940"/>
    <w:rsid w:val="001B29F6"/>
    <w:rsid w:val="001B2A9D"/>
    <w:rsid w:val="001B2AB1"/>
    <w:rsid w:val="001B2AE0"/>
    <w:rsid w:val="001B2C21"/>
    <w:rsid w:val="001B2C30"/>
    <w:rsid w:val="001B2CAD"/>
    <w:rsid w:val="001B2CB6"/>
    <w:rsid w:val="001B2CBA"/>
    <w:rsid w:val="001B2D9B"/>
    <w:rsid w:val="001B2E99"/>
    <w:rsid w:val="001B2EB8"/>
    <w:rsid w:val="001B2F4B"/>
    <w:rsid w:val="001B2F8D"/>
    <w:rsid w:val="001B30AD"/>
    <w:rsid w:val="001B3129"/>
    <w:rsid w:val="001B3147"/>
    <w:rsid w:val="001B314B"/>
    <w:rsid w:val="001B3214"/>
    <w:rsid w:val="001B331B"/>
    <w:rsid w:val="001B334E"/>
    <w:rsid w:val="001B33C5"/>
    <w:rsid w:val="001B3412"/>
    <w:rsid w:val="001B3474"/>
    <w:rsid w:val="001B3667"/>
    <w:rsid w:val="001B36DF"/>
    <w:rsid w:val="001B3735"/>
    <w:rsid w:val="001B382E"/>
    <w:rsid w:val="001B383B"/>
    <w:rsid w:val="001B3849"/>
    <w:rsid w:val="001B3872"/>
    <w:rsid w:val="001B38E0"/>
    <w:rsid w:val="001B38EF"/>
    <w:rsid w:val="001B3A86"/>
    <w:rsid w:val="001B3A99"/>
    <w:rsid w:val="001B3AA1"/>
    <w:rsid w:val="001B3AFC"/>
    <w:rsid w:val="001B3B66"/>
    <w:rsid w:val="001B3B9A"/>
    <w:rsid w:val="001B3C98"/>
    <w:rsid w:val="001B3CE5"/>
    <w:rsid w:val="001B3CE7"/>
    <w:rsid w:val="001B3DB9"/>
    <w:rsid w:val="001B3E18"/>
    <w:rsid w:val="001B4003"/>
    <w:rsid w:val="001B40B9"/>
    <w:rsid w:val="001B40BA"/>
    <w:rsid w:val="001B41BF"/>
    <w:rsid w:val="001B4310"/>
    <w:rsid w:val="001B4335"/>
    <w:rsid w:val="001B43C3"/>
    <w:rsid w:val="001B43E6"/>
    <w:rsid w:val="001B43FD"/>
    <w:rsid w:val="001B4471"/>
    <w:rsid w:val="001B4504"/>
    <w:rsid w:val="001B4519"/>
    <w:rsid w:val="001B45B2"/>
    <w:rsid w:val="001B4620"/>
    <w:rsid w:val="001B4634"/>
    <w:rsid w:val="001B4644"/>
    <w:rsid w:val="001B469B"/>
    <w:rsid w:val="001B469F"/>
    <w:rsid w:val="001B46A5"/>
    <w:rsid w:val="001B4720"/>
    <w:rsid w:val="001B473F"/>
    <w:rsid w:val="001B47A1"/>
    <w:rsid w:val="001B47EB"/>
    <w:rsid w:val="001B4832"/>
    <w:rsid w:val="001B4859"/>
    <w:rsid w:val="001B487C"/>
    <w:rsid w:val="001B4AB5"/>
    <w:rsid w:val="001B4AB7"/>
    <w:rsid w:val="001B4AEE"/>
    <w:rsid w:val="001B4AFC"/>
    <w:rsid w:val="001B4B28"/>
    <w:rsid w:val="001B4BDF"/>
    <w:rsid w:val="001B4CFB"/>
    <w:rsid w:val="001B4D52"/>
    <w:rsid w:val="001B4E51"/>
    <w:rsid w:val="001B4E56"/>
    <w:rsid w:val="001B4E9B"/>
    <w:rsid w:val="001B4EBB"/>
    <w:rsid w:val="001B4EC1"/>
    <w:rsid w:val="001B5002"/>
    <w:rsid w:val="001B5014"/>
    <w:rsid w:val="001B50F5"/>
    <w:rsid w:val="001B5130"/>
    <w:rsid w:val="001B5165"/>
    <w:rsid w:val="001B51B8"/>
    <w:rsid w:val="001B51D0"/>
    <w:rsid w:val="001B51D5"/>
    <w:rsid w:val="001B51E3"/>
    <w:rsid w:val="001B5308"/>
    <w:rsid w:val="001B5320"/>
    <w:rsid w:val="001B532D"/>
    <w:rsid w:val="001B5346"/>
    <w:rsid w:val="001B5394"/>
    <w:rsid w:val="001B53AF"/>
    <w:rsid w:val="001B5429"/>
    <w:rsid w:val="001B5437"/>
    <w:rsid w:val="001B5655"/>
    <w:rsid w:val="001B5689"/>
    <w:rsid w:val="001B56D4"/>
    <w:rsid w:val="001B5795"/>
    <w:rsid w:val="001B5847"/>
    <w:rsid w:val="001B584A"/>
    <w:rsid w:val="001B5851"/>
    <w:rsid w:val="001B585F"/>
    <w:rsid w:val="001B5863"/>
    <w:rsid w:val="001B58FF"/>
    <w:rsid w:val="001B5906"/>
    <w:rsid w:val="001B592A"/>
    <w:rsid w:val="001B5982"/>
    <w:rsid w:val="001B5AA8"/>
    <w:rsid w:val="001B5B4A"/>
    <w:rsid w:val="001B5B98"/>
    <w:rsid w:val="001B5BE4"/>
    <w:rsid w:val="001B5C0D"/>
    <w:rsid w:val="001B5D1E"/>
    <w:rsid w:val="001B5E7F"/>
    <w:rsid w:val="001B600B"/>
    <w:rsid w:val="001B60B6"/>
    <w:rsid w:val="001B60E9"/>
    <w:rsid w:val="001B610C"/>
    <w:rsid w:val="001B6130"/>
    <w:rsid w:val="001B6140"/>
    <w:rsid w:val="001B61A1"/>
    <w:rsid w:val="001B61A3"/>
    <w:rsid w:val="001B61FF"/>
    <w:rsid w:val="001B62FF"/>
    <w:rsid w:val="001B630D"/>
    <w:rsid w:val="001B6339"/>
    <w:rsid w:val="001B63C2"/>
    <w:rsid w:val="001B6435"/>
    <w:rsid w:val="001B6599"/>
    <w:rsid w:val="001B667E"/>
    <w:rsid w:val="001B6699"/>
    <w:rsid w:val="001B6797"/>
    <w:rsid w:val="001B67E0"/>
    <w:rsid w:val="001B685B"/>
    <w:rsid w:val="001B6895"/>
    <w:rsid w:val="001B6B6F"/>
    <w:rsid w:val="001B6C0C"/>
    <w:rsid w:val="001B6C88"/>
    <w:rsid w:val="001B6C8B"/>
    <w:rsid w:val="001B6DBD"/>
    <w:rsid w:val="001B6E30"/>
    <w:rsid w:val="001B70AB"/>
    <w:rsid w:val="001B7125"/>
    <w:rsid w:val="001B712F"/>
    <w:rsid w:val="001B7196"/>
    <w:rsid w:val="001B71D4"/>
    <w:rsid w:val="001B725D"/>
    <w:rsid w:val="001B7317"/>
    <w:rsid w:val="001B7321"/>
    <w:rsid w:val="001B738C"/>
    <w:rsid w:val="001B741B"/>
    <w:rsid w:val="001B74FD"/>
    <w:rsid w:val="001B7503"/>
    <w:rsid w:val="001B754A"/>
    <w:rsid w:val="001B7564"/>
    <w:rsid w:val="001B759D"/>
    <w:rsid w:val="001B75B0"/>
    <w:rsid w:val="001B76D8"/>
    <w:rsid w:val="001B776D"/>
    <w:rsid w:val="001B77CE"/>
    <w:rsid w:val="001B7844"/>
    <w:rsid w:val="001B78E2"/>
    <w:rsid w:val="001B790E"/>
    <w:rsid w:val="001B791D"/>
    <w:rsid w:val="001B794E"/>
    <w:rsid w:val="001B7A06"/>
    <w:rsid w:val="001B7A44"/>
    <w:rsid w:val="001B7ABC"/>
    <w:rsid w:val="001B7AFB"/>
    <w:rsid w:val="001B7B15"/>
    <w:rsid w:val="001B7B77"/>
    <w:rsid w:val="001B7B7E"/>
    <w:rsid w:val="001B7BFD"/>
    <w:rsid w:val="001B7CEF"/>
    <w:rsid w:val="001B7CFB"/>
    <w:rsid w:val="001B7D29"/>
    <w:rsid w:val="001B7DC4"/>
    <w:rsid w:val="001B7EAD"/>
    <w:rsid w:val="001B7F28"/>
    <w:rsid w:val="001C02E9"/>
    <w:rsid w:val="001C03DA"/>
    <w:rsid w:val="001C03EA"/>
    <w:rsid w:val="001C063E"/>
    <w:rsid w:val="001C0669"/>
    <w:rsid w:val="001C092F"/>
    <w:rsid w:val="001C09AE"/>
    <w:rsid w:val="001C0A4D"/>
    <w:rsid w:val="001C0AC2"/>
    <w:rsid w:val="001C0AD7"/>
    <w:rsid w:val="001C0BCC"/>
    <w:rsid w:val="001C0C1F"/>
    <w:rsid w:val="001C0C20"/>
    <w:rsid w:val="001C0C34"/>
    <w:rsid w:val="001C0CE8"/>
    <w:rsid w:val="001C0DB5"/>
    <w:rsid w:val="001C0DF4"/>
    <w:rsid w:val="001C0DF7"/>
    <w:rsid w:val="001C0E58"/>
    <w:rsid w:val="001C0F14"/>
    <w:rsid w:val="001C0F3C"/>
    <w:rsid w:val="001C0F7E"/>
    <w:rsid w:val="001C1045"/>
    <w:rsid w:val="001C108D"/>
    <w:rsid w:val="001C10C3"/>
    <w:rsid w:val="001C12B8"/>
    <w:rsid w:val="001C1378"/>
    <w:rsid w:val="001C13D9"/>
    <w:rsid w:val="001C14DF"/>
    <w:rsid w:val="001C15B8"/>
    <w:rsid w:val="001C1718"/>
    <w:rsid w:val="001C1729"/>
    <w:rsid w:val="001C1765"/>
    <w:rsid w:val="001C183A"/>
    <w:rsid w:val="001C18CE"/>
    <w:rsid w:val="001C18E5"/>
    <w:rsid w:val="001C19E6"/>
    <w:rsid w:val="001C1A30"/>
    <w:rsid w:val="001C1AA2"/>
    <w:rsid w:val="001C1B18"/>
    <w:rsid w:val="001C1B7C"/>
    <w:rsid w:val="001C1BAE"/>
    <w:rsid w:val="001C1BEC"/>
    <w:rsid w:val="001C1BEF"/>
    <w:rsid w:val="001C1C03"/>
    <w:rsid w:val="001C1D3D"/>
    <w:rsid w:val="001C1DAA"/>
    <w:rsid w:val="001C1E50"/>
    <w:rsid w:val="001C1E6E"/>
    <w:rsid w:val="001C208B"/>
    <w:rsid w:val="001C20B6"/>
    <w:rsid w:val="001C20DB"/>
    <w:rsid w:val="001C20F9"/>
    <w:rsid w:val="001C2168"/>
    <w:rsid w:val="001C21D0"/>
    <w:rsid w:val="001C21FF"/>
    <w:rsid w:val="001C2303"/>
    <w:rsid w:val="001C2304"/>
    <w:rsid w:val="001C235B"/>
    <w:rsid w:val="001C24DC"/>
    <w:rsid w:val="001C2569"/>
    <w:rsid w:val="001C2597"/>
    <w:rsid w:val="001C25CA"/>
    <w:rsid w:val="001C264D"/>
    <w:rsid w:val="001C268E"/>
    <w:rsid w:val="001C26AB"/>
    <w:rsid w:val="001C270C"/>
    <w:rsid w:val="001C28A2"/>
    <w:rsid w:val="001C28A4"/>
    <w:rsid w:val="001C28E2"/>
    <w:rsid w:val="001C298C"/>
    <w:rsid w:val="001C29FE"/>
    <w:rsid w:val="001C2A0B"/>
    <w:rsid w:val="001C2AB3"/>
    <w:rsid w:val="001C2B3D"/>
    <w:rsid w:val="001C2B65"/>
    <w:rsid w:val="001C2B66"/>
    <w:rsid w:val="001C2CD6"/>
    <w:rsid w:val="001C2CF4"/>
    <w:rsid w:val="001C2DBD"/>
    <w:rsid w:val="001C2DBE"/>
    <w:rsid w:val="001C2DC7"/>
    <w:rsid w:val="001C2DE2"/>
    <w:rsid w:val="001C2E4E"/>
    <w:rsid w:val="001C2ECF"/>
    <w:rsid w:val="001C2F84"/>
    <w:rsid w:val="001C318E"/>
    <w:rsid w:val="001C3448"/>
    <w:rsid w:val="001C34A9"/>
    <w:rsid w:val="001C3548"/>
    <w:rsid w:val="001C357E"/>
    <w:rsid w:val="001C358D"/>
    <w:rsid w:val="001C35B8"/>
    <w:rsid w:val="001C35D2"/>
    <w:rsid w:val="001C3689"/>
    <w:rsid w:val="001C3780"/>
    <w:rsid w:val="001C378D"/>
    <w:rsid w:val="001C383E"/>
    <w:rsid w:val="001C38E2"/>
    <w:rsid w:val="001C38F9"/>
    <w:rsid w:val="001C3A41"/>
    <w:rsid w:val="001C3B5E"/>
    <w:rsid w:val="001C3B8C"/>
    <w:rsid w:val="001C3BB1"/>
    <w:rsid w:val="001C3CF6"/>
    <w:rsid w:val="001C3D22"/>
    <w:rsid w:val="001C3E6D"/>
    <w:rsid w:val="001C3EC5"/>
    <w:rsid w:val="001C3ED6"/>
    <w:rsid w:val="001C3EFE"/>
    <w:rsid w:val="001C4052"/>
    <w:rsid w:val="001C40A0"/>
    <w:rsid w:val="001C4166"/>
    <w:rsid w:val="001C417F"/>
    <w:rsid w:val="001C41A6"/>
    <w:rsid w:val="001C41CC"/>
    <w:rsid w:val="001C429F"/>
    <w:rsid w:val="001C439B"/>
    <w:rsid w:val="001C442D"/>
    <w:rsid w:val="001C44B5"/>
    <w:rsid w:val="001C4570"/>
    <w:rsid w:val="001C4594"/>
    <w:rsid w:val="001C465D"/>
    <w:rsid w:val="001C4694"/>
    <w:rsid w:val="001C473C"/>
    <w:rsid w:val="001C47D1"/>
    <w:rsid w:val="001C48C5"/>
    <w:rsid w:val="001C49DC"/>
    <w:rsid w:val="001C49E5"/>
    <w:rsid w:val="001C4A46"/>
    <w:rsid w:val="001C4A58"/>
    <w:rsid w:val="001C4A86"/>
    <w:rsid w:val="001C4C82"/>
    <w:rsid w:val="001C4CAE"/>
    <w:rsid w:val="001C4CE8"/>
    <w:rsid w:val="001C4E0B"/>
    <w:rsid w:val="001C4E0F"/>
    <w:rsid w:val="001C4E4D"/>
    <w:rsid w:val="001C4E63"/>
    <w:rsid w:val="001C4EC3"/>
    <w:rsid w:val="001C5184"/>
    <w:rsid w:val="001C51A4"/>
    <w:rsid w:val="001C521F"/>
    <w:rsid w:val="001C5280"/>
    <w:rsid w:val="001C5480"/>
    <w:rsid w:val="001C549A"/>
    <w:rsid w:val="001C5611"/>
    <w:rsid w:val="001C562F"/>
    <w:rsid w:val="001C567A"/>
    <w:rsid w:val="001C56FE"/>
    <w:rsid w:val="001C5708"/>
    <w:rsid w:val="001C5802"/>
    <w:rsid w:val="001C5853"/>
    <w:rsid w:val="001C58D2"/>
    <w:rsid w:val="001C599B"/>
    <w:rsid w:val="001C59BC"/>
    <w:rsid w:val="001C5A7A"/>
    <w:rsid w:val="001C5AB0"/>
    <w:rsid w:val="001C5BB8"/>
    <w:rsid w:val="001C5BF1"/>
    <w:rsid w:val="001C5F62"/>
    <w:rsid w:val="001C605A"/>
    <w:rsid w:val="001C6070"/>
    <w:rsid w:val="001C6083"/>
    <w:rsid w:val="001C6087"/>
    <w:rsid w:val="001C60AF"/>
    <w:rsid w:val="001C60EE"/>
    <w:rsid w:val="001C610B"/>
    <w:rsid w:val="001C61C0"/>
    <w:rsid w:val="001C6350"/>
    <w:rsid w:val="001C6467"/>
    <w:rsid w:val="001C64F3"/>
    <w:rsid w:val="001C65CD"/>
    <w:rsid w:val="001C65CE"/>
    <w:rsid w:val="001C65F9"/>
    <w:rsid w:val="001C6601"/>
    <w:rsid w:val="001C6689"/>
    <w:rsid w:val="001C6693"/>
    <w:rsid w:val="001C66A5"/>
    <w:rsid w:val="001C66BC"/>
    <w:rsid w:val="001C66E1"/>
    <w:rsid w:val="001C67E6"/>
    <w:rsid w:val="001C6888"/>
    <w:rsid w:val="001C696F"/>
    <w:rsid w:val="001C69B0"/>
    <w:rsid w:val="001C69C5"/>
    <w:rsid w:val="001C6A60"/>
    <w:rsid w:val="001C6A9E"/>
    <w:rsid w:val="001C6C15"/>
    <w:rsid w:val="001C6DBD"/>
    <w:rsid w:val="001C6ED8"/>
    <w:rsid w:val="001C6EDC"/>
    <w:rsid w:val="001C6F5F"/>
    <w:rsid w:val="001C6F64"/>
    <w:rsid w:val="001C6F97"/>
    <w:rsid w:val="001C71C2"/>
    <w:rsid w:val="001C7299"/>
    <w:rsid w:val="001C7348"/>
    <w:rsid w:val="001C742B"/>
    <w:rsid w:val="001C7468"/>
    <w:rsid w:val="001C75F3"/>
    <w:rsid w:val="001C75F7"/>
    <w:rsid w:val="001C7740"/>
    <w:rsid w:val="001C774C"/>
    <w:rsid w:val="001C7840"/>
    <w:rsid w:val="001C789C"/>
    <w:rsid w:val="001C78A0"/>
    <w:rsid w:val="001C78A7"/>
    <w:rsid w:val="001C78EF"/>
    <w:rsid w:val="001C797C"/>
    <w:rsid w:val="001C7A01"/>
    <w:rsid w:val="001C7A18"/>
    <w:rsid w:val="001C7A8B"/>
    <w:rsid w:val="001C7AC2"/>
    <w:rsid w:val="001C7AD3"/>
    <w:rsid w:val="001C7AFC"/>
    <w:rsid w:val="001C7B7E"/>
    <w:rsid w:val="001C7B9E"/>
    <w:rsid w:val="001C7BA1"/>
    <w:rsid w:val="001C7C33"/>
    <w:rsid w:val="001C7C98"/>
    <w:rsid w:val="001C7D45"/>
    <w:rsid w:val="001C7D9A"/>
    <w:rsid w:val="001C7DA8"/>
    <w:rsid w:val="001C7DF1"/>
    <w:rsid w:val="001C7E2D"/>
    <w:rsid w:val="001C7E5F"/>
    <w:rsid w:val="001C7EE1"/>
    <w:rsid w:val="001C7FF6"/>
    <w:rsid w:val="001D01BE"/>
    <w:rsid w:val="001D022D"/>
    <w:rsid w:val="001D032F"/>
    <w:rsid w:val="001D04A6"/>
    <w:rsid w:val="001D04C6"/>
    <w:rsid w:val="001D04F2"/>
    <w:rsid w:val="001D0505"/>
    <w:rsid w:val="001D059D"/>
    <w:rsid w:val="001D059F"/>
    <w:rsid w:val="001D0622"/>
    <w:rsid w:val="001D066A"/>
    <w:rsid w:val="001D0687"/>
    <w:rsid w:val="001D0718"/>
    <w:rsid w:val="001D071A"/>
    <w:rsid w:val="001D079C"/>
    <w:rsid w:val="001D07D6"/>
    <w:rsid w:val="001D07D9"/>
    <w:rsid w:val="001D07F3"/>
    <w:rsid w:val="001D085E"/>
    <w:rsid w:val="001D08C1"/>
    <w:rsid w:val="001D09D0"/>
    <w:rsid w:val="001D0AAF"/>
    <w:rsid w:val="001D0AB5"/>
    <w:rsid w:val="001D0BD1"/>
    <w:rsid w:val="001D0BDA"/>
    <w:rsid w:val="001D0C1D"/>
    <w:rsid w:val="001D0CD0"/>
    <w:rsid w:val="001D0CF5"/>
    <w:rsid w:val="001D0CFB"/>
    <w:rsid w:val="001D0D08"/>
    <w:rsid w:val="001D0DDB"/>
    <w:rsid w:val="001D0EB2"/>
    <w:rsid w:val="001D0EE4"/>
    <w:rsid w:val="001D10AD"/>
    <w:rsid w:val="001D1196"/>
    <w:rsid w:val="001D119B"/>
    <w:rsid w:val="001D11EC"/>
    <w:rsid w:val="001D121A"/>
    <w:rsid w:val="001D12FD"/>
    <w:rsid w:val="001D1336"/>
    <w:rsid w:val="001D13BE"/>
    <w:rsid w:val="001D13E3"/>
    <w:rsid w:val="001D1429"/>
    <w:rsid w:val="001D14AB"/>
    <w:rsid w:val="001D1504"/>
    <w:rsid w:val="001D1534"/>
    <w:rsid w:val="001D15C4"/>
    <w:rsid w:val="001D15DA"/>
    <w:rsid w:val="001D16FE"/>
    <w:rsid w:val="001D1737"/>
    <w:rsid w:val="001D1745"/>
    <w:rsid w:val="001D179B"/>
    <w:rsid w:val="001D18C0"/>
    <w:rsid w:val="001D197D"/>
    <w:rsid w:val="001D19C0"/>
    <w:rsid w:val="001D1AB0"/>
    <w:rsid w:val="001D1B3A"/>
    <w:rsid w:val="001D1CB9"/>
    <w:rsid w:val="001D1D84"/>
    <w:rsid w:val="001D1DD8"/>
    <w:rsid w:val="001D1DEB"/>
    <w:rsid w:val="001D1E5D"/>
    <w:rsid w:val="001D1E77"/>
    <w:rsid w:val="001D1F28"/>
    <w:rsid w:val="001D1F45"/>
    <w:rsid w:val="001D1F4E"/>
    <w:rsid w:val="001D1FA6"/>
    <w:rsid w:val="001D203F"/>
    <w:rsid w:val="001D2183"/>
    <w:rsid w:val="001D21C4"/>
    <w:rsid w:val="001D21F6"/>
    <w:rsid w:val="001D2212"/>
    <w:rsid w:val="001D2221"/>
    <w:rsid w:val="001D2284"/>
    <w:rsid w:val="001D2314"/>
    <w:rsid w:val="001D2339"/>
    <w:rsid w:val="001D247A"/>
    <w:rsid w:val="001D24D7"/>
    <w:rsid w:val="001D284F"/>
    <w:rsid w:val="001D289F"/>
    <w:rsid w:val="001D28B4"/>
    <w:rsid w:val="001D292E"/>
    <w:rsid w:val="001D2933"/>
    <w:rsid w:val="001D29C6"/>
    <w:rsid w:val="001D2A84"/>
    <w:rsid w:val="001D2B0A"/>
    <w:rsid w:val="001D2B37"/>
    <w:rsid w:val="001D2B59"/>
    <w:rsid w:val="001D2B68"/>
    <w:rsid w:val="001D2B9A"/>
    <w:rsid w:val="001D2BB1"/>
    <w:rsid w:val="001D2C25"/>
    <w:rsid w:val="001D2CD3"/>
    <w:rsid w:val="001D2E00"/>
    <w:rsid w:val="001D2E0E"/>
    <w:rsid w:val="001D2E39"/>
    <w:rsid w:val="001D2EAA"/>
    <w:rsid w:val="001D2ED2"/>
    <w:rsid w:val="001D2F07"/>
    <w:rsid w:val="001D2F66"/>
    <w:rsid w:val="001D3011"/>
    <w:rsid w:val="001D3054"/>
    <w:rsid w:val="001D3109"/>
    <w:rsid w:val="001D310B"/>
    <w:rsid w:val="001D31F5"/>
    <w:rsid w:val="001D3267"/>
    <w:rsid w:val="001D32EB"/>
    <w:rsid w:val="001D33E3"/>
    <w:rsid w:val="001D33E4"/>
    <w:rsid w:val="001D3442"/>
    <w:rsid w:val="001D34D7"/>
    <w:rsid w:val="001D35F1"/>
    <w:rsid w:val="001D370A"/>
    <w:rsid w:val="001D3739"/>
    <w:rsid w:val="001D37A7"/>
    <w:rsid w:val="001D383A"/>
    <w:rsid w:val="001D3841"/>
    <w:rsid w:val="001D3985"/>
    <w:rsid w:val="001D39CA"/>
    <w:rsid w:val="001D39CB"/>
    <w:rsid w:val="001D3B10"/>
    <w:rsid w:val="001D3B2C"/>
    <w:rsid w:val="001D3B65"/>
    <w:rsid w:val="001D3B7D"/>
    <w:rsid w:val="001D3B9E"/>
    <w:rsid w:val="001D3C4A"/>
    <w:rsid w:val="001D3DEC"/>
    <w:rsid w:val="001D3F2F"/>
    <w:rsid w:val="001D3FD4"/>
    <w:rsid w:val="001D408A"/>
    <w:rsid w:val="001D40EE"/>
    <w:rsid w:val="001D4112"/>
    <w:rsid w:val="001D416F"/>
    <w:rsid w:val="001D424A"/>
    <w:rsid w:val="001D4286"/>
    <w:rsid w:val="001D4294"/>
    <w:rsid w:val="001D42FB"/>
    <w:rsid w:val="001D4314"/>
    <w:rsid w:val="001D432A"/>
    <w:rsid w:val="001D4390"/>
    <w:rsid w:val="001D43AF"/>
    <w:rsid w:val="001D43B5"/>
    <w:rsid w:val="001D447C"/>
    <w:rsid w:val="001D4482"/>
    <w:rsid w:val="001D453C"/>
    <w:rsid w:val="001D455F"/>
    <w:rsid w:val="001D45CE"/>
    <w:rsid w:val="001D45D3"/>
    <w:rsid w:val="001D46DE"/>
    <w:rsid w:val="001D4734"/>
    <w:rsid w:val="001D4745"/>
    <w:rsid w:val="001D4760"/>
    <w:rsid w:val="001D477A"/>
    <w:rsid w:val="001D479E"/>
    <w:rsid w:val="001D4834"/>
    <w:rsid w:val="001D4879"/>
    <w:rsid w:val="001D491D"/>
    <w:rsid w:val="001D49AB"/>
    <w:rsid w:val="001D4A1F"/>
    <w:rsid w:val="001D4B11"/>
    <w:rsid w:val="001D4B80"/>
    <w:rsid w:val="001D4B94"/>
    <w:rsid w:val="001D4BCA"/>
    <w:rsid w:val="001D4C11"/>
    <w:rsid w:val="001D4C64"/>
    <w:rsid w:val="001D4C7B"/>
    <w:rsid w:val="001D4D3C"/>
    <w:rsid w:val="001D4D43"/>
    <w:rsid w:val="001D4DB3"/>
    <w:rsid w:val="001D4DF8"/>
    <w:rsid w:val="001D4E22"/>
    <w:rsid w:val="001D4E28"/>
    <w:rsid w:val="001D4EBA"/>
    <w:rsid w:val="001D4F39"/>
    <w:rsid w:val="001D4F52"/>
    <w:rsid w:val="001D5041"/>
    <w:rsid w:val="001D508E"/>
    <w:rsid w:val="001D50AD"/>
    <w:rsid w:val="001D50FB"/>
    <w:rsid w:val="001D5161"/>
    <w:rsid w:val="001D517B"/>
    <w:rsid w:val="001D5283"/>
    <w:rsid w:val="001D52ED"/>
    <w:rsid w:val="001D53F4"/>
    <w:rsid w:val="001D5484"/>
    <w:rsid w:val="001D54AA"/>
    <w:rsid w:val="001D559A"/>
    <w:rsid w:val="001D5630"/>
    <w:rsid w:val="001D568F"/>
    <w:rsid w:val="001D5957"/>
    <w:rsid w:val="001D59CF"/>
    <w:rsid w:val="001D5A56"/>
    <w:rsid w:val="001D5A7B"/>
    <w:rsid w:val="001D5B57"/>
    <w:rsid w:val="001D5CB5"/>
    <w:rsid w:val="001D5CE4"/>
    <w:rsid w:val="001D5D3A"/>
    <w:rsid w:val="001D5D69"/>
    <w:rsid w:val="001D5D71"/>
    <w:rsid w:val="001D5E55"/>
    <w:rsid w:val="001D5EE1"/>
    <w:rsid w:val="001D5F64"/>
    <w:rsid w:val="001D5FE0"/>
    <w:rsid w:val="001D6077"/>
    <w:rsid w:val="001D611E"/>
    <w:rsid w:val="001D6132"/>
    <w:rsid w:val="001D615D"/>
    <w:rsid w:val="001D61A5"/>
    <w:rsid w:val="001D622E"/>
    <w:rsid w:val="001D62DC"/>
    <w:rsid w:val="001D62E5"/>
    <w:rsid w:val="001D6378"/>
    <w:rsid w:val="001D6390"/>
    <w:rsid w:val="001D654B"/>
    <w:rsid w:val="001D678C"/>
    <w:rsid w:val="001D67AF"/>
    <w:rsid w:val="001D67FC"/>
    <w:rsid w:val="001D68DF"/>
    <w:rsid w:val="001D68EA"/>
    <w:rsid w:val="001D6911"/>
    <w:rsid w:val="001D6927"/>
    <w:rsid w:val="001D6972"/>
    <w:rsid w:val="001D69AF"/>
    <w:rsid w:val="001D6A51"/>
    <w:rsid w:val="001D6B48"/>
    <w:rsid w:val="001D6CD0"/>
    <w:rsid w:val="001D6D7D"/>
    <w:rsid w:val="001D6D82"/>
    <w:rsid w:val="001D6DAD"/>
    <w:rsid w:val="001D6DB2"/>
    <w:rsid w:val="001D6E08"/>
    <w:rsid w:val="001D6E36"/>
    <w:rsid w:val="001D6E56"/>
    <w:rsid w:val="001D6ED4"/>
    <w:rsid w:val="001D707C"/>
    <w:rsid w:val="001D7270"/>
    <w:rsid w:val="001D72D3"/>
    <w:rsid w:val="001D7320"/>
    <w:rsid w:val="001D7348"/>
    <w:rsid w:val="001D7361"/>
    <w:rsid w:val="001D736A"/>
    <w:rsid w:val="001D73CD"/>
    <w:rsid w:val="001D7412"/>
    <w:rsid w:val="001D74CC"/>
    <w:rsid w:val="001D75BD"/>
    <w:rsid w:val="001D75C7"/>
    <w:rsid w:val="001D7696"/>
    <w:rsid w:val="001D76DD"/>
    <w:rsid w:val="001D7716"/>
    <w:rsid w:val="001D77B7"/>
    <w:rsid w:val="001D77F9"/>
    <w:rsid w:val="001D7871"/>
    <w:rsid w:val="001D78E8"/>
    <w:rsid w:val="001D7AFA"/>
    <w:rsid w:val="001D7AFE"/>
    <w:rsid w:val="001D7B2D"/>
    <w:rsid w:val="001D7B2E"/>
    <w:rsid w:val="001D7B39"/>
    <w:rsid w:val="001D7B4B"/>
    <w:rsid w:val="001D7BB6"/>
    <w:rsid w:val="001D7CFE"/>
    <w:rsid w:val="001D7D12"/>
    <w:rsid w:val="001D7D57"/>
    <w:rsid w:val="001D7D5A"/>
    <w:rsid w:val="001D7E03"/>
    <w:rsid w:val="001D7E33"/>
    <w:rsid w:val="001D7E57"/>
    <w:rsid w:val="001E0042"/>
    <w:rsid w:val="001E0052"/>
    <w:rsid w:val="001E00B0"/>
    <w:rsid w:val="001E00D3"/>
    <w:rsid w:val="001E00E0"/>
    <w:rsid w:val="001E01F2"/>
    <w:rsid w:val="001E01F8"/>
    <w:rsid w:val="001E02B7"/>
    <w:rsid w:val="001E02F6"/>
    <w:rsid w:val="001E037A"/>
    <w:rsid w:val="001E0387"/>
    <w:rsid w:val="001E04D0"/>
    <w:rsid w:val="001E04E8"/>
    <w:rsid w:val="001E053A"/>
    <w:rsid w:val="001E0550"/>
    <w:rsid w:val="001E06F8"/>
    <w:rsid w:val="001E073D"/>
    <w:rsid w:val="001E07C2"/>
    <w:rsid w:val="001E083E"/>
    <w:rsid w:val="001E088E"/>
    <w:rsid w:val="001E0906"/>
    <w:rsid w:val="001E0972"/>
    <w:rsid w:val="001E099D"/>
    <w:rsid w:val="001E0AC4"/>
    <w:rsid w:val="001E0AC8"/>
    <w:rsid w:val="001E0B93"/>
    <w:rsid w:val="001E0C3F"/>
    <w:rsid w:val="001E0DA1"/>
    <w:rsid w:val="001E0E4D"/>
    <w:rsid w:val="001E0E60"/>
    <w:rsid w:val="001E0E96"/>
    <w:rsid w:val="001E0EA1"/>
    <w:rsid w:val="001E0ECC"/>
    <w:rsid w:val="001E0EE1"/>
    <w:rsid w:val="001E0F04"/>
    <w:rsid w:val="001E0F6C"/>
    <w:rsid w:val="001E0FB0"/>
    <w:rsid w:val="001E0FD1"/>
    <w:rsid w:val="001E1068"/>
    <w:rsid w:val="001E10D7"/>
    <w:rsid w:val="001E1179"/>
    <w:rsid w:val="001E11BA"/>
    <w:rsid w:val="001E128F"/>
    <w:rsid w:val="001E13C8"/>
    <w:rsid w:val="001E1476"/>
    <w:rsid w:val="001E149D"/>
    <w:rsid w:val="001E14BE"/>
    <w:rsid w:val="001E14F1"/>
    <w:rsid w:val="001E1555"/>
    <w:rsid w:val="001E16C6"/>
    <w:rsid w:val="001E16DA"/>
    <w:rsid w:val="001E1701"/>
    <w:rsid w:val="001E1705"/>
    <w:rsid w:val="001E17E4"/>
    <w:rsid w:val="001E188C"/>
    <w:rsid w:val="001E1905"/>
    <w:rsid w:val="001E193F"/>
    <w:rsid w:val="001E1A6D"/>
    <w:rsid w:val="001E1AB7"/>
    <w:rsid w:val="001E1AC6"/>
    <w:rsid w:val="001E1AEB"/>
    <w:rsid w:val="001E1BD7"/>
    <w:rsid w:val="001E1C6E"/>
    <w:rsid w:val="001E1DC5"/>
    <w:rsid w:val="001E1EF5"/>
    <w:rsid w:val="001E1F21"/>
    <w:rsid w:val="001E1FEE"/>
    <w:rsid w:val="001E20C3"/>
    <w:rsid w:val="001E2140"/>
    <w:rsid w:val="001E21BB"/>
    <w:rsid w:val="001E229A"/>
    <w:rsid w:val="001E23DA"/>
    <w:rsid w:val="001E2518"/>
    <w:rsid w:val="001E256B"/>
    <w:rsid w:val="001E258A"/>
    <w:rsid w:val="001E2603"/>
    <w:rsid w:val="001E263D"/>
    <w:rsid w:val="001E2656"/>
    <w:rsid w:val="001E26C1"/>
    <w:rsid w:val="001E28B3"/>
    <w:rsid w:val="001E2915"/>
    <w:rsid w:val="001E2928"/>
    <w:rsid w:val="001E2994"/>
    <w:rsid w:val="001E2A0A"/>
    <w:rsid w:val="001E2A2A"/>
    <w:rsid w:val="001E2A48"/>
    <w:rsid w:val="001E2A4F"/>
    <w:rsid w:val="001E2A9E"/>
    <w:rsid w:val="001E2B3C"/>
    <w:rsid w:val="001E2B62"/>
    <w:rsid w:val="001E2B9B"/>
    <w:rsid w:val="001E2C8D"/>
    <w:rsid w:val="001E2CDD"/>
    <w:rsid w:val="001E2DEB"/>
    <w:rsid w:val="001E2EB8"/>
    <w:rsid w:val="001E2FFE"/>
    <w:rsid w:val="001E3115"/>
    <w:rsid w:val="001E31BE"/>
    <w:rsid w:val="001E326E"/>
    <w:rsid w:val="001E32A8"/>
    <w:rsid w:val="001E32BC"/>
    <w:rsid w:val="001E32F9"/>
    <w:rsid w:val="001E337A"/>
    <w:rsid w:val="001E3390"/>
    <w:rsid w:val="001E33AD"/>
    <w:rsid w:val="001E33AF"/>
    <w:rsid w:val="001E33DA"/>
    <w:rsid w:val="001E3412"/>
    <w:rsid w:val="001E34A2"/>
    <w:rsid w:val="001E34F4"/>
    <w:rsid w:val="001E35EB"/>
    <w:rsid w:val="001E35F8"/>
    <w:rsid w:val="001E3771"/>
    <w:rsid w:val="001E3783"/>
    <w:rsid w:val="001E37ED"/>
    <w:rsid w:val="001E382B"/>
    <w:rsid w:val="001E38C9"/>
    <w:rsid w:val="001E394D"/>
    <w:rsid w:val="001E39AE"/>
    <w:rsid w:val="001E3A44"/>
    <w:rsid w:val="001E3A7E"/>
    <w:rsid w:val="001E3B13"/>
    <w:rsid w:val="001E3B47"/>
    <w:rsid w:val="001E3B77"/>
    <w:rsid w:val="001E3B97"/>
    <w:rsid w:val="001E3BCF"/>
    <w:rsid w:val="001E3C33"/>
    <w:rsid w:val="001E3C91"/>
    <w:rsid w:val="001E3CDE"/>
    <w:rsid w:val="001E3D02"/>
    <w:rsid w:val="001E3E02"/>
    <w:rsid w:val="001E3E3E"/>
    <w:rsid w:val="001E3E6C"/>
    <w:rsid w:val="001E3F23"/>
    <w:rsid w:val="001E3F94"/>
    <w:rsid w:val="001E3FA4"/>
    <w:rsid w:val="001E40B5"/>
    <w:rsid w:val="001E4135"/>
    <w:rsid w:val="001E416A"/>
    <w:rsid w:val="001E4230"/>
    <w:rsid w:val="001E4295"/>
    <w:rsid w:val="001E42F5"/>
    <w:rsid w:val="001E438D"/>
    <w:rsid w:val="001E43B2"/>
    <w:rsid w:val="001E43C5"/>
    <w:rsid w:val="001E4546"/>
    <w:rsid w:val="001E454E"/>
    <w:rsid w:val="001E4574"/>
    <w:rsid w:val="001E45B0"/>
    <w:rsid w:val="001E465F"/>
    <w:rsid w:val="001E46C9"/>
    <w:rsid w:val="001E46EC"/>
    <w:rsid w:val="001E491B"/>
    <w:rsid w:val="001E4955"/>
    <w:rsid w:val="001E4A1F"/>
    <w:rsid w:val="001E4BAB"/>
    <w:rsid w:val="001E4BCE"/>
    <w:rsid w:val="001E4D1C"/>
    <w:rsid w:val="001E4D1D"/>
    <w:rsid w:val="001E4D4A"/>
    <w:rsid w:val="001E4D87"/>
    <w:rsid w:val="001E4EA7"/>
    <w:rsid w:val="001E4EFD"/>
    <w:rsid w:val="001E4F07"/>
    <w:rsid w:val="001E4F32"/>
    <w:rsid w:val="001E4F5E"/>
    <w:rsid w:val="001E5016"/>
    <w:rsid w:val="001E5147"/>
    <w:rsid w:val="001E519F"/>
    <w:rsid w:val="001E51DF"/>
    <w:rsid w:val="001E5213"/>
    <w:rsid w:val="001E52A1"/>
    <w:rsid w:val="001E52D8"/>
    <w:rsid w:val="001E52E4"/>
    <w:rsid w:val="001E52E9"/>
    <w:rsid w:val="001E52FF"/>
    <w:rsid w:val="001E536B"/>
    <w:rsid w:val="001E53FD"/>
    <w:rsid w:val="001E54E8"/>
    <w:rsid w:val="001E5509"/>
    <w:rsid w:val="001E550A"/>
    <w:rsid w:val="001E550C"/>
    <w:rsid w:val="001E5530"/>
    <w:rsid w:val="001E5554"/>
    <w:rsid w:val="001E55FD"/>
    <w:rsid w:val="001E5798"/>
    <w:rsid w:val="001E57C2"/>
    <w:rsid w:val="001E5865"/>
    <w:rsid w:val="001E5877"/>
    <w:rsid w:val="001E5967"/>
    <w:rsid w:val="001E59CC"/>
    <w:rsid w:val="001E5A31"/>
    <w:rsid w:val="001E5ABD"/>
    <w:rsid w:val="001E5ACD"/>
    <w:rsid w:val="001E5B5F"/>
    <w:rsid w:val="001E5BF9"/>
    <w:rsid w:val="001E5C0F"/>
    <w:rsid w:val="001E5CB4"/>
    <w:rsid w:val="001E5CCF"/>
    <w:rsid w:val="001E5D7C"/>
    <w:rsid w:val="001E5DF6"/>
    <w:rsid w:val="001E5FE2"/>
    <w:rsid w:val="001E60C9"/>
    <w:rsid w:val="001E6342"/>
    <w:rsid w:val="001E6366"/>
    <w:rsid w:val="001E6394"/>
    <w:rsid w:val="001E63E1"/>
    <w:rsid w:val="001E646E"/>
    <w:rsid w:val="001E6506"/>
    <w:rsid w:val="001E6536"/>
    <w:rsid w:val="001E66B2"/>
    <w:rsid w:val="001E6727"/>
    <w:rsid w:val="001E6857"/>
    <w:rsid w:val="001E69CC"/>
    <w:rsid w:val="001E69D9"/>
    <w:rsid w:val="001E6A25"/>
    <w:rsid w:val="001E6A5D"/>
    <w:rsid w:val="001E6A9C"/>
    <w:rsid w:val="001E6AC6"/>
    <w:rsid w:val="001E6AF8"/>
    <w:rsid w:val="001E6B7C"/>
    <w:rsid w:val="001E6BBE"/>
    <w:rsid w:val="001E6DE7"/>
    <w:rsid w:val="001E6F2C"/>
    <w:rsid w:val="001E6F33"/>
    <w:rsid w:val="001E6F5C"/>
    <w:rsid w:val="001E6FB1"/>
    <w:rsid w:val="001E6FF9"/>
    <w:rsid w:val="001E7025"/>
    <w:rsid w:val="001E7122"/>
    <w:rsid w:val="001E72A3"/>
    <w:rsid w:val="001E7356"/>
    <w:rsid w:val="001E7406"/>
    <w:rsid w:val="001E741D"/>
    <w:rsid w:val="001E7432"/>
    <w:rsid w:val="001E7435"/>
    <w:rsid w:val="001E7517"/>
    <w:rsid w:val="001E75B8"/>
    <w:rsid w:val="001E75F5"/>
    <w:rsid w:val="001E7664"/>
    <w:rsid w:val="001E7695"/>
    <w:rsid w:val="001E77BC"/>
    <w:rsid w:val="001E77EB"/>
    <w:rsid w:val="001E77F4"/>
    <w:rsid w:val="001E7977"/>
    <w:rsid w:val="001E7A3C"/>
    <w:rsid w:val="001E7ACF"/>
    <w:rsid w:val="001E7AF2"/>
    <w:rsid w:val="001E7B0A"/>
    <w:rsid w:val="001E7B15"/>
    <w:rsid w:val="001E7B2E"/>
    <w:rsid w:val="001E7CF7"/>
    <w:rsid w:val="001E7EC6"/>
    <w:rsid w:val="001E7EFE"/>
    <w:rsid w:val="001E7F8A"/>
    <w:rsid w:val="001F0036"/>
    <w:rsid w:val="001F0151"/>
    <w:rsid w:val="001F02D9"/>
    <w:rsid w:val="001F03B2"/>
    <w:rsid w:val="001F0478"/>
    <w:rsid w:val="001F048D"/>
    <w:rsid w:val="001F04BF"/>
    <w:rsid w:val="001F04D7"/>
    <w:rsid w:val="001F05B0"/>
    <w:rsid w:val="001F05C9"/>
    <w:rsid w:val="001F05D7"/>
    <w:rsid w:val="001F05F5"/>
    <w:rsid w:val="001F06AF"/>
    <w:rsid w:val="001F0718"/>
    <w:rsid w:val="001F075F"/>
    <w:rsid w:val="001F079B"/>
    <w:rsid w:val="001F085E"/>
    <w:rsid w:val="001F0897"/>
    <w:rsid w:val="001F08ED"/>
    <w:rsid w:val="001F09B3"/>
    <w:rsid w:val="001F09F6"/>
    <w:rsid w:val="001F0AF1"/>
    <w:rsid w:val="001F0B12"/>
    <w:rsid w:val="001F0B81"/>
    <w:rsid w:val="001F0C22"/>
    <w:rsid w:val="001F0C91"/>
    <w:rsid w:val="001F0DA7"/>
    <w:rsid w:val="001F0DBA"/>
    <w:rsid w:val="001F0DFD"/>
    <w:rsid w:val="001F0E55"/>
    <w:rsid w:val="001F0F7D"/>
    <w:rsid w:val="001F1002"/>
    <w:rsid w:val="001F1031"/>
    <w:rsid w:val="001F1169"/>
    <w:rsid w:val="001F117D"/>
    <w:rsid w:val="001F11E9"/>
    <w:rsid w:val="001F1244"/>
    <w:rsid w:val="001F12F9"/>
    <w:rsid w:val="001F1386"/>
    <w:rsid w:val="001F13AB"/>
    <w:rsid w:val="001F13E1"/>
    <w:rsid w:val="001F14B8"/>
    <w:rsid w:val="001F14F2"/>
    <w:rsid w:val="001F14FF"/>
    <w:rsid w:val="001F152A"/>
    <w:rsid w:val="001F15F3"/>
    <w:rsid w:val="001F1651"/>
    <w:rsid w:val="001F16B0"/>
    <w:rsid w:val="001F16CE"/>
    <w:rsid w:val="001F1747"/>
    <w:rsid w:val="001F176B"/>
    <w:rsid w:val="001F17C2"/>
    <w:rsid w:val="001F1804"/>
    <w:rsid w:val="001F186B"/>
    <w:rsid w:val="001F18BA"/>
    <w:rsid w:val="001F1A64"/>
    <w:rsid w:val="001F1AD5"/>
    <w:rsid w:val="001F1AD7"/>
    <w:rsid w:val="001F1B27"/>
    <w:rsid w:val="001F1B8A"/>
    <w:rsid w:val="001F1BBD"/>
    <w:rsid w:val="001F1C64"/>
    <w:rsid w:val="001F1CB5"/>
    <w:rsid w:val="001F1D33"/>
    <w:rsid w:val="001F1DAC"/>
    <w:rsid w:val="001F1DD9"/>
    <w:rsid w:val="001F1E31"/>
    <w:rsid w:val="001F1EAB"/>
    <w:rsid w:val="001F1F69"/>
    <w:rsid w:val="001F2039"/>
    <w:rsid w:val="001F2041"/>
    <w:rsid w:val="001F20D3"/>
    <w:rsid w:val="001F214E"/>
    <w:rsid w:val="001F22D3"/>
    <w:rsid w:val="001F2342"/>
    <w:rsid w:val="001F248C"/>
    <w:rsid w:val="001F248F"/>
    <w:rsid w:val="001F2492"/>
    <w:rsid w:val="001F25B9"/>
    <w:rsid w:val="001F265B"/>
    <w:rsid w:val="001F2702"/>
    <w:rsid w:val="001F28E6"/>
    <w:rsid w:val="001F2941"/>
    <w:rsid w:val="001F29B9"/>
    <w:rsid w:val="001F2BDA"/>
    <w:rsid w:val="001F2C63"/>
    <w:rsid w:val="001F2C81"/>
    <w:rsid w:val="001F2D09"/>
    <w:rsid w:val="001F2D58"/>
    <w:rsid w:val="001F2D7D"/>
    <w:rsid w:val="001F2DEE"/>
    <w:rsid w:val="001F2E83"/>
    <w:rsid w:val="001F2EC2"/>
    <w:rsid w:val="001F2FE7"/>
    <w:rsid w:val="001F3035"/>
    <w:rsid w:val="001F3059"/>
    <w:rsid w:val="001F30AE"/>
    <w:rsid w:val="001F30AF"/>
    <w:rsid w:val="001F317E"/>
    <w:rsid w:val="001F3193"/>
    <w:rsid w:val="001F3198"/>
    <w:rsid w:val="001F31E2"/>
    <w:rsid w:val="001F3277"/>
    <w:rsid w:val="001F327F"/>
    <w:rsid w:val="001F32AA"/>
    <w:rsid w:val="001F32AB"/>
    <w:rsid w:val="001F33B1"/>
    <w:rsid w:val="001F33D1"/>
    <w:rsid w:val="001F33E9"/>
    <w:rsid w:val="001F340D"/>
    <w:rsid w:val="001F34C8"/>
    <w:rsid w:val="001F3520"/>
    <w:rsid w:val="001F3525"/>
    <w:rsid w:val="001F35CC"/>
    <w:rsid w:val="001F35DE"/>
    <w:rsid w:val="001F36AD"/>
    <w:rsid w:val="001F36BE"/>
    <w:rsid w:val="001F36D8"/>
    <w:rsid w:val="001F3700"/>
    <w:rsid w:val="001F375A"/>
    <w:rsid w:val="001F37AD"/>
    <w:rsid w:val="001F381B"/>
    <w:rsid w:val="001F38CC"/>
    <w:rsid w:val="001F38DF"/>
    <w:rsid w:val="001F394E"/>
    <w:rsid w:val="001F3A94"/>
    <w:rsid w:val="001F3ADE"/>
    <w:rsid w:val="001F3B64"/>
    <w:rsid w:val="001F3B99"/>
    <w:rsid w:val="001F3BFE"/>
    <w:rsid w:val="001F3CDC"/>
    <w:rsid w:val="001F3CEF"/>
    <w:rsid w:val="001F3D86"/>
    <w:rsid w:val="001F3DDF"/>
    <w:rsid w:val="001F3DEE"/>
    <w:rsid w:val="001F3EC4"/>
    <w:rsid w:val="001F3F8D"/>
    <w:rsid w:val="001F4123"/>
    <w:rsid w:val="001F4184"/>
    <w:rsid w:val="001F41FA"/>
    <w:rsid w:val="001F4237"/>
    <w:rsid w:val="001F42D2"/>
    <w:rsid w:val="001F43EF"/>
    <w:rsid w:val="001F44B8"/>
    <w:rsid w:val="001F44CD"/>
    <w:rsid w:val="001F451B"/>
    <w:rsid w:val="001F4557"/>
    <w:rsid w:val="001F45EC"/>
    <w:rsid w:val="001F46FE"/>
    <w:rsid w:val="001F47A7"/>
    <w:rsid w:val="001F49B0"/>
    <w:rsid w:val="001F4A2E"/>
    <w:rsid w:val="001F4A9B"/>
    <w:rsid w:val="001F4BEC"/>
    <w:rsid w:val="001F4C3D"/>
    <w:rsid w:val="001F4C60"/>
    <w:rsid w:val="001F4C6E"/>
    <w:rsid w:val="001F4CA2"/>
    <w:rsid w:val="001F4CBE"/>
    <w:rsid w:val="001F4CDB"/>
    <w:rsid w:val="001F4D6E"/>
    <w:rsid w:val="001F4E21"/>
    <w:rsid w:val="001F4ECD"/>
    <w:rsid w:val="001F4F0B"/>
    <w:rsid w:val="001F4F8D"/>
    <w:rsid w:val="001F5018"/>
    <w:rsid w:val="001F508E"/>
    <w:rsid w:val="001F5148"/>
    <w:rsid w:val="001F5355"/>
    <w:rsid w:val="001F5358"/>
    <w:rsid w:val="001F5464"/>
    <w:rsid w:val="001F54E4"/>
    <w:rsid w:val="001F5576"/>
    <w:rsid w:val="001F5577"/>
    <w:rsid w:val="001F5581"/>
    <w:rsid w:val="001F56E6"/>
    <w:rsid w:val="001F56F4"/>
    <w:rsid w:val="001F572D"/>
    <w:rsid w:val="001F5848"/>
    <w:rsid w:val="001F5849"/>
    <w:rsid w:val="001F58BF"/>
    <w:rsid w:val="001F5959"/>
    <w:rsid w:val="001F59EB"/>
    <w:rsid w:val="001F5A73"/>
    <w:rsid w:val="001F5A74"/>
    <w:rsid w:val="001F5A81"/>
    <w:rsid w:val="001F5B55"/>
    <w:rsid w:val="001F5B86"/>
    <w:rsid w:val="001F5BFE"/>
    <w:rsid w:val="001F5C28"/>
    <w:rsid w:val="001F5C32"/>
    <w:rsid w:val="001F5D9C"/>
    <w:rsid w:val="001F5DDB"/>
    <w:rsid w:val="001F5DEC"/>
    <w:rsid w:val="001F5E7E"/>
    <w:rsid w:val="001F5F17"/>
    <w:rsid w:val="001F6061"/>
    <w:rsid w:val="001F610C"/>
    <w:rsid w:val="001F6188"/>
    <w:rsid w:val="001F61EA"/>
    <w:rsid w:val="001F6208"/>
    <w:rsid w:val="001F6249"/>
    <w:rsid w:val="001F62E4"/>
    <w:rsid w:val="001F63E1"/>
    <w:rsid w:val="001F64D4"/>
    <w:rsid w:val="001F64DB"/>
    <w:rsid w:val="001F650D"/>
    <w:rsid w:val="001F653D"/>
    <w:rsid w:val="001F6648"/>
    <w:rsid w:val="001F66AD"/>
    <w:rsid w:val="001F674B"/>
    <w:rsid w:val="001F677C"/>
    <w:rsid w:val="001F68D3"/>
    <w:rsid w:val="001F6975"/>
    <w:rsid w:val="001F6980"/>
    <w:rsid w:val="001F69FB"/>
    <w:rsid w:val="001F6B0E"/>
    <w:rsid w:val="001F6B7A"/>
    <w:rsid w:val="001F6B93"/>
    <w:rsid w:val="001F6BB2"/>
    <w:rsid w:val="001F6BF7"/>
    <w:rsid w:val="001F6D11"/>
    <w:rsid w:val="001F6D46"/>
    <w:rsid w:val="001F6D7E"/>
    <w:rsid w:val="001F6DB3"/>
    <w:rsid w:val="001F6DD1"/>
    <w:rsid w:val="001F6E1C"/>
    <w:rsid w:val="001F6E5B"/>
    <w:rsid w:val="001F6E76"/>
    <w:rsid w:val="001F6EB4"/>
    <w:rsid w:val="001F6EC0"/>
    <w:rsid w:val="001F6F4D"/>
    <w:rsid w:val="001F7012"/>
    <w:rsid w:val="001F70DF"/>
    <w:rsid w:val="001F70F4"/>
    <w:rsid w:val="001F71BB"/>
    <w:rsid w:val="001F720F"/>
    <w:rsid w:val="001F7286"/>
    <w:rsid w:val="001F73A2"/>
    <w:rsid w:val="001F7405"/>
    <w:rsid w:val="001F7504"/>
    <w:rsid w:val="001F75AB"/>
    <w:rsid w:val="001F75D9"/>
    <w:rsid w:val="001F76AE"/>
    <w:rsid w:val="001F76C7"/>
    <w:rsid w:val="001F76E5"/>
    <w:rsid w:val="001F7810"/>
    <w:rsid w:val="001F7884"/>
    <w:rsid w:val="001F78EA"/>
    <w:rsid w:val="001F791B"/>
    <w:rsid w:val="001F792C"/>
    <w:rsid w:val="001F7943"/>
    <w:rsid w:val="001F7B0C"/>
    <w:rsid w:val="001F7D39"/>
    <w:rsid w:val="001F7DAE"/>
    <w:rsid w:val="001F7EBD"/>
    <w:rsid w:val="001F7F9D"/>
    <w:rsid w:val="00200093"/>
    <w:rsid w:val="002001A4"/>
    <w:rsid w:val="0020021F"/>
    <w:rsid w:val="00200239"/>
    <w:rsid w:val="0020030D"/>
    <w:rsid w:val="0020033D"/>
    <w:rsid w:val="00200390"/>
    <w:rsid w:val="0020041A"/>
    <w:rsid w:val="00200441"/>
    <w:rsid w:val="002004D2"/>
    <w:rsid w:val="00200511"/>
    <w:rsid w:val="0020054F"/>
    <w:rsid w:val="00200550"/>
    <w:rsid w:val="00200589"/>
    <w:rsid w:val="002005B9"/>
    <w:rsid w:val="002005E5"/>
    <w:rsid w:val="00200602"/>
    <w:rsid w:val="00200676"/>
    <w:rsid w:val="002006F2"/>
    <w:rsid w:val="00200915"/>
    <w:rsid w:val="002009AA"/>
    <w:rsid w:val="00200A10"/>
    <w:rsid w:val="00200B4D"/>
    <w:rsid w:val="00200C4E"/>
    <w:rsid w:val="00200C59"/>
    <w:rsid w:val="00200D4A"/>
    <w:rsid w:val="00200D93"/>
    <w:rsid w:val="00200E38"/>
    <w:rsid w:val="00200E9A"/>
    <w:rsid w:val="00200F0E"/>
    <w:rsid w:val="00200FBB"/>
    <w:rsid w:val="0020107F"/>
    <w:rsid w:val="002011A8"/>
    <w:rsid w:val="002011CA"/>
    <w:rsid w:val="0020121A"/>
    <w:rsid w:val="00201263"/>
    <w:rsid w:val="0020127B"/>
    <w:rsid w:val="0020129D"/>
    <w:rsid w:val="002012D0"/>
    <w:rsid w:val="00201373"/>
    <w:rsid w:val="002014B5"/>
    <w:rsid w:val="002014C0"/>
    <w:rsid w:val="002014CA"/>
    <w:rsid w:val="00201568"/>
    <w:rsid w:val="0020164F"/>
    <w:rsid w:val="002016A6"/>
    <w:rsid w:val="0020187E"/>
    <w:rsid w:val="002019EF"/>
    <w:rsid w:val="00201A21"/>
    <w:rsid w:val="00201A6A"/>
    <w:rsid w:val="00201A71"/>
    <w:rsid w:val="00201AB5"/>
    <w:rsid w:val="00201ADC"/>
    <w:rsid w:val="00201B16"/>
    <w:rsid w:val="00201B82"/>
    <w:rsid w:val="00201BE7"/>
    <w:rsid w:val="00201C18"/>
    <w:rsid w:val="00201EC8"/>
    <w:rsid w:val="00201ECD"/>
    <w:rsid w:val="00201F50"/>
    <w:rsid w:val="0020204E"/>
    <w:rsid w:val="002020D4"/>
    <w:rsid w:val="002021F8"/>
    <w:rsid w:val="00202201"/>
    <w:rsid w:val="002022E7"/>
    <w:rsid w:val="00202308"/>
    <w:rsid w:val="00202397"/>
    <w:rsid w:val="00202405"/>
    <w:rsid w:val="0020245F"/>
    <w:rsid w:val="0020248F"/>
    <w:rsid w:val="002024BA"/>
    <w:rsid w:val="0020250D"/>
    <w:rsid w:val="002025CE"/>
    <w:rsid w:val="0020261D"/>
    <w:rsid w:val="00202627"/>
    <w:rsid w:val="002026C2"/>
    <w:rsid w:val="002026CD"/>
    <w:rsid w:val="00202725"/>
    <w:rsid w:val="00202738"/>
    <w:rsid w:val="0020276D"/>
    <w:rsid w:val="00202773"/>
    <w:rsid w:val="002027AF"/>
    <w:rsid w:val="002027BB"/>
    <w:rsid w:val="00202923"/>
    <w:rsid w:val="0020294B"/>
    <w:rsid w:val="00202953"/>
    <w:rsid w:val="0020295F"/>
    <w:rsid w:val="00202ACB"/>
    <w:rsid w:val="00202AE5"/>
    <w:rsid w:val="00202AEE"/>
    <w:rsid w:val="00202B5F"/>
    <w:rsid w:val="00202B8A"/>
    <w:rsid w:val="00202BAA"/>
    <w:rsid w:val="00202C25"/>
    <w:rsid w:val="00202CD9"/>
    <w:rsid w:val="00202DAC"/>
    <w:rsid w:val="00202FE8"/>
    <w:rsid w:val="00202FF8"/>
    <w:rsid w:val="00203002"/>
    <w:rsid w:val="002030B3"/>
    <w:rsid w:val="002030C2"/>
    <w:rsid w:val="0020316D"/>
    <w:rsid w:val="002032A4"/>
    <w:rsid w:val="002032CC"/>
    <w:rsid w:val="0020330F"/>
    <w:rsid w:val="002033A0"/>
    <w:rsid w:val="002033BC"/>
    <w:rsid w:val="0020344B"/>
    <w:rsid w:val="002034A2"/>
    <w:rsid w:val="002035E5"/>
    <w:rsid w:val="00203632"/>
    <w:rsid w:val="002036F4"/>
    <w:rsid w:val="00203732"/>
    <w:rsid w:val="0020382B"/>
    <w:rsid w:val="0020383A"/>
    <w:rsid w:val="00203855"/>
    <w:rsid w:val="0020390D"/>
    <w:rsid w:val="002039B3"/>
    <w:rsid w:val="002039ED"/>
    <w:rsid w:val="00203A74"/>
    <w:rsid w:val="00203ACF"/>
    <w:rsid w:val="00203BDC"/>
    <w:rsid w:val="00203C17"/>
    <w:rsid w:val="00203CA9"/>
    <w:rsid w:val="00203CED"/>
    <w:rsid w:val="00203DE5"/>
    <w:rsid w:val="00203DE8"/>
    <w:rsid w:val="00203DE9"/>
    <w:rsid w:val="00203F23"/>
    <w:rsid w:val="00204086"/>
    <w:rsid w:val="00204219"/>
    <w:rsid w:val="00204265"/>
    <w:rsid w:val="00204293"/>
    <w:rsid w:val="002042F4"/>
    <w:rsid w:val="0020430F"/>
    <w:rsid w:val="00204337"/>
    <w:rsid w:val="00204372"/>
    <w:rsid w:val="0020447A"/>
    <w:rsid w:val="0020447F"/>
    <w:rsid w:val="002045DB"/>
    <w:rsid w:val="00204656"/>
    <w:rsid w:val="00204731"/>
    <w:rsid w:val="0020474A"/>
    <w:rsid w:val="00204870"/>
    <w:rsid w:val="00204874"/>
    <w:rsid w:val="002048AE"/>
    <w:rsid w:val="002048C2"/>
    <w:rsid w:val="002048E9"/>
    <w:rsid w:val="00204992"/>
    <w:rsid w:val="00204B4B"/>
    <w:rsid w:val="00204B51"/>
    <w:rsid w:val="00204B98"/>
    <w:rsid w:val="00204CCB"/>
    <w:rsid w:val="00204D07"/>
    <w:rsid w:val="00204D2B"/>
    <w:rsid w:val="00204D34"/>
    <w:rsid w:val="00204D55"/>
    <w:rsid w:val="00204D66"/>
    <w:rsid w:val="00204D93"/>
    <w:rsid w:val="00204DC1"/>
    <w:rsid w:val="00204DFD"/>
    <w:rsid w:val="00204E38"/>
    <w:rsid w:val="00204E63"/>
    <w:rsid w:val="00204E74"/>
    <w:rsid w:val="00204FA9"/>
    <w:rsid w:val="00204FB1"/>
    <w:rsid w:val="00205034"/>
    <w:rsid w:val="00205088"/>
    <w:rsid w:val="00205109"/>
    <w:rsid w:val="00205255"/>
    <w:rsid w:val="0020531E"/>
    <w:rsid w:val="0020533B"/>
    <w:rsid w:val="0020536C"/>
    <w:rsid w:val="002053D0"/>
    <w:rsid w:val="0020540F"/>
    <w:rsid w:val="00205471"/>
    <w:rsid w:val="002054DC"/>
    <w:rsid w:val="0020555F"/>
    <w:rsid w:val="002055D3"/>
    <w:rsid w:val="0020563D"/>
    <w:rsid w:val="0020567A"/>
    <w:rsid w:val="00205971"/>
    <w:rsid w:val="00205A37"/>
    <w:rsid w:val="00205A91"/>
    <w:rsid w:val="00205AFC"/>
    <w:rsid w:val="00205C5E"/>
    <w:rsid w:val="00205C66"/>
    <w:rsid w:val="00205D84"/>
    <w:rsid w:val="00205DAC"/>
    <w:rsid w:val="00205E57"/>
    <w:rsid w:val="002060D2"/>
    <w:rsid w:val="00206108"/>
    <w:rsid w:val="0020610A"/>
    <w:rsid w:val="00206239"/>
    <w:rsid w:val="00206262"/>
    <w:rsid w:val="002062B2"/>
    <w:rsid w:val="002062CC"/>
    <w:rsid w:val="00206372"/>
    <w:rsid w:val="002063FC"/>
    <w:rsid w:val="00206439"/>
    <w:rsid w:val="00206534"/>
    <w:rsid w:val="00206667"/>
    <w:rsid w:val="0020685B"/>
    <w:rsid w:val="002069A8"/>
    <w:rsid w:val="002069B4"/>
    <w:rsid w:val="002069F2"/>
    <w:rsid w:val="00206A18"/>
    <w:rsid w:val="00206AD3"/>
    <w:rsid w:val="00206AE8"/>
    <w:rsid w:val="00206B0D"/>
    <w:rsid w:val="00206B8E"/>
    <w:rsid w:val="00206CF2"/>
    <w:rsid w:val="00206DB1"/>
    <w:rsid w:val="00206E24"/>
    <w:rsid w:val="00206E8D"/>
    <w:rsid w:val="00206E90"/>
    <w:rsid w:val="00206E91"/>
    <w:rsid w:val="002070EA"/>
    <w:rsid w:val="002072EC"/>
    <w:rsid w:val="00207305"/>
    <w:rsid w:val="002073EC"/>
    <w:rsid w:val="002074FD"/>
    <w:rsid w:val="0020754A"/>
    <w:rsid w:val="00207553"/>
    <w:rsid w:val="0020758B"/>
    <w:rsid w:val="002075FA"/>
    <w:rsid w:val="002076BC"/>
    <w:rsid w:val="0020771A"/>
    <w:rsid w:val="002077A9"/>
    <w:rsid w:val="00207831"/>
    <w:rsid w:val="002078A9"/>
    <w:rsid w:val="002079C8"/>
    <w:rsid w:val="00207A68"/>
    <w:rsid w:val="00207A8F"/>
    <w:rsid w:val="00207AC2"/>
    <w:rsid w:val="00207AD3"/>
    <w:rsid w:val="00207B95"/>
    <w:rsid w:val="00207BE5"/>
    <w:rsid w:val="00207CB9"/>
    <w:rsid w:val="00207CF7"/>
    <w:rsid w:val="00207D4B"/>
    <w:rsid w:val="00207DB8"/>
    <w:rsid w:val="00207E0E"/>
    <w:rsid w:val="00207E1E"/>
    <w:rsid w:val="00207E4D"/>
    <w:rsid w:val="00207EC4"/>
    <w:rsid w:val="00210029"/>
    <w:rsid w:val="0021009E"/>
    <w:rsid w:val="002101F9"/>
    <w:rsid w:val="00210231"/>
    <w:rsid w:val="002102B7"/>
    <w:rsid w:val="00210378"/>
    <w:rsid w:val="002103DD"/>
    <w:rsid w:val="00210425"/>
    <w:rsid w:val="00210484"/>
    <w:rsid w:val="002104DD"/>
    <w:rsid w:val="00210539"/>
    <w:rsid w:val="002105B6"/>
    <w:rsid w:val="00210618"/>
    <w:rsid w:val="00210620"/>
    <w:rsid w:val="0021063A"/>
    <w:rsid w:val="002106D0"/>
    <w:rsid w:val="0021071B"/>
    <w:rsid w:val="00210752"/>
    <w:rsid w:val="00210780"/>
    <w:rsid w:val="002107A9"/>
    <w:rsid w:val="002107BD"/>
    <w:rsid w:val="0021098F"/>
    <w:rsid w:val="002109A7"/>
    <w:rsid w:val="00210A80"/>
    <w:rsid w:val="00210B48"/>
    <w:rsid w:val="00210B84"/>
    <w:rsid w:val="00210B85"/>
    <w:rsid w:val="00210B91"/>
    <w:rsid w:val="00210B9A"/>
    <w:rsid w:val="00210CC3"/>
    <w:rsid w:val="00210CD0"/>
    <w:rsid w:val="00210DF8"/>
    <w:rsid w:val="00210F6C"/>
    <w:rsid w:val="00211066"/>
    <w:rsid w:val="00211281"/>
    <w:rsid w:val="002112BF"/>
    <w:rsid w:val="00211339"/>
    <w:rsid w:val="0021135C"/>
    <w:rsid w:val="002113C1"/>
    <w:rsid w:val="002114AC"/>
    <w:rsid w:val="0021158D"/>
    <w:rsid w:val="002116D4"/>
    <w:rsid w:val="00211764"/>
    <w:rsid w:val="002117DC"/>
    <w:rsid w:val="0021181D"/>
    <w:rsid w:val="0021189B"/>
    <w:rsid w:val="002118C2"/>
    <w:rsid w:val="0021190F"/>
    <w:rsid w:val="00211A9B"/>
    <w:rsid w:val="00211AE1"/>
    <w:rsid w:val="00211AEB"/>
    <w:rsid w:val="00211CA2"/>
    <w:rsid w:val="00211CF5"/>
    <w:rsid w:val="00211DC6"/>
    <w:rsid w:val="00211E0B"/>
    <w:rsid w:val="00211F3B"/>
    <w:rsid w:val="00211F7A"/>
    <w:rsid w:val="002121A2"/>
    <w:rsid w:val="002122D6"/>
    <w:rsid w:val="00212307"/>
    <w:rsid w:val="0021233F"/>
    <w:rsid w:val="0021237C"/>
    <w:rsid w:val="0021247A"/>
    <w:rsid w:val="00212527"/>
    <w:rsid w:val="00212564"/>
    <w:rsid w:val="00212577"/>
    <w:rsid w:val="002125E8"/>
    <w:rsid w:val="002126A3"/>
    <w:rsid w:val="0021270B"/>
    <w:rsid w:val="00212803"/>
    <w:rsid w:val="00212898"/>
    <w:rsid w:val="0021294C"/>
    <w:rsid w:val="002129AF"/>
    <w:rsid w:val="002129BD"/>
    <w:rsid w:val="00212A03"/>
    <w:rsid w:val="00212A07"/>
    <w:rsid w:val="00212A16"/>
    <w:rsid w:val="00212A23"/>
    <w:rsid w:val="00212AD7"/>
    <w:rsid w:val="00212B2A"/>
    <w:rsid w:val="00212B65"/>
    <w:rsid w:val="00212B96"/>
    <w:rsid w:val="00212BC6"/>
    <w:rsid w:val="00212CFD"/>
    <w:rsid w:val="00212EA1"/>
    <w:rsid w:val="00212EEC"/>
    <w:rsid w:val="00212FC0"/>
    <w:rsid w:val="00212FD1"/>
    <w:rsid w:val="0021302A"/>
    <w:rsid w:val="00213074"/>
    <w:rsid w:val="002130A9"/>
    <w:rsid w:val="002130D8"/>
    <w:rsid w:val="00213174"/>
    <w:rsid w:val="002131CB"/>
    <w:rsid w:val="00213200"/>
    <w:rsid w:val="00213203"/>
    <w:rsid w:val="00213224"/>
    <w:rsid w:val="0021322A"/>
    <w:rsid w:val="0021328B"/>
    <w:rsid w:val="002132CC"/>
    <w:rsid w:val="00213750"/>
    <w:rsid w:val="002137A2"/>
    <w:rsid w:val="00213807"/>
    <w:rsid w:val="00213886"/>
    <w:rsid w:val="00213926"/>
    <w:rsid w:val="00213A55"/>
    <w:rsid w:val="00213AD6"/>
    <w:rsid w:val="00213BA5"/>
    <w:rsid w:val="00213BB1"/>
    <w:rsid w:val="00213CA6"/>
    <w:rsid w:val="00213CAC"/>
    <w:rsid w:val="00213CE8"/>
    <w:rsid w:val="00213D4B"/>
    <w:rsid w:val="00213DC3"/>
    <w:rsid w:val="00213DD9"/>
    <w:rsid w:val="00213DF5"/>
    <w:rsid w:val="00213E08"/>
    <w:rsid w:val="00213E3F"/>
    <w:rsid w:val="00213F46"/>
    <w:rsid w:val="00213F6D"/>
    <w:rsid w:val="00213F96"/>
    <w:rsid w:val="00214107"/>
    <w:rsid w:val="0021425E"/>
    <w:rsid w:val="002142E9"/>
    <w:rsid w:val="002143C8"/>
    <w:rsid w:val="002143E1"/>
    <w:rsid w:val="002145B5"/>
    <w:rsid w:val="0021469E"/>
    <w:rsid w:val="002146E2"/>
    <w:rsid w:val="002147CE"/>
    <w:rsid w:val="002148C9"/>
    <w:rsid w:val="00214A44"/>
    <w:rsid w:val="00214A46"/>
    <w:rsid w:val="00214A72"/>
    <w:rsid w:val="00214AB3"/>
    <w:rsid w:val="00214AEE"/>
    <w:rsid w:val="00214B20"/>
    <w:rsid w:val="00214B6D"/>
    <w:rsid w:val="00214BE2"/>
    <w:rsid w:val="00214C27"/>
    <w:rsid w:val="00214C3A"/>
    <w:rsid w:val="00214C90"/>
    <w:rsid w:val="00214D21"/>
    <w:rsid w:val="00214DEF"/>
    <w:rsid w:val="00214E47"/>
    <w:rsid w:val="00214F24"/>
    <w:rsid w:val="00214FEF"/>
    <w:rsid w:val="00214FFE"/>
    <w:rsid w:val="00215009"/>
    <w:rsid w:val="002150C1"/>
    <w:rsid w:val="002150CB"/>
    <w:rsid w:val="00215120"/>
    <w:rsid w:val="00215181"/>
    <w:rsid w:val="00215204"/>
    <w:rsid w:val="0021527A"/>
    <w:rsid w:val="00215387"/>
    <w:rsid w:val="002153B3"/>
    <w:rsid w:val="002153C6"/>
    <w:rsid w:val="0021542B"/>
    <w:rsid w:val="0021544A"/>
    <w:rsid w:val="00215490"/>
    <w:rsid w:val="00215492"/>
    <w:rsid w:val="00215665"/>
    <w:rsid w:val="002156C5"/>
    <w:rsid w:val="00215778"/>
    <w:rsid w:val="002157C5"/>
    <w:rsid w:val="00215861"/>
    <w:rsid w:val="002158A6"/>
    <w:rsid w:val="002158EC"/>
    <w:rsid w:val="00215905"/>
    <w:rsid w:val="0021592B"/>
    <w:rsid w:val="0021599B"/>
    <w:rsid w:val="00215AD3"/>
    <w:rsid w:val="00215B2E"/>
    <w:rsid w:val="00215B72"/>
    <w:rsid w:val="00215B9E"/>
    <w:rsid w:val="00215BB8"/>
    <w:rsid w:val="00215BCE"/>
    <w:rsid w:val="00215D2E"/>
    <w:rsid w:val="00215D52"/>
    <w:rsid w:val="00215DC5"/>
    <w:rsid w:val="00215E28"/>
    <w:rsid w:val="00215EC0"/>
    <w:rsid w:val="00215FAC"/>
    <w:rsid w:val="00216184"/>
    <w:rsid w:val="002161B4"/>
    <w:rsid w:val="002161DD"/>
    <w:rsid w:val="00216409"/>
    <w:rsid w:val="002164F3"/>
    <w:rsid w:val="00216592"/>
    <w:rsid w:val="002166AE"/>
    <w:rsid w:val="0021688B"/>
    <w:rsid w:val="002168D8"/>
    <w:rsid w:val="002169F5"/>
    <w:rsid w:val="00216A38"/>
    <w:rsid w:val="00216AB6"/>
    <w:rsid w:val="00216B2B"/>
    <w:rsid w:val="00216C47"/>
    <w:rsid w:val="00216C7F"/>
    <w:rsid w:val="00216CCC"/>
    <w:rsid w:val="00216D5E"/>
    <w:rsid w:val="00216D7D"/>
    <w:rsid w:val="00216E73"/>
    <w:rsid w:val="00216E7D"/>
    <w:rsid w:val="00216ED6"/>
    <w:rsid w:val="00216F25"/>
    <w:rsid w:val="00216F6B"/>
    <w:rsid w:val="00216FE6"/>
    <w:rsid w:val="0021704C"/>
    <w:rsid w:val="002170D9"/>
    <w:rsid w:val="00217134"/>
    <w:rsid w:val="00217148"/>
    <w:rsid w:val="00217164"/>
    <w:rsid w:val="00217330"/>
    <w:rsid w:val="00217408"/>
    <w:rsid w:val="00217632"/>
    <w:rsid w:val="002176D0"/>
    <w:rsid w:val="002177A9"/>
    <w:rsid w:val="00217847"/>
    <w:rsid w:val="002179B6"/>
    <w:rsid w:val="002179BD"/>
    <w:rsid w:val="00217BC2"/>
    <w:rsid w:val="00217C2F"/>
    <w:rsid w:val="00217C7E"/>
    <w:rsid w:val="00217CD7"/>
    <w:rsid w:val="00217CDE"/>
    <w:rsid w:val="00217D5E"/>
    <w:rsid w:val="00217DC3"/>
    <w:rsid w:val="00217DEF"/>
    <w:rsid w:val="00217E5C"/>
    <w:rsid w:val="00217F02"/>
    <w:rsid w:val="00217F0C"/>
    <w:rsid w:val="00217F7C"/>
    <w:rsid w:val="00217FB6"/>
    <w:rsid w:val="00217FEA"/>
    <w:rsid w:val="002200CF"/>
    <w:rsid w:val="0022011B"/>
    <w:rsid w:val="00220297"/>
    <w:rsid w:val="0022036A"/>
    <w:rsid w:val="0022036C"/>
    <w:rsid w:val="00220372"/>
    <w:rsid w:val="0022038B"/>
    <w:rsid w:val="0022045F"/>
    <w:rsid w:val="0022055F"/>
    <w:rsid w:val="0022063A"/>
    <w:rsid w:val="0022064D"/>
    <w:rsid w:val="00220661"/>
    <w:rsid w:val="00220686"/>
    <w:rsid w:val="00220708"/>
    <w:rsid w:val="0022072A"/>
    <w:rsid w:val="0022074E"/>
    <w:rsid w:val="002207AD"/>
    <w:rsid w:val="002207AF"/>
    <w:rsid w:val="002207E7"/>
    <w:rsid w:val="002207F8"/>
    <w:rsid w:val="0022092A"/>
    <w:rsid w:val="00220996"/>
    <w:rsid w:val="00220A07"/>
    <w:rsid w:val="00220A5F"/>
    <w:rsid w:val="00220B8B"/>
    <w:rsid w:val="00220CE7"/>
    <w:rsid w:val="00220D24"/>
    <w:rsid w:val="00220E16"/>
    <w:rsid w:val="00220E75"/>
    <w:rsid w:val="00220FF5"/>
    <w:rsid w:val="00221051"/>
    <w:rsid w:val="002210AA"/>
    <w:rsid w:val="00221216"/>
    <w:rsid w:val="002212E1"/>
    <w:rsid w:val="002212E3"/>
    <w:rsid w:val="00221332"/>
    <w:rsid w:val="0022136D"/>
    <w:rsid w:val="0022138B"/>
    <w:rsid w:val="0022149D"/>
    <w:rsid w:val="00221526"/>
    <w:rsid w:val="00221563"/>
    <w:rsid w:val="0022163A"/>
    <w:rsid w:val="00221920"/>
    <w:rsid w:val="0022194C"/>
    <w:rsid w:val="0022194D"/>
    <w:rsid w:val="0022194F"/>
    <w:rsid w:val="00221A74"/>
    <w:rsid w:val="00221ACD"/>
    <w:rsid w:val="00221ADA"/>
    <w:rsid w:val="00221B3A"/>
    <w:rsid w:val="00221B6D"/>
    <w:rsid w:val="00221BAF"/>
    <w:rsid w:val="00221BE2"/>
    <w:rsid w:val="00221BF6"/>
    <w:rsid w:val="00221C4E"/>
    <w:rsid w:val="00221CAC"/>
    <w:rsid w:val="00221CB3"/>
    <w:rsid w:val="00221CDB"/>
    <w:rsid w:val="00221D0F"/>
    <w:rsid w:val="00221DBF"/>
    <w:rsid w:val="00221DDF"/>
    <w:rsid w:val="00221E4B"/>
    <w:rsid w:val="00221E4D"/>
    <w:rsid w:val="00221EC0"/>
    <w:rsid w:val="00221EF3"/>
    <w:rsid w:val="00221F02"/>
    <w:rsid w:val="00221F29"/>
    <w:rsid w:val="00221F9A"/>
    <w:rsid w:val="0022201B"/>
    <w:rsid w:val="00222048"/>
    <w:rsid w:val="002220C1"/>
    <w:rsid w:val="002221C0"/>
    <w:rsid w:val="002221D7"/>
    <w:rsid w:val="002221DE"/>
    <w:rsid w:val="0022230E"/>
    <w:rsid w:val="00222320"/>
    <w:rsid w:val="002223CC"/>
    <w:rsid w:val="002223D0"/>
    <w:rsid w:val="0022242A"/>
    <w:rsid w:val="00222530"/>
    <w:rsid w:val="0022259B"/>
    <w:rsid w:val="00222729"/>
    <w:rsid w:val="002228CB"/>
    <w:rsid w:val="00222955"/>
    <w:rsid w:val="002229C9"/>
    <w:rsid w:val="00222A2F"/>
    <w:rsid w:val="00222ACE"/>
    <w:rsid w:val="00222B16"/>
    <w:rsid w:val="00222B2C"/>
    <w:rsid w:val="00222B79"/>
    <w:rsid w:val="00222CB1"/>
    <w:rsid w:val="00222CDA"/>
    <w:rsid w:val="00222D51"/>
    <w:rsid w:val="00222DB9"/>
    <w:rsid w:val="00222E55"/>
    <w:rsid w:val="00222EE9"/>
    <w:rsid w:val="00222EFA"/>
    <w:rsid w:val="0022301B"/>
    <w:rsid w:val="00223053"/>
    <w:rsid w:val="0022311D"/>
    <w:rsid w:val="0022311E"/>
    <w:rsid w:val="00223175"/>
    <w:rsid w:val="002232B4"/>
    <w:rsid w:val="00223305"/>
    <w:rsid w:val="00223332"/>
    <w:rsid w:val="00223350"/>
    <w:rsid w:val="00223384"/>
    <w:rsid w:val="00223473"/>
    <w:rsid w:val="0022351E"/>
    <w:rsid w:val="00223595"/>
    <w:rsid w:val="002235C9"/>
    <w:rsid w:val="002235D1"/>
    <w:rsid w:val="002235E6"/>
    <w:rsid w:val="0022364D"/>
    <w:rsid w:val="002236B3"/>
    <w:rsid w:val="00223821"/>
    <w:rsid w:val="00223962"/>
    <w:rsid w:val="0022398D"/>
    <w:rsid w:val="00223AF0"/>
    <w:rsid w:val="00223B6C"/>
    <w:rsid w:val="00223BAC"/>
    <w:rsid w:val="00223BE9"/>
    <w:rsid w:val="00223C33"/>
    <w:rsid w:val="00223C80"/>
    <w:rsid w:val="00223D20"/>
    <w:rsid w:val="00223D95"/>
    <w:rsid w:val="00223E32"/>
    <w:rsid w:val="00223E64"/>
    <w:rsid w:val="00223F1F"/>
    <w:rsid w:val="00223FA2"/>
    <w:rsid w:val="00224025"/>
    <w:rsid w:val="002240B3"/>
    <w:rsid w:val="00224151"/>
    <w:rsid w:val="00224171"/>
    <w:rsid w:val="0022418A"/>
    <w:rsid w:val="002241DC"/>
    <w:rsid w:val="00224282"/>
    <w:rsid w:val="0022428F"/>
    <w:rsid w:val="00224384"/>
    <w:rsid w:val="002243DE"/>
    <w:rsid w:val="002243E7"/>
    <w:rsid w:val="0022447D"/>
    <w:rsid w:val="002244B3"/>
    <w:rsid w:val="002244D5"/>
    <w:rsid w:val="00224590"/>
    <w:rsid w:val="00224649"/>
    <w:rsid w:val="002246EA"/>
    <w:rsid w:val="0022473B"/>
    <w:rsid w:val="002247DD"/>
    <w:rsid w:val="0022481F"/>
    <w:rsid w:val="0022485D"/>
    <w:rsid w:val="0022489B"/>
    <w:rsid w:val="002248D2"/>
    <w:rsid w:val="00224A06"/>
    <w:rsid w:val="00224A8D"/>
    <w:rsid w:val="00224B18"/>
    <w:rsid w:val="00224B95"/>
    <w:rsid w:val="00224C91"/>
    <w:rsid w:val="00224C9C"/>
    <w:rsid w:val="00224CEB"/>
    <w:rsid w:val="00224DD7"/>
    <w:rsid w:val="00224E1B"/>
    <w:rsid w:val="00224E3D"/>
    <w:rsid w:val="00224E7B"/>
    <w:rsid w:val="00224ED3"/>
    <w:rsid w:val="00224F5C"/>
    <w:rsid w:val="00225089"/>
    <w:rsid w:val="00225102"/>
    <w:rsid w:val="00225131"/>
    <w:rsid w:val="00225171"/>
    <w:rsid w:val="00225295"/>
    <w:rsid w:val="002252E2"/>
    <w:rsid w:val="0022530B"/>
    <w:rsid w:val="002253B2"/>
    <w:rsid w:val="00225448"/>
    <w:rsid w:val="0022545A"/>
    <w:rsid w:val="00225477"/>
    <w:rsid w:val="002254FD"/>
    <w:rsid w:val="00225628"/>
    <w:rsid w:val="0022569F"/>
    <w:rsid w:val="002256E6"/>
    <w:rsid w:val="002256E9"/>
    <w:rsid w:val="002256F0"/>
    <w:rsid w:val="00225707"/>
    <w:rsid w:val="0022571F"/>
    <w:rsid w:val="00225744"/>
    <w:rsid w:val="00225790"/>
    <w:rsid w:val="00225957"/>
    <w:rsid w:val="00225974"/>
    <w:rsid w:val="00225B00"/>
    <w:rsid w:val="00225B8A"/>
    <w:rsid w:val="00225BB5"/>
    <w:rsid w:val="00225CD7"/>
    <w:rsid w:val="00225DAD"/>
    <w:rsid w:val="00225DE0"/>
    <w:rsid w:val="00225E07"/>
    <w:rsid w:val="00225E71"/>
    <w:rsid w:val="00225EAD"/>
    <w:rsid w:val="00225ED2"/>
    <w:rsid w:val="00225F0C"/>
    <w:rsid w:val="00225F20"/>
    <w:rsid w:val="00225F74"/>
    <w:rsid w:val="00226006"/>
    <w:rsid w:val="00226033"/>
    <w:rsid w:val="002260F5"/>
    <w:rsid w:val="00226113"/>
    <w:rsid w:val="00226118"/>
    <w:rsid w:val="002261DC"/>
    <w:rsid w:val="00226256"/>
    <w:rsid w:val="00226290"/>
    <w:rsid w:val="002263D2"/>
    <w:rsid w:val="00226584"/>
    <w:rsid w:val="002265A9"/>
    <w:rsid w:val="002265FE"/>
    <w:rsid w:val="00226615"/>
    <w:rsid w:val="00226621"/>
    <w:rsid w:val="00226640"/>
    <w:rsid w:val="00226642"/>
    <w:rsid w:val="002266A5"/>
    <w:rsid w:val="00226878"/>
    <w:rsid w:val="00226963"/>
    <w:rsid w:val="00226977"/>
    <w:rsid w:val="00226B1B"/>
    <w:rsid w:val="00226C0E"/>
    <w:rsid w:val="00226D04"/>
    <w:rsid w:val="00226D49"/>
    <w:rsid w:val="00226EBE"/>
    <w:rsid w:val="00226F4E"/>
    <w:rsid w:val="00226F66"/>
    <w:rsid w:val="002271DA"/>
    <w:rsid w:val="00227272"/>
    <w:rsid w:val="00227273"/>
    <w:rsid w:val="00227286"/>
    <w:rsid w:val="002272BD"/>
    <w:rsid w:val="00227324"/>
    <w:rsid w:val="00227336"/>
    <w:rsid w:val="00227397"/>
    <w:rsid w:val="002273B1"/>
    <w:rsid w:val="002273D6"/>
    <w:rsid w:val="002273D7"/>
    <w:rsid w:val="002273DA"/>
    <w:rsid w:val="00227415"/>
    <w:rsid w:val="00227472"/>
    <w:rsid w:val="00227484"/>
    <w:rsid w:val="0022753D"/>
    <w:rsid w:val="002275A6"/>
    <w:rsid w:val="00227622"/>
    <w:rsid w:val="00227753"/>
    <w:rsid w:val="00227793"/>
    <w:rsid w:val="00227797"/>
    <w:rsid w:val="0022784C"/>
    <w:rsid w:val="002278E7"/>
    <w:rsid w:val="0022793C"/>
    <w:rsid w:val="002279B6"/>
    <w:rsid w:val="00227B1F"/>
    <w:rsid w:val="00227BB6"/>
    <w:rsid w:val="00227BD5"/>
    <w:rsid w:val="00227C04"/>
    <w:rsid w:val="00227C72"/>
    <w:rsid w:val="00227C93"/>
    <w:rsid w:val="00227CA2"/>
    <w:rsid w:val="00227CC1"/>
    <w:rsid w:val="00227D33"/>
    <w:rsid w:val="00227DBF"/>
    <w:rsid w:val="00227DC4"/>
    <w:rsid w:val="00227DF2"/>
    <w:rsid w:val="00227E42"/>
    <w:rsid w:val="00227E8F"/>
    <w:rsid w:val="00227EDE"/>
    <w:rsid w:val="00227FFD"/>
    <w:rsid w:val="0022EFE4"/>
    <w:rsid w:val="00230069"/>
    <w:rsid w:val="00230125"/>
    <w:rsid w:val="0023027B"/>
    <w:rsid w:val="00230291"/>
    <w:rsid w:val="0023029B"/>
    <w:rsid w:val="00230306"/>
    <w:rsid w:val="00230335"/>
    <w:rsid w:val="002303A4"/>
    <w:rsid w:val="002303C1"/>
    <w:rsid w:val="002305B0"/>
    <w:rsid w:val="002305CE"/>
    <w:rsid w:val="00230601"/>
    <w:rsid w:val="0023072C"/>
    <w:rsid w:val="00230780"/>
    <w:rsid w:val="002307C5"/>
    <w:rsid w:val="002308BE"/>
    <w:rsid w:val="00230907"/>
    <w:rsid w:val="0023099C"/>
    <w:rsid w:val="002309C8"/>
    <w:rsid w:val="00230A1B"/>
    <w:rsid w:val="00230A89"/>
    <w:rsid w:val="00230ABF"/>
    <w:rsid w:val="00230B8E"/>
    <w:rsid w:val="00230B9D"/>
    <w:rsid w:val="00230BB1"/>
    <w:rsid w:val="00230BFB"/>
    <w:rsid w:val="00230C29"/>
    <w:rsid w:val="00230C33"/>
    <w:rsid w:val="00230CF3"/>
    <w:rsid w:val="00230E36"/>
    <w:rsid w:val="00230E7B"/>
    <w:rsid w:val="00230EB5"/>
    <w:rsid w:val="0023102F"/>
    <w:rsid w:val="00231049"/>
    <w:rsid w:val="0023104F"/>
    <w:rsid w:val="00231134"/>
    <w:rsid w:val="002311AE"/>
    <w:rsid w:val="00231313"/>
    <w:rsid w:val="002313F8"/>
    <w:rsid w:val="00231463"/>
    <w:rsid w:val="002314CB"/>
    <w:rsid w:val="002314D2"/>
    <w:rsid w:val="00231561"/>
    <w:rsid w:val="002315C3"/>
    <w:rsid w:val="00231672"/>
    <w:rsid w:val="00231697"/>
    <w:rsid w:val="002316FD"/>
    <w:rsid w:val="00231758"/>
    <w:rsid w:val="00231922"/>
    <w:rsid w:val="002319F7"/>
    <w:rsid w:val="00231A01"/>
    <w:rsid w:val="00231A54"/>
    <w:rsid w:val="00231A97"/>
    <w:rsid w:val="00231AB0"/>
    <w:rsid w:val="00231B03"/>
    <w:rsid w:val="00231B28"/>
    <w:rsid w:val="00231B99"/>
    <w:rsid w:val="00231C0B"/>
    <w:rsid w:val="00231C3F"/>
    <w:rsid w:val="00231C83"/>
    <w:rsid w:val="00231CEA"/>
    <w:rsid w:val="00231DC2"/>
    <w:rsid w:val="00231DD4"/>
    <w:rsid w:val="00231F02"/>
    <w:rsid w:val="00231F08"/>
    <w:rsid w:val="002320D4"/>
    <w:rsid w:val="0023213F"/>
    <w:rsid w:val="00232190"/>
    <w:rsid w:val="0023220E"/>
    <w:rsid w:val="002322D3"/>
    <w:rsid w:val="00232396"/>
    <w:rsid w:val="002324EB"/>
    <w:rsid w:val="002324F2"/>
    <w:rsid w:val="00232569"/>
    <w:rsid w:val="00232571"/>
    <w:rsid w:val="0023257F"/>
    <w:rsid w:val="00232618"/>
    <w:rsid w:val="00232720"/>
    <w:rsid w:val="002327DB"/>
    <w:rsid w:val="00232854"/>
    <w:rsid w:val="0023287E"/>
    <w:rsid w:val="002328DD"/>
    <w:rsid w:val="00232949"/>
    <w:rsid w:val="00232991"/>
    <w:rsid w:val="002329DC"/>
    <w:rsid w:val="00232AC5"/>
    <w:rsid w:val="00232BAA"/>
    <w:rsid w:val="00232CD8"/>
    <w:rsid w:val="00232CFE"/>
    <w:rsid w:val="00232D1E"/>
    <w:rsid w:val="00232D9A"/>
    <w:rsid w:val="00232D9D"/>
    <w:rsid w:val="00232E11"/>
    <w:rsid w:val="00232FEF"/>
    <w:rsid w:val="0023305C"/>
    <w:rsid w:val="0023319F"/>
    <w:rsid w:val="0023321B"/>
    <w:rsid w:val="00233342"/>
    <w:rsid w:val="00233363"/>
    <w:rsid w:val="002333E6"/>
    <w:rsid w:val="00233462"/>
    <w:rsid w:val="002334A5"/>
    <w:rsid w:val="00233513"/>
    <w:rsid w:val="00233544"/>
    <w:rsid w:val="00233673"/>
    <w:rsid w:val="002336CC"/>
    <w:rsid w:val="00233749"/>
    <w:rsid w:val="00233807"/>
    <w:rsid w:val="002338C2"/>
    <w:rsid w:val="00233939"/>
    <w:rsid w:val="00233943"/>
    <w:rsid w:val="00233989"/>
    <w:rsid w:val="0023399B"/>
    <w:rsid w:val="002339F1"/>
    <w:rsid w:val="00233A5D"/>
    <w:rsid w:val="00233ACE"/>
    <w:rsid w:val="00233AF8"/>
    <w:rsid w:val="00233B08"/>
    <w:rsid w:val="00233B4A"/>
    <w:rsid w:val="00233B67"/>
    <w:rsid w:val="00233B7A"/>
    <w:rsid w:val="00233BC8"/>
    <w:rsid w:val="00233BE7"/>
    <w:rsid w:val="00233CEC"/>
    <w:rsid w:val="00233D78"/>
    <w:rsid w:val="00233DA0"/>
    <w:rsid w:val="00233E32"/>
    <w:rsid w:val="00233E33"/>
    <w:rsid w:val="00233F00"/>
    <w:rsid w:val="00233F27"/>
    <w:rsid w:val="00234082"/>
    <w:rsid w:val="0023411D"/>
    <w:rsid w:val="0023412A"/>
    <w:rsid w:val="0023418C"/>
    <w:rsid w:val="002341C7"/>
    <w:rsid w:val="00234208"/>
    <w:rsid w:val="002342EE"/>
    <w:rsid w:val="00234335"/>
    <w:rsid w:val="00234352"/>
    <w:rsid w:val="00234401"/>
    <w:rsid w:val="0023449D"/>
    <w:rsid w:val="002344E0"/>
    <w:rsid w:val="002344E4"/>
    <w:rsid w:val="00234503"/>
    <w:rsid w:val="002345AE"/>
    <w:rsid w:val="00234611"/>
    <w:rsid w:val="00234654"/>
    <w:rsid w:val="00234658"/>
    <w:rsid w:val="00234695"/>
    <w:rsid w:val="0023475F"/>
    <w:rsid w:val="00234783"/>
    <w:rsid w:val="002347FF"/>
    <w:rsid w:val="0023483B"/>
    <w:rsid w:val="00234855"/>
    <w:rsid w:val="00234876"/>
    <w:rsid w:val="00234975"/>
    <w:rsid w:val="00234B33"/>
    <w:rsid w:val="00234BE1"/>
    <w:rsid w:val="00234C0A"/>
    <w:rsid w:val="00234D48"/>
    <w:rsid w:val="00234E17"/>
    <w:rsid w:val="00234E3C"/>
    <w:rsid w:val="00234E83"/>
    <w:rsid w:val="00234FA2"/>
    <w:rsid w:val="00235045"/>
    <w:rsid w:val="0023506C"/>
    <w:rsid w:val="00235096"/>
    <w:rsid w:val="0023512A"/>
    <w:rsid w:val="002351C5"/>
    <w:rsid w:val="00235372"/>
    <w:rsid w:val="00235391"/>
    <w:rsid w:val="002353E2"/>
    <w:rsid w:val="00235533"/>
    <w:rsid w:val="00235586"/>
    <w:rsid w:val="002355AF"/>
    <w:rsid w:val="00235607"/>
    <w:rsid w:val="002356CB"/>
    <w:rsid w:val="002356FA"/>
    <w:rsid w:val="00235738"/>
    <w:rsid w:val="0023577D"/>
    <w:rsid w:val="0023585D"/>
    <w:rsid w:val="00235943"/>
    <w:rsid w:val="002359DE"/>
    <w:rsid w:val="00235AEF"/>
    <w:rsid w:val="00235B31"/>
    <w:rsid w:val="00235B66"/>
    <w:rsid w:val="00235BD5"/>
    <w:rsid w:val="00235C48"/>
    <w:rsid w:val="00235CEC"/>
    <w:rsid w:val="00235D2B"/>
    <w:rsid w:val="00235D61"/>
    <w:rsid w:val="00235DD1"/>
    <w:rsid w:val="00235E7A"/>
    <w:rsid w:val="00235E9D"/>
    <w:rsid w:val="00235EDA"/>
    <w:rsid w:val="00235F7D"/>
    <w:rsid w:val="00235F7E"/>
    <w:rsid w:val="00235FFD"/>
    <w:rsid w:val="00236053"/>
    <w:rsid w:val="00236102"/>
    <w:rsid w:val="0023622E"/>
    <w:rsid w:val="0023633D"/>
    <w:rsid w:val="0023636F"/>
    <w:rsid w:val="002363F1"/>
    <w:rsid w:val="0023649E"/>
    <w:rsid w:val="002364AA"/>
    <w:rsid w:val="00236536"/>
    <w:rsid w:val="00236560"/>
    <w:rsid w:val="00236615"/>
    <w:rsid w:val="0023661B"/>
    <w:rsid w:val="0023661F"/>
    <w:rsid w:val="00236697"/>
    <w:rsid w:val="00236710"/>
    <w:rsid w:val="002368C6"/>
    <w:rsid w:val="002369B4"/>
    <w:rsid w:val="002369D8"/>
    <w:rsid w:val="00236AE6"/>
    <w:rsid w:val="00236B46"/>
    <w:rsid w:val="00236BE6"/>
    <w:rsid w:val="00236C80"/>
    <w:rsid w:val="00236DAE"/>
    <w:rsid w:val="00236DDF"/>
    <w:rsid w:val="00236E61"/>
    <w:rsid w:val="00236EBA"/>
    <w:rsid w:val="00236F93"/>
    <w:rsid w:val="00237137"/>
    <w:rsid w:val="00237145"/>
    <w:rsid w:val="00237184"/>
    <w:rsid w:val="002371DC"/>
    <w:rsid w:val="0023720C"/>
    <w:rsid w:val="00237214"/>
    <w:rsid w:val="00237236"/>
    <w:rsid w:val="002372C3"/>
    <w:rsid w:val="00237374"/>
    <w:rsid w:val="002374E7"/>
    <w:rsid w:val="002375E1"/>
    <w:rsid w:val="00237613"/>
    <w:rsid w:val="00237688"/>
    <w:rsid w:val="002376D3"/>
    <w:rsid w:val="002376FD"/>
    <w:rsid w:val="0023778E"/>
    <w:rsid w:val="00237857"/>
    <w:rsid w:val="0023787A"/>
    <w:rsid w:val="002378CC"/>
    <w:rsid w:val="00237916"/>
    <w:rsid w:val="00237A72"/>
    <w:rsid w:val="00237A91"/>
    <w:rsid w:val="00237B82"/>
    <w:rsid w:val="00237C09"/>
    <w:rsid w:val="00237C12"/>
    <w:rsid w:val="00237C1F"/>
    <w:rsid w:val="00237C3F"/>
    <w:rsid w:val="00237CDB"/>
    <w:rsid w:val="00237D9E"/>
    <w:rsid w:val="00237E07"/>
    <w:rsid w:val="00237E42"/>
    <w:rsid w:val="00237E97"/>
    <w:rsid w:val="00237EE0"/>
    <w:rsid w:val="0024001B"/>
    <w:rsid w:val="0024010E"/>
    <w:rsid w:val="0024015B"/>
    <w:rsid w:val="00240210"/>
    <w:rsid w:val="00240349"/>
    <w:rsid w:val="00240360"/>
    <w:rsid w:val="002403C9"/>
    <w:rsid w:val="002403E6"/>
    <w:rsid w:val="00240435"/>
    <w:rsid w:val="00240460"/>
    <w:rsid w:val="00240468"/>
    <w:rsid w:val="00240494"/>
    <w:rsid w:val="002404C3"/>
    <w:rsid w:val="002404ED"/>
    <w:rsid w:val="00240659"/>
    <w:rsid w:val="00240673"/>
    <w:rsid w:val="002406C3"/>
    <w:rsid w:val="0024071D"/>
    <w:rsid w:val="00240789"/>
    <w:rsid w:val="0024079E"/>
    <w:rsid w:val="002407D7"/>
    <w:rsid w:val="002407F7"/>
    <w:rsid w:val="002408B0"/>
    <w:rsid w:val="00240A32"/>
    <w:rsid w:val="00240B62"/>
    <w:rsid w:val="00240B71"/>
    <w:rsid w:val="00240B82"/>
    <w:rsid w:val="00240BA6"/>
    <w:rsid w:val="00240BBC"/>
    <w:rsid w:val="00240BC6"/>
    <w:rsid w:val="00240C27"/>
    <w:rsid w:val="00240DF2"/>
    <w:rsid w:val="00240E1E"/>
    <w:rsid w:val="00240E75"/>
    <w:rsid w:val="00240EE2"/>
    <w:rsid w:val="00240F14"/>
    <w:rsid w:val="00240F22"/>
    <w:rsid w:val="00241045"/>
    <w:rsid w:val="002410F1"/>
    <w:rsid w:val="0024121A"/>
    <w:rsid w:val="0024122D"/>
    <w:rsid w:val="002412E4"/>
    <w:rsid w:val="0024131A"/>
    <w:rsid w:val="00241361"/>
    <w:rsid w:val="002413B7"/>
    <w:rsid w:val="00241402"/>
    <w:rsid w:val="00241581"/>
    <w:rsid w:val="0024159C"/>
    <w:rsid w:val="002415B4"/>
    <w:rsid w:val="002415BA"/>
    <w:rsid w:val="00241603"/>
    <w:rsid w:val="0024177F"/>
    <w:rsid w:val="00241865"/>
    <w:rsid w:val="0024186B"/>
    <w:rsid w:val="00241878"/>
    <w:rsid w:val="0024187E"/>
    <w:rsid w:val="00241881"/>
    <w:rsid w:val="002419B0"/>
    <w:rsid w:val="002419BE"/>
    <w:rsid w:val="00241A3A"/>
    <w:rsid w:val="00241A5F"/>
    <w:rsid w:val="00241B6B"/>
    <w:rsid w:val="00241BA4"/>
    <w:rsid w:val="00241C1B"/>
    <w:rsid w:val="00241C45"/>
    <w:rsid w:val="00241D05"/>
    <w:rsid w:val="00241DD4"/>
    <w:rsid w:val="00241E4F"/>
    <w:rsid w:val="00241E8D"/>
    <w:rsid w:val="00241EC7"/>
    <w:rsid w:val="00241ED3"/>
    <w:rsid w:val="00241F5F"/>
    <w:rsid w:val="00241FFB"/>
    <w:rsid w:val="00242030"/>
    <w:rsid w:val="00242047"/>
    <w:rsid w:val="00242089"/>
    <w:rsid w:val="002420D1"/>
    <w:rsid w:val="00242191"/>
    <w:rsid w:val="002421CD"/>
    <w:rsid w:val="00242228"/>
    <w:rsid w:val="00242245"/>
    <w:rsid w:val="00242385"/>
    <w:rsid w:val="0024240E"/>
    <w:rsid w:val="00242565"/>
    <w:rsid w:val="002425D3"/>
    <w:rsid w:val="00242635"/>
    <w:rsid w:val="002426CB"/>
    <w:rsid w:val="00242700"/>
    <w:rsid w:val="00242731"/>
    <w:rsid w:val="002427B3"/>
    <w:rsid w:val="002427B7"/>
    <w:rsid w:val="002427CE"/>
    <w:rsid w:val="002428AB"/>
    <w:rsid w:val="0024294C"/>
    <w:rsid w:val="00242968"/>
    <w:rsid w:val="00242AE4"/>
    <w:rsid w:val="00242B42"/>
    <w:rsid w:val="00242B89"/>
    <w:rsid w:val="00242C7D"/>
    <w:rsid w:val="00242D2A"/>
    <w:rsid w:val="00242D54"/>
    <w:rsid w:val="00242D70"/>
    <w:rsid w:val="00242E35"/>
    <w:rsid w:val="00242F4A"/>
    <w:rsid w:val="00243244"/>
    <w:rsid w:val="00243251"/>
    <w:rsid w:val="0024326C"/>
    <w:rsid w:val="00243353"/>
    <w:rsid w:val="0024338B"/>
    <w:rsid w:val="00243394"/>
    <w:rsid w:val="00243401"/>
    <w:rsid w:val="002434FB"/>
    <w:rsid w:val="002435F6"/>
    <w:rsid w:val="002439D2"/>
    <w:rsid w:val="002439E3"/>
    <w:rsid w:val="00243A96"/>
    <w:rsid w:val="00243AF0"/>
    <w:rsid w:val="00243BC9"/>
    <w:rsid w:val="00243C4A"/>
    <w:rsid w:val="00243CFF"/>
    <w:rsid w:val="00243D40"/>
    <w:rsid w:val="00243F04"/>
    <w:rsid w:val="00243FC2"/>
    <w:rsid w:val="00243FF0"/>
    <w:rsid w:val="00244054"/>
    <w:rsid w:val="002440CF"/>
    <w:rsid w:val="00244104"/>
    <w:rsid w:val="00244158"/>
    <w:rsid w:val="00244177"/>
    <w:rsid w:val="002441C0"/>
    <w:rsid w:val="002441C7"/>
    <w:rsid w:val="002441FE"/>
    <w:rsid w:val="0024455C"/>
    <w:rsid w:val="00244564"/>
    <w:rsid w:val="002445A9"/>
    <w:rsid w:val="00244651"/>
    <w:rsid w:val="002446A7"/>
    <w:rsid w:val="0024470C"/>
    <w:rsid w:val="002448E6"/>
    <w:rsid w:val="00244904"/>
    <w:rsid w:val="00244A29"/>
    <w:rsid w:val="00244B74"/>
    <w:rsid w:val="00244C5D"/>
    <w:rsid w:val="00244CE0"/>
    <w:rsid w:val="00244D34"/>
    <w:rsid w:val="00244D4B"/>
    <w:rsid w:val="00244DF1"/>
    <w:rsid w:val="00244EAE"/>
    <w:rsid w:val="00244FB8"/>
    <w:rsid w:val="00245004"/>
    <w:rsid w:val="002450D8"/>
    <w:rsid w:val="00245126"/>
    <w:rsid w:val="00245183"/>
    <w:rsid w:val="002451DD"/>
    <w:rsid w:val="002452A9"/>
    <w:rsid w:val="002452F7"/>
    <w:rsid w:val="0024533D"/>
    <w:rsid w:val="00245517"/>
    <w:rsid w:val="0024559A"/>
    <w:rsid w:val="002455D8"/>
    <w:rsid w:val="002455DB"/>
    <w:rsid w:val="002455FD"/>
    <w:rsid w:val="002456A2"/>
    <w:rsid w:val="00245711"/>
    <w:rsid w:val="00245725"/>
    <w:rsid w:val="002457B4"/>
    <w:rsid w:val="00245922"/>
    <w:rsid w:val="0024594B"/>
    <w:rsid w:val="0024599D"/>
    <w:rsid w:val="002459AF"/>
    <w:rsid w:val="002459E8"/>
    <w:rsid w:val="00245A5F"/>
    <w:rsid w:val="00245A98"/>
    <w:rsid w:val="00245AAB"/>
    <w:rsid w:val="00245BF0"/>
    <w:rsid w:val="00245C89"/>
    <w:rsid w:val="00245C90"/>
    <w:rsid w:val="00245D5D"/>
    <w:rsid w:val="00245D6F"/>
    <w:rsid w:val="00245D9C"/>
    <w:rsid w:val="00245DB5"/>
    <w:rsid w:val="00245DE9"/>
    <w:rsid w:val="00245E0D"/>
    <w:rsid w:val="00245EFC"/>
    <w:rsid w:val="0024605A"/>
    <w:rsid w:val="00246112"/>
    <w:rsid w:val="002461BA"/>
    <w:rsid w:val="00246200"/>
    <w:rsid w:val="0024622A"/>
    <w:rsid w:val="002462C6"/>
    <w:rsid w:val="002463A5"/>
    <w:rsid w:val="002463DB"/>
    <w:rsid w:val="00246431"/>
    <w:rsid w:val="00246455"/>
    <w:rsid w:val="002465C4"/>
    <w:rsid w:val="002466C1"/>
    <w:rsid w:val="002466FE"/>
    <w:rsid w:val="0024674B"/>
    <w:rsid w:val="00246756"/>
    <w:rsid w:val="00246789"/>
    <w:rsid w:val="00246801"/>
    <w:rsid w:val="00246823"/>
    <w:rsid w:val="002468AA"/>
    <w:rsid w:val="002468C1"/>
    <w:rsid w:val="00246900"/>
    <w:rsid w:val="002469AC"/>
    <w:rsid w:val="00246A6B"/>
    <w:rsid w:val="00246B4E"/>
    <w:rsid w:val="00246B55"/>
    <w:rsid w:val="00246BDE"/>
    <w:rsid w:val="00246BE4"/>
    <w:rsid w:val="00246C0A"/>
    <w:rsid w:val="00246C63"/>
    <w:rsid w:val="00246C81"/>
    <w:rsid w:val="00246CC9"/>
    <w:rsid w:val="00246DDC"/>
    <w:rsid w:val="00246E5F"/>
    <w:rsid w:val="00246E73"/>
    <w:rsid w:val="00246EF1"/>
    <w:rsid w:val="00246EFA"/>
    <w:rsid w:val="00246F25"/>
    <w:rsid w:val="00246F3F"/>
    <w:rsid w:val="00246F49"/>
    <w:rsid w:val="00246F8E"/>
    <w:rsid w:val="00246FB6"/>
    <w:rsid w:val="00247026"/>
    <w:rsid w:val="0024704D"/>
    <w:rsid w:val="00247078"/>
    <w:rsid w:val="002470BB"/>
    <w:rsid w:val="0024712E"/>
    <w:rsid w:val="00247188"/>
    <w:rsid w:val="0024720D"/>
    <w:rsid w:val="002472C7"/>
    <w:rsid w:val="00247361"/>
    <w:rsid w:val="00247442"/>
    <w:rsid w:val="0024744E"/>
    <w:rsid w:val="00247626"/>
    <w:rsid w:val="00247666"/>
    <w:rsid w:val="0024770A"/>
    <w:rsid w:val="002477B1"/>
    <w:rsid w:val="002477DA"/>
    <w:rsid w:val="002478B0"/>
    <w:rsid w:val="00247919"/>
    <w:rsid w:val="00247AE4"/>
    <w:rsid w:val="00247AFE"/>
    <w:rsid w:val="00247C3F"/>
    <w:rsid w:val="00247C5D"/>
    <w:rsid w:val="00247CA6"/>
    <w:rsid w:val="00247CAC"/>
    <w:rsid w:val="00247CFC"/>
    <w:rsid w:val="00247D9B"/>
    <w:rsid w:val="00247E43"/>
    <w:rsid w:val="00247E54"/>
    <w:rsid w:val="0025003B"/>
    <w:rsid w:val="0025020B"/>
    <w:rsid w:val="0025020C"/>
    <w:rsid w:val="00250295"/>
    <w:rsid w:val="002502E0"/>
    <w:rsid w:val="0025055A"/>
    <w:rsid w:val="002505D6"/>
    <w:rsid w:val="002505EE"/>
    <w:rsid w:val="00250629"/>
    <w:rsid w:val="0025067E"/>
    <w:rsid w:val="0025075B"/>
    <w:rsid w:val="00250791"/>
    <w:rsid w:val="00250888"/>
    <w:rsid w:val="002508A5"/>
    <w:rsid w:val="002508B4"/>
    <w:rsid w:val="002508E9"/>
    <w:rsid w:val="002509E5"/>
    <w:rsid w:val="00250A29"/>
    <w:rsid w:val="00250A44"/>
    <w:rsid w:val="00250ADD"/>
    <w:rsid w:val="00250C25"/>
    <w:rsid w:val="00250C5A"/>
    <w:rsid w:val="00250CCF"/>
    <w:rsid w:val="00250D39"/>
    <w:rsid w:val="00250D4E"/>
    <w:rsid w:val="00250D70"/>
    <w:rsid w:val="00250DBA"/>
    <w:rsid w:val="00250DBF"/>
    <w:rsid w:val="00250DE0"/>
    <w:rsid w:val="00250E13"/>
    <w:rsid w:val="00250EFF"/>
    <w:rsid w:val="00250F34"/>
    <w:rsid w:val="00250FFA"/>
    <w:rsid w:val="00251050"/>
    <w:rsid w:val="002510B6"/>
    <w:rsid w:val="002510E1"/>
    <w:rsid w:val="00251181"/>
    <w:rsid w:val="002511D2"/>
    <w:rsid w:val="00251295"/>
    <w:rsid w:val="0025139F"/>
    <w:rsid w:val="0025144A"/>
    <w:rsid w:val="002514A1"/>
    <w:rsid w:val="002514AF"/>
    <w:rsid w:val="0025153C"/>
    <w:rsid w:val="00251555"/>
    <w:rsid w:val="002516D0"/>
    <w:rsid w:val="002516F4"/>
    <w:rsid w:val="0025177E"/>
    <w:rsid w:val="00251858"/>
    <w:rsid w:val="00251880"/>
    <w:rsid w:val="002518ED"/>
    <w:rsid w:val="002518FD"/>
    <w:rsid w:val="0025190E"/>
    <w:rsid w:val="0025192E"/>
    <w:rsid w:val="002519E2"/>
    <w:rsid w:val="00251B06"/>
    <w:rsid w:val="00251BE9"/>
    <w:rsid w:val="00251CA5"/>
    <w:rsid w:val="00251DAB"/>
    <w:rsid w:val="00251E7D"/>
    <w:rsid w:val="00251E91"/>
    <w:rsid w:val="00251F33"/>
    <w:rsid w:val="00251F57"/>
    <w:rsid w:val="00251FCE"/>
    <w:rsid w:val="00252053"/>
    <w:rsid w:val="002520E0"/>
    <w:rsid w:val="00252326"/>
    <w:rsid w:val="002523AB"/>
    <w:rsid w:val="0025252C"/>
    <w:rsid w:val="002525CC"/>
    <w:rsid w:val="002525F9"/>
    <w:rsid w:val="002526A3"/>
    <w:rsid w:val="00252751"/>
    <w:rsid w:val="0025281F"/>
    <w:rsid w:val="00252842"/>
    <w:rsid w:val="00252850"/>
    <w:rsid w:val="0025287E"/>
    <w:rsid w:val="002528F7"/>
    <w:rsid w:val="0025292D"/>
    <w:rsid w:val="002529C8"/>
    <w:rsid w:val="00252A44"/>
    <w:rsid w:val="00252AAC"/>
    <w:rsid w:val="00252BC4"/>
    <w:rsid w:val="00252C8E"/>
    <w:rsid w:val="00252D4A"/>
    <w:rsid w:val="00252DCD"/>
    <w:rsid w:val="00252F09"/>
    <w:rsid w:val="0025300E"/>
    <w:rsid w:val="00253074"/>
    <w:rsid w:val="00253081"/>
    <w:rsid w:val="002530A0"/>
    <w:rsid w:val="00253176"/>
    <w:rsid w:val="00253229"/>
    <w:rsid w:val="0025330F"/>
    <w:rsid w:val="002533F2"/>
    <w:rsid w:val="002533F3"/>
    <w:rsid w:val="00253454"/>
    <w:rsid w:val="00253520"/>
    <w:rsid w:val="00253526"/>
    <w:rsid w:val="002535DC"/>
    <w:rsid w:val="00253616"/>
    <w:rsid w:val="0025362A"/>
    <w:rsid w:val="0025368F"/>
    <w:rsid w:val="002537AE"/>
    <w:rsid w:val="002537DF"/>
    <w:rsid w:val="00253853"/>
    <w:rsid w:val="00253972"/>
    <w:rsid w:val="002539EB"/>
    <w:rsid w:val="00253AC2"/>
    <w:rsid w:val="00253B71"/>
    <w:rsid w:val="00253C53"/>
    <w:rsid w:val="00253C67"/>
    <w:rsid w:val="00253E13"/>
    <w:rsid w:val="00253E27"/>
    <w:rsid w:val="00253EF8"/>
    <w:rsid w:val="00253F37"/>
    <w:rsid w:val="00254074"/>
    <w:rsid w:val="0025408B"/>
    <w:rsid w:val="00254126"/>
    <w:rsid w:val="002541B6"/>
    <w:rsid w:val="002541F6"/>
    <w:rsid w:val="00254312"/>
    <w:rsid w:val="00254321"/>
    <w:rsid w:val="00254334"/>
    <w:rsid w:val="00254385"/>
    <w:rsid w:val="002543CD"/>
    <w:rsid w:val="002543D8"/>
    <w:rsid w:val="002543F4"/>
    <w:rsid w:val="00254530"/>
    <w:rsid w:val="00254534"/>
    <w:rsid w:val="0025460C"/>
    <w:rsid w:val="00254615"/>
    <w:rsid w:val="00254682"/>
    <w:rsid w:val="002546B6"/>
    <w:rsid w:val="00254725"/>
    <w:rsid w:val="0025479B"/>
    <w:rsid w:val="00254808"/>
    <w:rsid w:val="002548FF"/>
    <w:rsid w:val="00254902"/>
    <w:rsid w:val="00254AE0"/>
    <w:rsid w:val="00254B1E"/>
    <w:rsid w:val="00254B51"/>
    <w:rsid w:val="00254B7E"/>
    <w:rsid w:val="00254C61"/>
    <w:rsid w:val="00254C91"/>
    <w:rsid w:val="00254DAE"/>
    <w:rsid w:val="00254DF9"/>
    <w:rsid w:val="00254FB1"/>
    <w:rsid w:val="00255189"/>
    <w:rsid w:val="0025521E"/>
    <w:rsid w:val="0025527B"/>
    <w:rsid w:val="002552A1"/>
    <w:rsid w:val="002553C4"/>
    <w:rsid w:val="002553CC"/>
    <w:rsid w:val="002553E0"/>
    <w:rsid w:val="002553F4"/>
    <w:rsid w:val="0025545D"/>
    <w:rsid w:val="002554B3"/>
    <w:rsid w:val="00255507"/>
    <w:rsid w:val="00255517"/>
    <w:rsid w:val="00255542"/>
    <w:rsid w:val="00255576"/>
    <w:rsid w:val="002555F4"/>
    <w:rsid w:val="0025561D"/>
    <w:rsid w:val="00255672"/>
    <w:rsid w:val="00255673"/>
    <w:rsid w:val="002556D9"/>
    <w:rsid w:val="002557A3"/>
    <w:rsid w:val="002557C5"/>
    <w:rsid w:val="0025581C"/>
    <w:rsid w:val="002558AA"/>
    <w:rsid w:val="002558AE"/>
    <w:rsid w:val="00255977"/>
    <w:rsid w:val="002559A2"/>
    <w:rsid w:val="002559F5"/>
    <w:rsid w:val="00255A03"/>
    <w:rsid w:val="00255A40"/>
    <w:rsid w:val="00255AAA"/>
    <w:rsid w:val="00255ADE"/>
    <w:rsid w:val="00255AFD"/>
    <w:rsid w:val="00255B40"/>
    <w:rsid w:val="00255B45"/>
    <w:rsid w:val="00255BA0"/>
    <w:rsid w:val="00255C9D"/>
    <w:rsid w:val="00255CC9"/>
    <w:rsid w:val="00255D28"/>
    <w:rsid w:val="00255D95"/>
    <w:rsid w:val="00255E01"/>
    <w:rsid w:val="00255E54"/>
    <w:rsid w:val="00255E90"/>
    <w:rsid w:val="00255F4F"/>
    <w:rsid w:val="00255FF2"/>
    <w:rsid w:val="002560A9"/>
    <w:rsid w:val="002560B9"/>
    <w:rsid w:val="002560D5"/>
    <w:rsid w:val="002561E3"/>
    <w:rsid w:val="002561F9"/>
    <w:rsid w:val="0025621A"/>
    <w:rsid w:val="00256259"/>
    <w:rsid w:val="00256350"/>
    <w:rsid w:val="00256473"/>
    <w:rsid w:val="002564D4"/>
    <w:rsid w:val="0025652F"/>
    <w:rsid w:val="0025654D"/>
    <w:rsid w:val="002565AC"/>
    <w:rsid w:val="00256601"/>
    <w:rsid w:val="00256632"/>
    <w:rsid w:val="00256752"/>
    <w:rsid w:val="002567C5"/>
    <w:rsid w:val="002567FA"/>
    <w:rsid w:val="0025688C"/>
    <w:rsid w:val="002568D8"/>
    <w:rsid w:val="00256A59"/>
    <w:rsid w:val="00256AAD"/>
    <w:rsid w:val="00256B0B"/>
    <w:rsid w:val="00256B1F"/>
    <w:rsid w:val="00256C2E"/>
    <w:rsid w:val="00256CA4"/>
    <w:rsid w:val="00256CE1"/>
    <w:rsid w:val="00256D04"/>
    <w:rsid w:val="00256D14"/>
    <w:rsid w:val="00256D7B"/>
    <w:rsid w:val="00256F01"/>
    <w:rsid w:val="00257150"/>
    <w:rsid w:val="00257163"/>
    <w:rsid w:val="00257237"/>
    <w:rsid w:val="0025724D"/>
    <w:rsid w:val="00257277"/>
    <w:rsid w:val="0025730C"/>
    <w:rsid w:val="0025739D"/>
    <w:rsid w:val="0025742B"/>
    <w:rsid w:val="0025748A"/>
    <w:rsid w:val="0025760A"/>
    <w:rsid w:val="0025764E"/>
    <w:rsid w:val="0025765D"/>
    <w:rsid w:val="002576E1"/>
    <w:rsid w:val="0025772B"/>
    <w:rsid w:val="002577F5"/>
    <w:rsid w:val="00257890"/>
    <w:rsid w:val="002578C1"/>
    <w:rsid w:val="002578CF"/>
    <w:rsid w:val="00257907"/>
    <w:rsid w:val="002579FB"/>
    <w:rsid w:val="00257AD9"/>
    <w:rsid w:val="00257AE1"/>
    <w:rsid w:val="00257AF5"/>
    <w:rsid w:val="00257B01"/>
    <w:rsid w:val="00257CC2"/>
    <w:rsid w:val="00257CCD"/>
    <w:rsid w:val="00257D69"/>
    <w:rsid w:val="00257EED"/>
    <w:rsid w:val="00257F49"/>
    <w:rsid w:val="00257F5D"/>
    <w:rsid w:val="00257FE7"/>
    <w:rsid w:val="002600EA"/>
    <w:rsid w:val="00260265"/>
    <w:rsid w:val="00260287"/>
    <w:rsid w:val="00260296"/>
    <w:rsid w:val="002603C0"/>
    <w:rsid w:val="0026050B"/>
    <w:rsid w:val="00260703"/>
    <w:rsid w:val="00260810"/>
    <w:rsid w:val="0026081B"/>
    <w:rsid w:val="00260864"/>
    <w:rsid w:val="00260880"/>
    <w:rsid w:val="002608AC"/>
    <w:rsid w:val="00260A01"/>
    <w:rsid w:val="00260A72"/>
    <w:rsid w:val="00260A89"/>
    <w:rsid w:val="00260B8F"/>
    <w:rsid w:val="00260B93"/>
    <w:rsid w:val="00260B95"/>
    <w:rsid w:val="00260BE0"/>
    <w:rsid w:val="00260C8E"/>
    <w:rsid w:val="00260D2B"/>
    <w:rsid w:val="00260D67"/>
    <w:rsid w:val="00260DE0"/>
    <w:rsid w:val="00260DE7"/>
    <w:rsid w:val="00260E63"/>
    <w:rsid w:val="00260E95"/>
    <w:rsid w:val="00260EC2"/>
    <w:rsid w:val="00260F88"/>
    <w:rsid w:val="00260F98"/>
    <w:rsid w:val="00261135"/>
    <w:rsid w:val="002611B2"/>
    <w:rsid w:val="002611DB"/>
    <w:rsid w:val="0026128F"/>
    <w:rsid w:val="00261315"/>
    <w:rsid w:val="00261326"/>
    <w:rsid w:val="002613CA"/>
    <w:rsid w:val="002613D2"/>
    <w:rsid w:val="00261555"/>
    <w:rsid w:val="002615D4"/>
    <w:rsid w:val="002615D8"/>
    <w:rsid w:val="0026160F"/>
    <w:rsid w:val="00261646"/>
    <w:rsid w:val="00261702"/>
    <w:rsid w:val="00261733"/>
    <w:rsid w:val="00261774"/>
    <w:rsid w:val="002617AF"/>
    <w:rsid w:val="002617C7"/>
    <w:rsid w:val="00261804"/>
    <w:rsid w:val="0026189A"/>
    <w:rsid w:val="00261AF8"/>
    <w:rsid w:val="00261B14"/>
    <w:rsid w:val="00261BCD"/>
    <w:rsid w:val="00261C5F"/>
    <w:rsid w:val="00261CE6"/>
    <w:rsid w:val="00261DFA"/>
    <w:rsid w:val="00261E19"/>
    <w:rsid w:val="00261E8A"/>
    <w:rsid w:val="00261E8F"/>
    <w:rsid w:val="00261FAE"/>
    <w:rsid w:val="0026209C"/>
    <w:rsid w:val="0026221E"/>
    <w:rsid w:val="00262254"/>
    <w:rsid w:val="0026226A"/>
    <w:rsid w:val="00262319"/>
    <w:rsid w:val="00262322"/>
    <w:rsid w:val="00262355"/>
    <w:rsid w:val="002623C8"/>
    <w:rsid w:val="00262403"/>
    <w:rsid w:val="00262413"/>
    <w:rsid w:val="00262427"/>
    <w:rsid w:val="00262452"/>
    <w:rsid w:val="0026248C"/>
    <w:rsid w:val="002624F2"/>
    <w:rsid w:val="00262537"/>
    <w:rsid w:val="0026256A"/>
    <w:rsid w:val="0026257D"/>
    <w:rsid w:val="002625A3"/>
    <w:rsid w:val="00262634"/>
    <w:rsid w:val="002626DA"/>
    <w:rsid w:val="002627F1"/>
    <w:rsid w:val="002627F6"/>
    <w:rsid w:val="00262807"/>
    <w:rsid w:val="00262831"/>
    <w:rsid w:val="00262887"/>
    <w:rsid w:val="002628E8"/>
    <w:rsid w:val="002628F5"/>
    <w:rsid w:val="00262B5F"/>
    <w:rsid w:val="00262BE2"/>
    <w:rsid w:val="00262BFD"/>
    <w:rsid w:val="00262C14"/>
    <w:rsid w:val="00262C2E"/>
    <w:rsid w:val="00262C55"/>
    <w:rsid w:val="00262CB0"/>
    <w:rsid w:val="00262D01"/>
    <w:rsid w:val="00262D34"/>
    <w:rsid w:val="00262D4A"/>
    <w:rsid w:val="00262D83"/>
    <w:rsid w:val="00262D9E"/>
    <w:rsid w:val="00262DA8"/>
    <w:rsid w:val="00262DCF"/>
    <w:rsid w:val="00262DDF"/>
    <w:rsid w:val="00262E60"/>
    <w:rsid w:val="00262EE0"/>
    <w:rsid w:val="00262EF1"/>
    <w:rsid w:val="00262FD7"/>
    <w:rsid w:val="00263019"/>
    <w:rsid w:val="00263024"/>
    <w:rsid w:val="0026308C"/>
    <w:rsid w:val="00263168"/>
    <w:rsid w:val="0026325A"/>
    <w:rsid w:val="00263276"/>
    <w:rsid w:val="002632ED"/>
    <w:rsid w:val="002633C4"/>
    <w:rsid w:val="00263440"/>
    <w:rsid w:val="002634B1"/>
    <w:rsid w:val="002636C8"/>
    <w:rsid w:val="00263743"/>
    <w:rsid w:val="002637F5"/>
    <w:rsid w:val="00263817"/>
    <w:rsid w:val="00263820"/>
    <w:rsid w:val="0026386E"/>
    <w:rsid w:val="00263890"/>
    <w:rsid w:val="002639BC"/>
    <w:rsid w:val="00263AD3"/>
    <w:rsid w:val="00263AEF"/>
    <w:rsid w:val="00263B62"/>
    <w:rsid w:val="00263B6C"/>
    <w:rsid w:val="00263C04"/>
    <w:rsid w:val="00263C24"/>
    <w:rsid w:val="00263C40"/>
    <w:rsid w:val="00263C84"/>
    <w:rsid w:val="00263CBB"/>
    <w:rsid w:val="00263CD6"/>
    <w:rsid w:val="00263D1A"/>
    <w:rsid w:val="00263D62"/>
    <w:rsid w:val="00263DD0"/>
    <w:rsid w:val="00263EA4"/>
    <w:rsid w:val="00263F25"/>
    <w:rsid w:val="00263F52"/>
    <w:rsid w:val="00263FA3"/>
    <w:rsid w:val="00263FD6"/>
    <w:rsid w:val="0026406B"/>
    <w:rsid w:val="00264105"/>
    <w:rsid w:val="0026410D"/>
    <w:rsid w:val="002641F1"/>
    <w:rsid w:val="0026426E"/>
    <w:rsid w:val="002642FA"/>
    <w:rsid w:val="0026443E"/>
    <w:rsid w:val="00264441"/>
    <w:rsid w:val="00264458"/>
    <w:rsid w:val="0026445A"/>
    <w:rsid w:val="002644C8"/>
    <w:rsid w:val="00264521"/>
    <w:rsid w:val="00264577"/>
    <w:rsid w:val="0026458F"/>
    <w:rsid w:val="002645B6"/>
    <w:rsid w:val="0026461B"/>
    <w:rsid w:val="002646D1"/>
    <w:rsid w:val="002646DB"/>
    <w:rsid w:val="00264705"/>
    <w:rsid w:val="00264751"/>
    <w:rsid w:val="002649F8"/>
    <w:rsid w:val="00264C32"/>
    <w:rsid w:val="00264CD9"/>
    <w:rsid w:val="00264CE2"/>
    <w:rsid w:val="00264CE9"/>
    <w:rsid w:val="00264E1F"/>
    <w:rsid w:val="00265172"/>
    <w:rsid w:val="002651D1"/>
    <w:rsid w:val="00265262"/>
    <w:rsid w:val="00265295"/>
    <w:rsid w:val="00265398"/>
    <w:rsid w:val="002653A3"/>
    <w:rsid w:val="00265478"/>
    <w:rsid w:val="002654CC"/>
    <w:rsid w:val="002654FA"/>
    <w:rsid w:val="00265587"/>
    <w:rsid w:val="002655CF"/>
    <w:rsid w:val="00265687"/>
    <w:rsid w:val="002656A6"/>
    <w:rsid w:val="002656B0"/>
    <w:rsid w:val="0026570E"/>
    <w:rsid w:val="002657A4"/>
    <w:rsid w:val="002657C0"/>
    <w:rsid w:val="00265871"/>
    <w:rsid w:val="00265902"/>
    <w:rsid w:val="00265907"/>
    <w:rsid w:val="00265940"/>
    <w:rsid w:val="002659B6"/>
    <w:rsid w:val="002659BE"/>
    <w:rsid w:val="00265A07"/>
    <w:rsid w:val="00265A57"/>
    <w:rsid w:val="00265ADC"/>
    <w:rsid w:val="00265AE6"/>
    <w:rsid w:val="00265BA2"/>
    <w:rsid w:val="00265BF7"/>
    <w:rsid w:val="00265C5C"/>
    <w:rsid w:val="00265CB4"/>
    <w:rsid w:val="00265CD5"/>
    <w:rsid w:val="00265DB7"/>
    <w:rsid w:val="00265DDC"/>
    <w:rsid w:val="00265E11"/>
    <w:rsid w:val="00265E2D"/>
    <w:rsid w:val="00265F0A"/>
    <w:rsid w:val="00266081"/>
    <w:rsid w:val="002660FA"/>
    <w:rsid w:val="002662EC"/>
    <w:rsid w:val="00266400"/>
    <w:rsid w:val="00266446"/>
    <w:rsid w:val="0026648C"/>
    <w:rsid w:val="0026654E"/>
    <w:rsid w:val="0026657F"/>
    <w:rsid w:val="0026659B"/>
    <w:rsid w:val="002665AA"/>
    <w:rsid w:val="002665BC"/>
    <w:rsid w:val="002665D4"/>
    <w:rsid w:val="00266611"/>
    <w:rsid w:val="00266677"/>
    <w:rsid w:val="0026669E"/>
    <w:rsid w:val="002666B4"/>
    <w:rsid w:val="0026671C"/>
    <w:rsid w:val="002667A6"/>
    <w:rsid w:val="00266850"/>
    <w:rsid w:val="0026685B"/>
    <w:rsid w:val="0026694A"/>
    <w:rsid w:val="00266994"/>
    <w:rsid w:val="00266B0D"/>
    <w:rsid w:val="00266BC3"/>
    <w:rsid w:val="00266BEB"/>
    <w:rsid w:val="00266D9A"/>
    <w:rsid w:val="00266E1E"/>
    <w:rsid w:val="00266F25"/>
    <w:rsid w:val="00266F73"/>
    <w:rsid w:val="002670F7"/>
    <w:rsid w:val="00267127"/>
    <w:rsid w:val="002671B3"/>
    <w:rsid w:val="002671DE"/>
    <w:rsid w:val="0026720A"/>
    <w:rsid w:val="0026723B"/>
    <w:rsid w:val="0026725A"/>
    <w:rsid w:val="0026728B"/>
    <w:rsid w:val="002672F8"/>
    <w:rsid w:val="00267477"/>
    <w:rsid w:val="0026758D"/>
    <w:rsid w:val="00267665"/>
    <w:rsid w:val="00267691"/>
    <w:rsid w:val="00267767"/>
    <w:rsid w:val="0026796D"/>
    <w:rsid w:val="00267970"/>
    <w:rsid w:val="002679D0"/>
    <w:rsid w:val="002679D7"/>
    <w:rsid w:val="002679ED"/>
    <w:rsid w:val="00267AC8"/>
    <w:rsid w:val="00267B08"/>
    <w:rsid w:val="00267B28"/>
    <w:rsid w:val="00267B8E"/>
    <w:rsid w:val="00267BD0"/>
    <w:rsid w:val="00267C96"/>
    <w:rsid w:val="00267D89"/>
    <w:rsid w:val="00267E48"/>
    <w:rsid w:val="00267E4F"/>
    <w:rsid w:val="00267F95"/>
    <w:rsid w:val="00267FB8"/>
    <w:rsid w:val="00270074"/>
    <w:rsid w:val="002700A4"/>
    <w:rsid w:val="00270116"/>
    <w:rsid w:val="0027014B"/>
    <w:rsid w:val="002701E5"/>
    <w:rsid w:val="0027022D"/>
    <w:rsid w:val="00270249"/>
    <w:rsid w:val="00270403"/>
    <w:rsid w:val="002704C8"/>
    <w:rsid w:val="0027050C"/>
    <w:rsid w:val="0027057C"/>
    <w:rsid w:val="00270656"/>
    <w:rsid w:val="002706A3"/>
    <w:rsid w:val="0027073E"/>
    <w:rsid w:val="00270793"/>
    <w:rsid w:val="0027084F"/>
    <w:rsid w:val="00270852"/>
    <w:rsid w:val="00270859"/>
    <w:rsid w:val="00270896"/>
    <w:rsid w:val="00270A2D"/>
    <w:rsid w:val="00270A68"/>
    <w:rsid w:val="00270A6F"/>
    <w:rsid w:val="00270AE9"/>
    <w:rsid w:val="00270AED"/>
    <w:rsid w:val="00270EDE"/>
    <w:rsid w:val="00270F5B"/>
    <w:rsid w:val="0027100E"/>
    <w:rsid w:val="00271065"/>
    <w:rsid w:val="00271087"/>
    <w:rsid w:val="00271127"/>
    <w:rsid w:val="0027115E"/>
    <w:rsid w:val="00271165"/>
    <w:rsid w:val="002712E3"/>
    <w:rsid w:val="00271388"/>
    <w:rsid w:val="002713B8"/>
    <w:rsid w:val="002713F7"/>
    <w:rsid w:val="0027149B"/>
    <w:rsid w:val="002714DE"/>
    <w:rsid w:val="002714EA"/>
    <w:rsid w:val="0027156D"/>
    <w:rsid w:val="0027165E"/>
    <w:rsid w:val="0027172C"/>
    <w:rsid w:val="00271778"/>
    <w:rsid w:val="002717D8"/>
    <w:rsid w:val="0027190E"/>
    <w:rsid w:val="002719BE"/>
    <w:rsid w:val="002719C7"/>
    <w:rsid w:val="002719DE"/>
    <w:rsid w:val="00271AAA"/>
    <w:rsid w:val="00271B60"/>
    <w:rsid w:val="00271B6F"/>
    <w:rsid w:val="00271B7A"/>
    <w:rsid w:val="00271BDD"/>
    <w:rsid w:val="00271C24"/>
    <w:rsid w:val="00271DB3"/>
    <w:rsid w:val="00271E1F"/>
    <w:rsid w:val="00271E2C"/>
    <w:rsid w:val="00271E54"/>
    <w:rsid w:val="00271FD0"/>
    <w:rsid w:val="0027217A"/>
    <w:rsid w:val="002721C0"/>
    <w:rsid w:val="0027224D"/>
    <w:rsid w:val="002726B6"/>
    <w:rsid w:val="00272892"/>
    <w:rsid w:val="00272893"/>
    <w:rsid w:val="002728C9"/>
    <w:rsid w:val="002728F9"/>
    <w:rsid w:val="0027291F"/>
    <w:rsid w:val="00272939"/>
    <w:rsid w:val="00272973"/>
    <w:rsid w:val="00272A87"/>
    <w:rsid w:val="00272B4C"/>
    <w:rsid w:val="00272C66"/>
    <w:rsid w:val="00272CC7"/>
    <w:rsid w:val="00272CFD"/>
    <w:rsid w:val="00272D54"/>
    <w:rsid w:val="00272D75"/>
    <w:rsid w:val="00272DD8"/>
    <w:rsid w:val="00272E4F"/>
    <w:rsid w:val="00272E57"/>
    <w:rsid w:val="00272ECC"/>
    <w:rsid w:val="00272F2F"/>
    <w:rsid w:val="00272F9A"/>
    <w:rsid w:val="00273060"/>
    <w:rsid w:val="00273086"/>
    <w:rsid w:val="002730C2"/>
    <w:rsid w:val="002731C3"/>
    <w:rsid w:val="002732A9"/>
    <w:rsid w:val="002732B5"/>
    <w:rsid w:val="0027334D"/>
    <w:rsid w:val="002733B2"/>
    <w:rsid w:val="0027340D"/>
    <w:rsid w:val="0027347C"/>
    <w:rsid w:val="002734DC"/>
    <w:rsid w:val="002735EE"/>
    <w:rsid w:val="00273635"/>
    <w:rsid w:val="00273685"/>
    <w:rsid w:val="0027370D"/>
    <w:rsid w:val="0027374D"/>
    <w:rsid w:val="002737E0"/>
    <w:rsid w:val="002737E8"/>
    <w:rsid w:val="002738A1"/>
    <w:rsid w:val="002738F2"/>
    <w:rsid w:val="0027394A"/>
    <w:rsid w:val="002739BA"/>
    <w:rsid w:val="00273B81"/>
    <w:rsid w:val="00273BC1"/>
    <w:rsid w:val="00273C07"/>
    <w:rsid w:val="00273CAB"/>
    <w:rsid w:val="00273CF0"/>
    <w:rsid w:val="00273D1F"/>
    <w:rsid w:val="00273E22"/>
    <w:rsid w:val="00273E9F"/>
    <w:rsid w:val="002740E8"/>
    <w:rsid w:val="002741B2"/>
    <w:rsid w:val="0027426B"/>
    <w:rsid w:val="002743F9"/>
    <w:rsid w:val="00274423"/>
    <w:rsid w:val="0027442A"/>
    <w:rsid w:val="002745BF"/>
    <w:rsid w:val="002746E3"/>
    <w:rsid w:val="00274726"/>
    <w:rsid w:val="0027473D"/>
    <w:rsid w:val="00274740"/>
    <w:rsid w:val="00274743"/>
    <w:rsid w:val="002747F5"/>
    <w:rsid w:val="00274803"/>
    <w:rsid w:val="0027480D"/>
    <w:rsid w:val="00274887"/>
    <w:rsid w:val="002748A7"/>
    <w:rsid w:val="002749F5"/>
    <w:rsid w:val="00274A68"/>
    <w:rsid w:val="00274B74"/>
    <w:rsid w:val="00274C41"/>
    <w:rsid w:val="00274D3F"/>
    <w:rsid w:val="00274D60"/>
    <w:rsid w:val="00274EC1"/>
    <w:rsid w:val="00274F02"/>
    <w:rsid w:val="00274F17"/>
    <w:rsid w:val="00274F3B"/>
    <w:rsid w:val="0027501E"/>
    <w:rsid w:val="00275021"/>
    <w:rsid w:val="002750CF"/>
    <w:rsid w:val="00275126"/>
    <w:rsid w:val="00275167"/>
    <w:rsid w:val="002751BC"/>
    <w:rsid w:val="00275215"/>
    <w:rsid w:val="0027539D"/>
    <w:rsid w:val="002753C5"/>
    <w:rsid w:val="00275408"/>
    <w:rsid w:val="00275440"/>
    <w:rsid w:val="0027546E"/>
    <w:rsid w:val="0027568A"/>
    <w:rsid w:val="002756D2"/>
    <w:rsid w:val="002756DB"/>
    <w:rsid w:val="00275709"/>
    <w:rsid w:val="00275759"/>
    <w:rsid w:val="002758B8"/>
    <w:rsid w:val="0027590B"/>
    <w:rsid w:val="00275929"/>
    <w:rsid w:val="002759AC"/>
    <w:rsid w:val="002759BB"/>
    <w:rsid w:val="002759DB"/>
    <w:rsid w:val="00275A2A"/>
    <w:rsid w:val="00275A66"/>
    <w:rsid w:val="00275B12"/>
    <w:rsid w:val="00275BD3"/>
    <w:rsid w:val="00275CC6"/>
    <w:rsid w:val="00275CFD"/>
    <w:rsid w:val="00275D03"/>
    <w:rsid w:val="00275D8F"/>
    <w:rsid w:val="00275DA0"/>
    <w:rsid w:val="00275EFC"/>
    <w:rsid w:val="00276108"/>
    <w:rsid w:val="002763C1"/>
    <w:rsid w:val="00276422"/>
    <w:rsid w:val="00276444"/>
    <w:rsid w:val="00276479"/>
    <w:rsid w:val="0027647D"/>
    <w:rsid w:val="00276485"/>
    <w:rsid w:val="002765FA"/>
    <w:rsid w:val="00276654"/>
    <w:rsid w:val="0027665A"/>
    <w:rsid w:val="002766E4"/>
    <w:rsid w:val="00276719"/>
    <w:rsid w:val="002767A5"/>
    <w:rsid w:val="002767F1"/>
    <w:rsid w:val="002768B2"/>
    <w:rsid w:val="002769C2"/>
    <w:rsid w:val="002769DF"/>
    <w:rsid w:val="00276A80"/>
    <w:rsid w:val="00276B38"/>
    <w:rsid w:val="00276B4A"/>
    <w:rsid w:val="00276B67"/>
    <w:rsid w:val="00276B90"/>
    <w:rsid w:val="00276CE1"/>
    <w:rsid w:val="00276D07"/>
    <w:rsid w:val="00276DB1"/>
    <w:rsid w:val="00276E5F"/>
    <w:rsid w:val="00276E88"/>
    <w:rsid w:val="00276EBF"/>
    <w:rsid w:val="00276F05"/>
    <w:rsid w:val="00277062"/>
    <w:rsid w:val="002770AC"/>
    <w:rsid w:val="002771B2"/>
    <w:rsid w:val="002771D8"/>
    <w:rsid w:val="00277302"/>
    <w:rsid w:val="002773A3"/>
    <w:rsid w:val="002773EC"/>
    <w:rsid w:val="0027752C"/>
    <w:rsid w:val="002775F9"/>
    <w:rsid w:val="0027761A"/>
    <w:rsid w:val="00277696"/>
    <w:rsid w:val="00277730"/>
    <w:rsid w:val="002777D4"/>
    <w:rsid w:val="0027787C"/>
    <w:rsid w:val="0027790C"/>
    <w:rsid w:val="00277922"/>
    <w:rsid w:val="0027793B"/>
    <w:rsid w:val="002779A4"/>
    <w:rsid w:val="00277BDE"/>
    <w:rsid w:val="00277CBB"/>
    <w:rsid w:val="00277DA9"/>
    <w:rsid w:val="00277DBB"/>
    <w:rsid w:val="00277DFC"/>
    <w:rsid w:val="00277E88"/>
    <w:rsid w:val="00277F41"/>
    <w:rsid w:val="00277F79"/>
    <w:rsid w:val="00277FD9"/>
    <w:rsid w:val="002800C1"/>
    <w:rsid w:val="002801F9"/>
    <w:rsid w:val="00280248"/>
    <w:rsid w:val="00280278"/>
    <w:rsid w:val="002804AA"/>
    <w:rsid w:val="00280566"/>
    <w:rsid w:val="002807C3"/>
    <w:rsid w:val="002807FD"/>
    <w:rsid w:val="00280AF1"/>
    <w:rsid w:val="00280C2D"/>
    <w:rsid w:val="00280C34"/>
    <w:rsid w:val="00280CB1"/>
    <w:rsid w:val="00280D71"/>
    <w:rsid w:val="00280ED8"/>
    <w:rsid w:val="00280EDE"/>
    <w:rsid w:val="00280F1A"/>
    <w:rsid w:val="00280F85"/>
    <w:rsid w:val="00280FC8"/>
    <w:rsid w:val="00280FE3"/>
    <w:rsid w:val="00281008"/>
    <w:rsid w:val="002810AD"/>
    <w:rsid w:val="002810E0"/>
    <w:rsid w:val="002810F8"/>
    <w:rsid w:val="0028115B"/>
    <w:rsid w:val="0028116B"/>
    <w:rsid w:val="00281249"/>
    <w:rsid w:val="00281275"/>
    <w:rsid w:val="002812EA"/>
    <w:rsid w:val="00281450"/>
    <w:rsid w:val="00281478"/>
    <w:rsid w:val="002814E9"/>
    <w:rsid w:val="0028158F"/>
    <w:rsid w:val="002815C1"/>
    <w:rsid w:val="002815F5"/>
    <w:rsid w:val="00281626"/>
    <w:rsid w:val="00281677"/>
    <w:rsid w:val="0028168A"/>
    <w:rsid w:val="0028169F"/>
    <w:rsid w:val="002818F5"/>
    <w:rsid w:val="002819CD"/>
    <w:rsid w:val="00281A3E"/>
    <w:rsid w:val="00281AB0"/>
    <w:rsid w:val="00281AEC"/>
    <w:rsid w:val="00281B87"/>
    <w:rsid w:val="00281D29"/>
    <w:rsid w:val="00281DE4"/>
    <w:rsid w:val="00281E19"/>
    <w:rsid w:val="00281EF2"/>
    <w:rsid w:val="002820F2"/>
    <w:rsid w:val="0028211F"/>
    <w:rsid w:val="002821DD"/>
    <w:rsid w:val="00282237"/>
    <w:rsid w:val="00282273"/>
    <w:rsid w:val="00282327"/>
    <w:rsid w:val="002823C7"/>
    <w:rsid w:val="00282483"/>
    <w:rsid w:val="00282505"/>
    <w:rsid w:val="0028265F"/>
    <w:rsid w:val="002826C2"/>
    <w:rsid w:val="00282844"/>
    <w:rsid w:val="002828BB"/>
    <w:rsid w:val="002828CF"/>
    <w:rsid w:val="00282932"/>
    <w:rsid w:val="00282A06"/>
    <w:rsid w:val="00282A1E"/>
    <w:rsid w:val="00282A2D"/>
    <w:rsid w:val="00282AAA"/>
    <w:rsid w:val="00282AEE"/>
    <w:rsid w:val="00282BB3"/>
    <w:rsid w:val="00282C76"/>
    <w:rsid w:val="00282D99"/>
    <w:rsid w:val="00282EB1"/>
    <w:rsid w:val="00282EF4"/>
    <w:rsid w:val="00283114"/>
    <w:rsid w:val="00283164"/>
    <w:rsid w:val="00283222"/>
    <w:rsid w:val="00283292"/>
    <w:rsid w:val="002832A3"/>
    <w:rsid w:val="0028334C"/>
    <w:rsid w:val="002833A2"/>
    <w:rsid w:val="002833C7"/>
    <w:rsid w:val="002833CA"/>
    <w:rsid w:val="00283427"/>
    <w:rsid w:val="002835D5"/>
    <w:rsid w:val="002835F5"/>
    <w:rsid w:val="00283747"/>
    <w:rsid w:val="0028374A"/>
    <w:rsid w:val="00283753"/>
    <w:rsid w:val="002837C3"/>
    <w:rsid w:val="00283834"/>
    <w:rsid w:val="00283926"/>
    <w:rsid w:val="00283971"/>
    <w:rsid w:val="002839C5"/>
    <w:rsid w:val="002839F8"/>
    <w:rsid w:val="00283A3F"/>
    <w:rsid w:val="00283A51"/>
    <w:rsid w:val="00283B5D"/>
    <w:rsid w:val="00283C05"/>
    <w:rsid w:val="00283C29"/>
    <w:rsid w:val="00283D1E"/>
    <w:rsid w:val="00283D6F"/>
    <w:rsid w:val="00283E00"/>
    <w:rsid w:val="00283E77"/>
    <w:rsid w:val="00283EB1"/>
    <w:rsid w:val="00283F35"/>
    <w:rsid w:val="00283FAB"/>
    <w:rsid w:val="00283FF0"/>
    <w:rsid w:val="002841B2"/>
    <w:rsid w:val="00284272"/>
    <w:rsid w:val="00284289"/>
    <w:rsid w:val="0028434B"/>
    <w:rsid w:val="002843BA"/>
    <w:rsid w:val="002843CE"/>
    <w:rsid w:val="002844C4"/>
    <w:rsid w:val="0028454A"/>
    <w:rsid w:val="002845E3"/>
    <w:rsid w:val="00284634"/>
    <w:rsid w:val="00284682"/>
    <w:rsid w:val="00284699"/>
    <w:rsid w:val="002846E7"/>
    <w:rsid w:val="002846ED"/>
    <w:rsid w:val="00284749"/>
    <w:rsid w:val="0028475B"/>
    <w:rsid w:val="0028483F"/>
    <w:rsid w:val="00284850"/>
    <w:rsid w:val="002848D2"/>
    <w:rsid w:val="00284989"/>
    <w:rsid w:val="00284C80"/>
    <w:rsid w:val="00284D14"/>
    <w:rsid w:val="00284DA3"/>
    <w:rsid w:val="00284DA7"/>
    <w:rsid w:val="00284E00"/>
    <w:rsid w:val="00284E67"/>
    <w:rsid w:val="00284EE8"/>
    <w:rsid w:val="00284EF6"/>
    <w:rsid w:val="00284F55"/>
    <w:rsid w:val="00284F8A"/>
    <w:rsid w:val="00284FD2"/>
    <w:rsid w:val="00285022"/>
    <w:rsid w:val="00285045"/>
    <w:rsid w:val="00285087"/>
    <w:rsid w:val="0028518F"/>
    <w:rsid w:val="002851A2"/>
    <w:rsid w:val="002851DB"/>
    <w:rsid w:val="00285236"/>
    <w:rsid w:val="00285274"/>
    <w:rsid w:val="00285446"/>
    <w:rsid w:val="00285463"/>
    <w:rsid w:val="00285593"/>
    <w:rsid w:val="002855CC"/>
    <w:rsid w:val="002855EF"/>
    <w:rsid w:val="0028562B"/>
    <w:rsid w:val="00285640"/>
    <w:rsid w:val="002856A9"/>
    <w:rsid w:val="0028575F"/>
    <w:rsid w:val="00285850"/>
    <w:rsid w:val="00285969"/>
    <w:rsid w:val="002859D1"/>
    <w:rsid w:val="00285A41"/>
    <w:rsid w:val="00285A6D"/>
    <w:rsid w:val="00285B92"/>
    <w:rsid w:val="00285C8A"/>
    <w:rsid w:val="00285CE6"/>
    <w:rsid w:val="00285CF5"/>
    <w:rsid w:val="00285EA0"/>
    <w:rsid w:val="00285EA1"/>
    <w:rsid w:val="00285EC6"/>
    <w:rsid w:val="00285F20"/>
    <w:rsid w:val="00285F85"/>
    <w:rsid w:val="00285FCF"/>
    <w:rsid w:val="0028606B"/>
    <w:rsid w:val="0028639F"/>
    <w:rsid w:val="00286444"/>
    <w:rsid w:val="002864D1"/>
    <w:rsid w:val="002864D8"/>
    <w:rsid w:val="002864F4"/>
    <w:rsid w:val="00286544"/>
    <w:rsid w:val="00286584"/>
    <w:rsid w:val="002865EE"/>
    <w:rsid w:val="002866C2"/>
    <w:rsid w:val="00286795"/>
    <w:rsid w:val="00286883"/>
    <w:rsid w:val="002868B5"/>
    <w:rsid w:val="002868FB"/>
    <w:rsid w:val="00286918"/>
    <w:rsid w:val="00286955"/>
    <w:rsid w:val="00286A23"/>
    <w:rsid w:val="00286AB6"/>
    <w:rsid w:val="00286BB5"/>
    <w:rsid w:val="00286BDF"/>
    <w:rsid w:val="00286C10"/>
    <w:rsid w:val="00286C52"/>
    <w:rsid w:val="00286C5D"/>
    <w:rsid w:val="00286CAE"/>
    <w:rsid w:val="00286CC7"/>
    <w:rsid w:val="00286D46"/>
    <w:rsid w:val="00286D4B"/>
    <w:rsid w:val="00286E18"/>
    <w:rsid w:val="00286EBC"/>
    <w:rsid w:val="00286FD4"/>
    <w:rsid w:val="0028705D"/>
    <w:rsid w:val="0028720A"/>
    <w:rsid w:val="0028737D"/>
    <w:rsid w:val="002873DA"/>
    <w:rsid w:val="0028740F"/>
    <w:rsid w:val="00287640"/>
    <w:rsid w:val="00287678"/>
    <w:rsid w:val="00287680"/>
    <w:rsid w:val="00287716"/>
    <w:rsid w:val="0028772D"/>
    <w:rsid w:val="00287760"/>
    <w:rsid w:val="002879D0"/>
    <w:rsid w:val="002879D9"/>
    <w:rsid w:val="00287BA3"/>
    <w:rsid w:val="00287C0F"/>
    <w:rsid w:val="00287C30"/>
    <w:rsid w:val="00287C32"/>
    <w:rsid w:val="00287C88"/>
    <w:rsid w:val="00287CE4"/>
    <w:rsid w:val="00287D2B"/>
    <w:rsid w:val="00287D69"/>
    <w:rsid w:val="00287DD1"/>
    <w:rsid w:val="00287DF1"/>
    <w:rsid w:val="00287F15"/>
    <w:rsid w:val="00287F56"/>
    <w:rsid w:val="00290037"/>
    <w:rsid w:val="00290112"/>
    <w:rsid w:val="0029029E"/>
    <w:rsid w:val="002902E6"/>
    <w:rsid w:val="00290354"/>
    <w:rsid w:val="00290374"/>
    <w:rsid w:val="002904E4"/>
    <w:rsid w:val="0029067D"/>
    <w:rsid w:val="002906AA"/>
    <w:rsid w:val="00290727"/>
    <w:rsid w:val="002907C9"/>
    <w:rsid w:val="0029089B"/>
    <w:rsid w:val="00290921"/>
    <w:rsid w:val="00290988"/>
    <w:rsid w:val="002909B6"/>
    <w:rsid w:val="00290C7E"/>
    <w:rsid w:val="00290E4B"/>
    <w:rsid w:val="00290E8C"/>
    <w:rsid w:val="00290F39"/>
    <w:rsid w:val="00290FAC"/>
    <w:rsid w:val="0029100A"/>
    <w:rsid w:val="00291011"/>
    <w:rsid w:val="0029104B"/>
    <w:rsid w:val="00291140"/>
    <w:rsid w:val="002911A1"/>
    <w:rsid w:val="00291211"/>
    <w:rsid w:val="00291293"/>
    <w:rsid w:val="002912E1"/>
    <w:rsid w:val="002913C7"/>
    <w:rsid w:val="002913CA"/>
    <w:rsid w:val="002913F4"/>
    <w:rsid w:val="00291451"/>
    <w:rsid w:val="00291461"/>
    <w:rsid w:val="00291525"/>
    <w:rsid w:val="0029152F"/>
    <w:rsid w:val="002916EC"/>
    <w:rsid w:val="00291873"/>
    <w:rsid w:val="002918B3"/>
    <w:rsid w:val="00291985"/>
    <w:rsid w:val="002919D9"/>
    <w:rsid w:val="00291A06"/>
    <w:rsid w:val="00291A52"/>
    <w:rsid w:val="00291A5E"/>
    <w:rsid w:val="00291A95"/>
    <w:rsid w:val="00291B2C"/>
    <w:rsid w:val="00291BB3"/>
    <w:rsid w:val="00291BCD"/>
    <w:rsid w:val="00291C1F"/>
    <w:rsid w:val="00291CF5"/>
    <w:rsid w:val="00291D33"/>
    <w:rsid w:val="00291DC2"/>
    <w:rsid w:val="00291DD2"/>
    <w:rsid w:val="00291E15"/>
    <w:rsid w:val="00291E2C"/>
    <w:rsid w:val="00291ED7"/>
    <w:rsid w:val="00292015"/>
    <w:rsid w:val="002920C4"/>
    <w:rsid w:val="0029215B"/>
    <w:rsid w:val="002921C9"/>
    <w:rsid w:val="0029228E"/>
    <w:rsid w:val="0029235E"/>
    <w:rsid w:val="00292390"/>
    <w:rsid w:val="00292419"/>
    <w:rsid w:val="002924D5"/>
    <w:rsid w:val="002924F8"/>
    <w:rsid w:val="00292542"/>
    <w:rsid w:val="002925AC"/>
    <w:rsid w:val="002925E1"/>
    <w:rsid w:val="00292652"/>
    <w:rsid w:val="002926A2"/>
    <w:rsid w:val="002926EC"/>
    <w:rsid w:val="002927C6"/>
    <w:rsid w:val="002927EC"/>
    <w:rsid w:val="002928DF"/>
    <w:rsid w:val="00292945"/>
    <w:rsid w:val="00292946"/>
    <w:rsid w:val="002929A6"/>
    <w:rsid w:val="002929EA"/>
    <w:rsid w:val="002929FC"/>
    <w:rsid w:val="00292A36"/>
    <w:rsid w:val="00292A65"/>
    <w:rsid w:val="00292B21"/>
    <w:rsid w:val="00292B6D"/>
    <w:rsid w:val="00292B9E"/>
    <w:rsid w:val="00292C3A"/>
    <w:rsid w:val="00292C5E"/>
    <w:rsid w:val="00292C90"/>
    <w:rsid w:val="00292D2C"/>
    <w:rsid w:val="00292DC4"/>
    <w:rsid w:val="00292DD7"/>
    <w:rsid w:val="00292F44"/>
    <w:rsid w:val="00292F50"/>
    <w:rsid w:val="00292F56"/>
    <w:rsid w:val="00292FA7"/>
    <w:rsid w:val="00292FDD"/>
    <w:rsid w:val="00293027"/>
    <w:rsid w:val="0029316B"/>
    <w:rsid w:val="002931AD"/>
    <w:rsid w:val="00293221"/>
    <w:rsid w:val="00293241"/>
    <w:rsid w:val="00293267"/>
    <w:rsid w:val="002932A5"/>
    <w:rsid w:val="002932B6"/>
    <w:rsid w:val="002932CA"/>
    <w:rsid w:val="002932F2"/>
    <w:rsid w:val="0029335F"/>
    <w:rsid w:val="0029337B"/>
    <w:rsid w:val="0029339E"/>
    <w:rsid w:val="002933CB"/>
    <w:rsid w:val="00293454"/>
    <w:rsid w:val="002934C4"/>
    <w:rsid w:val="00293560"/>
    <w:rsid w:val="002935B3"/>
    <w:rsid w:val="002935EC"/>
    <w:rsid w:val="00293687"/>
    <w:rsid w:val="002936A7"/>
    <w:rsid w:val="002936C9"/>
    <w:rsid w:val="0029374A"/>
    <w:rsid w:val="0029376C"/>
    <w:rsid w:val="00293916"/>
    <w:rsid w:val="0029392E"/>
    <w:rsid w:val="002939D3"/>
    <w:rsid w:val="00293A1A"/>
    <w:rsid w:val="00293A5B"/>
    <w:rsid w:val="00293A73"/>
    <w:rsid w:val="00293A96"/>
    <w:rsid w:val="00293ACC"/>
    <w:rsid w:val="00293C06"/>
    <w:rsid w:val="00293C41"/>
    <w:rsid w:val="00293CB6"/>
    <w:rsid w:val="00293DE4"/>
    <w:rsid w:val="00293E1E"/>
    <w:rsid w:val="00293E34"/>
    <w:rsid w:val="00293E95"/>
    <w:rsid w:val="00293ED9"/>
    <w:rsid w:val="00293F46"/>
    <w:rsid w:val="00293FB2"/>
    <w:rsid w:val="00293FE7"/>
    <w:rsid w:val="00293FEF"/>
    <w:rsid w:val="00294027"/>
    <w:rsid w:val="002941B2"/>
    <w:rsid w:val="002941E0"/>
    <w:rsid w:val="002941FD"/>
    <w:rsid w:val="00294229"/>
    <w:rsid w:val="00294250"/>
    <w:rsid w:val="002942B8"/>
    <w:rsid w:val="002944AF"/>
    <w:rsid w:val="002944D0"/>
    <w:rsid w:val="0029451B"/>
    <w:rsid w:val="00294549"/>
    <w:rsid w:val="0029464C"/>
    <w:rsid w:val="002946A0"/>
    <w:rsid w:val="002946BF"/>
    <w:rsid w:val="00294863"/>
    <w:rsid w:val="002948AC"/>
    <w:rsid w:val="0029490B"/>
    <w:rsid w:val="00294989"/>
    <w:rsid w:val="00294A31"/>
    <w:rsid w:val="00294A5D"/>
    <w:rsid w:val="00294ADC"/>
    <w:rsid w:val="00294AF1"/>
    <w:rsid w:val="00294BF2"/>
    <w:rsid w:val="00294D2A"/>
    <w:rsid w:val="00294D9E"/>
    <w:rsid w:val="00294DBC"/>
    <w:rsid w:val="00294E0A"/>
    <w:rsid w:val="00294E62"/>
    <w:rsid w:val="00294E94"/>
    <w:rsid w:val="00294ED4"/>
    <w:rsid w:val="00294F5A"/>
    <w:rsid w:val="00294F83"/>
    <w:rsid w:val="0029503B"/>
    <w:rsid w:val="0029503D"/>
    <w:rsid w:val="0029511C"/>
    <w:rsid w:val="0029514D"/>
    <w:rsid w:val="00295191"/>
    <w:rsid w:val="002951A7"/>
    <w:rsid w:val="0029524B"/>
    <w:rsid w:val="0029536F"/>
    <w:rsid w:val="00295379"/>
    <w:rsid w:val="0029538E"/>
    <w:rsid w:val="002953A3"/>
    <w:rsid w:val="002953BB"/>
    <w:rsid w:val="002953C7"/>
    <w:rsid w:val="0029541E"/>
    <w:rsid w:val="0029547B"/>
    <w:rsid w:val="002954A4"/>
    <w:rsid w:val="002954CC"/>
    <w:rsid w:val="002954EC"/>
    <w:rsid w:val="00295520"/>
    <w:rsid w:val="00295586"/>
    <w:rsid w:val="002955B0"/>
    <w:rsid w:val="00295643"/>
    <w:rsid w:val="002956BE"/>
    <w:rsid w:val="002956C2"/>
    <w:rsid w:val="002957DD"/>
    <w:rsid w:val="0029583A"/>
    <w:rsid w:val="0029590C"/>
    <w:rsid w:val="00295937"/>
    <w:rsid w:val="00295A47"/>
    <w:rsid w:val="00295A49"/>
    <w:rsid w:val="00295A6C"/>
    <w:rsid w:val="00295AC8"/>
    <w:rsid w:val="00295AE1"/>
    <w:rsid w:val="00295B30"/>
    <w:rsid w:val="00295B38"/>
    <w:rsid w:val="00295C15"/>
    <w:rsid w:val="00295D4E"/>
    <w:rsid w:val="00295D56"/>
    <w:rsid w:val="00295F4D"/>
    <w:rsid w:val="00295F66"/>
    <w:rsid w:val="00295F9F"/>
    <w:rsid w:val="0029606C"/>
    <w:rsid w:val="00296191"/>
    <w:rsid w:val="0029625C"/>
    <w:rsid w:val="00296355"/>
    <w:rsid w:val="0029636F"/>
    <w:rsid w:val="00296379"/>
    <w:rsid w:val="00296383"/>
    <w:rsid w:val="002963ED"/>
    <w:rsid w:val="00296441"/>
    <w:rsid w:val="002964F8"/>
    <w:rsid w:val="00296585"/>
    <w:rsid w:val="00296592"/>
    <w:rsid w:val="0029659C"/>
    <w:rsid w:val="002965BF"/>
    <w:rsid w:val="002966CD"/>
    <w:rsid w:val="00296700"/>
    <w:rsid w:val="00296732"/>
    <w:rsid w:val="0029682A"/>
    <w:rsid w:val="00296861"/>
    <w:rsid w:val="0029686C"/>
    <w:rsid w:val="002968A7"/>
    <w:rsid w:val="002969CD"/>
    <w:rsid w:val="00296A58"/>
    <w:rsid w:val="00296A71"/>
    <w:rsid w:val="00296A7F"/>
    <w:rsid w:val="00296B36"/>
    <w:rsid w:val="00296B5D"/>
    <w:rsid w:val="00296C5D"/>
    <w:rsid w:val="00296CA5"/>
    <w:rsid w:val="00296CDB"/>
    <w:rsid w:val="00296D1B"/>
    <w:rsid w:val="00296DD4"/>
    <w:rsid w:val="00296F34"/>
    <w:rsid w:val="00296F5B"/>
    <w:rsid w:val="00296F68"/>
    <w:rsid w:val="00297019"/>
    <w:rsid w:val="002970A2"/>
    <w:rsid w:val="002970EA"/>
    <w:rsid w:val="00297121"/>
    <w:rsid w:val="00297141"/>
    <w:rsid w:val="00297170"/>
    <w:rsid w:val="002972F3"/>
    <w:rsid w:val="0029748E"/>
    <w:rsid w:val="002974CC"/>
    <w:rsid w:val="00297555"/>
    <w:rsid w:val="002975B3"/>
    <w:rsid w:val="002975DC"/>
    <w:rsid w:val="002976D1"/>
    <w:rsid w:val="00297771"/>
    <w:rsid w:val="002977FE"/>
    <w:rsid w:val="002979B0"/>
    <w:rsid w:val="002979BD"/>
    <w:rsid w:val="00297CFE"/>
    <w:rsid w:val="00297D1D"/>
    <w:rsid w:val="00297E07"/>
    <w:rsid w:val="00297E1E"/>
    <w:rsid w:val="00297F64"/>
    <w:rsid w:val="00297FF8"/>
    <w:rsid w:val="002A021C"/>
    <w:rsid w:val="002A0296"/>
    <w:rsid w:val="002A0311"/>
    <w:rsid w:val="002A0362"/>
    <w:rsid w:val="002A03B1"/>
    <w:rsid w:val="002A03F6"/>
    <w:rsid w:val="002A0425"/>
    <w:rsid w:val="002A0429"/>
    <w:rsid w:val="002A047B"/>
    <w:rsid w:val="002A059D"/>
    <w:rsid w:val="002A05AF"/>
    <w:rsid w:val="002A05B5"/>
    <w:rsid w:val="002A0602"/>
    <w:rsid w:val="002A064C"/>
    <w:rsid w:val="002A0689"/>
    <w:rsid w:val="002A078E"/>
    <w:rsid w:val="002A07B1"/>
    <w:rsid w:val="002A0807"/>
    <w:rsid w:val="002A087F"/>
    <w:rsid w:val="002A0A31"/>
    <w:rsid w:val="002A0A93"/>
    <w:rsid w:val="002A0B13"/>
    <w:rsid w:val="002A0B26"/>
    <w:rsid w:val="002A0BB4"/>
    <w:rsid w:val="002A0BE1"/>
    <w:rsid w:val="002A0C4C"/>
    <w:rsid w:val="002A0CEF"/>
    <w:rsid w:val="002A0D29"/>
    <w:rsid w:val="002A0D9D"/>
    <w:rsid w:val="002A0DC8"/>
    <w:rsid w:val="002A0DD8"/>
    <w:rsid w:val="002A0EB4"/>
    <w:rsid w:val="002A0EF3"/>
    <w:rsid w:val="002A0F04"/>
    <w:rsid w:val="002A0F36"/>
    <w:rsid w:val="002A1016"/>
    <w:rsid w:val="002A1031"/>
    <w:rsid w:val="002A1033"/>
    <w:rsid w:val="002A1045"/>
    <w:rsid w:val="002A1096"/>
    <w:rsid w:val="002A10BE"/>
    <w:rsid w:val="002A10CB"/>
    <w:rsid w:val="002A1114"/>
    <w:rsid w:val="002A1147"/>
    <w:rsid w:val="002A11C3"/>
    <w:rsid w:val="002A130E"/>
    <w:rsid w:val="002A1352"/>
    <w:rsid w:val="002A136F"/>
    <w:rsid w:val="002A13B7"/>
    <w:rsid w:val="002A13CA"/>
    <w:rsid w:val="002A144C"/>
    <w:rsid w:val="002A1477"/>
    <w:rsid w:val="002A14D2"/>
    <w:rsid w:val="002A14FF"/>
    <w:rsid w:val="002A15DC"/>
    <w:rsid w:val="002A1610"/>
    <w:rsid w:val="002A165F"/>
    <w:rsid w:val="002A16EC"/>
    <w:rsid w:val="002A17B3"/>
    <w:rsid w:val="002A17B4"/>
    <w:rsid w:val="002A180D"/>
    <w:rsid w:val="002A18A9"/>
    <w:rsid w:val="002A190F"/>
    <w:rsid w:val="002A196B"/>
    <w:rsid w:val="002A199A"/>
    <w:rsid w:val="002A19E3"/>
    <w:rsid w:val="002A1A22"/>
    <w:rsid w:val="002A1A50"/>
    <w:rsid w:val="002A1C17"/>
    <w:rsid w:val="002A1CB9"/>
    <w:rsid w:val="002A1D42"/>
    <w:rsid w:val="002A1D69"/>
    <w:rsid w:val="002A1EB0"/>
    <w:rsid w:val="002A1F12"/>
    <w:rsid w:val="002A1F34"/>
    <w:rsid w:val="002A2017"/>
    <w:rsid w:val="002A2018"/>
    <w:rsid w:val="002A204F"/>
    <w:rsid w:val="002A20CC"/>
    <w:rsid w:val="002A20D6"/>
    <w:rsid w:val="002A2215"/>
    <w:rsid w:val="002A2225"/>
    <w:rsid w:val="002A22B3"/>
    <w:rsid w:val="002A2349"/>
    <w:rsid w:val="002A2466"/>
    <w:rsid w:val="002A2479"/>
    <w:rsid w:val="002A2531"/>
    <w:rsid w:val="002A2672"/>
    <w:rsid w:val="002A26F6"/>
    <w:rsid w:val="002A26FD"/>
    <w:rsid w:val="002A273A"/>
    <w:rsid w:val="002A2791"/>
    <w:rsid w:val="002A27AA"/>
    <w:rsid w:val="002A27F8"/>
    <w:rsid w:val="002A2822"/>
    <w:rsid w:val="002A2866"/>
    <w:rsid w:val="002A2882"/>
    <w:rsid w:val="002A294C"/>
    <w:rsid w:val="002A29BB"/>
    <w:rsid w:val="002A2A25"/>
    <w:rsid w:val="002A2B33"/>
    <w:rsid w:val="002A2C25"/>
    <w:rsid w:val="002A2CB3"/>
    <w:rsid w:val="002A2D0A"/>
    <w:rsid w:val="002A2D23"/>
    <w:rsid w:val="002A2DF7"/>
    <w:rsid w:val="002A2DFD"/>
    <w:rsid w:val="002A2E91"/>
    <w:rsid w:val="002A2EA6"/>
    <w:rsid w:val="002A3052"/>
    <w:rsid w:val="002A3152"/>
    <w:rsid w:val="002A3165"/>
    <w:rsid w:val="002A31B4"/>
    <w:rsid w:val="002A3219"/>
    <w:rsid w:val="002A3244"/>
    <w:rsid w:val="002A3294"/>
    <w:rsid w:val="002A32F0"/>
    <w:rsid w:val="002A3474"/>
    <w:rsid w:val="002A347B"/>
    <w:rsid w:val="002A34C6"/>
    <w:rsid w:val="002A35B6"/>
    <w:rsid w:val="002A3610"/>
    <w:rsid w:val="002A364A"/>
    <w:rsid w:val="002A36F6"/>
    <w:rsid w:val="002A36FD"/>
    <w:rsid w:val="002A389A"/>
    <w:rsid w:val="002A39B8"/>
    <w:rsid w:val="002A39CF"/>
    <w:rsid w:val="002A3AC3"/>
    <w:rsid w:val="002A3AEC"/>
    <w:rsid w:val="002A3B3A"/>
    <w:rsid w:val="002A3BB1"/>
    <w:rsid w:val="002A3CFD"/>
    <w:rsid w:val="002A3D18"/>
    <w:rsid w:val="002A3D2B"/>
    <w:rsid w:val="002A3D31"/>
    <w:rsid w:val="002A3D86"/>
    <w:rsid w:val="002A3DE1"/>
    <w:rsid w:val="002A3EF3"/>
    <w:rsid w:val="002A3F22"/>
    <w:rsid w:val="002A3F39"/>
    <w:rsid w:val="002A4134"/>
    <w:rsid w:val="002A415B"/>
    <w:rsid w:val="002A418B"/>
    <w:rsid w:val="002A41A3"/>
    <w:rsid w:val="002A42C6"/>
    <w:rsid w:val="002A42CA"/>
    <w:rsid w:val="002A4387"/>
    <w:rsid w:val="002A43A2"/>
    <w:rsid w:val="002A4487"/>
    <w:rsid w:val="002A44C7"/>
    <w:rsid w:val="002A479B"/>
    <w:rsid w:val="002A48F9"/>
    <w:rsid w:val="002A49FF"/>
    <w:rsid w:val="002A4A0F"/>
    <w:rsid w:val="002A4B56"/>
    <w:rsid w:val="002A4C9B"/>
    <w:rsid w:val="002A4D63"/>
    <w:rsid w:val="002A4D79"/>
    <w:rsid w:val="002A4EFC"/>
    <w:rsid w:val="002A4F1C"/>
    <w:rsid w:val="002A4FB3"/>
    <w:rsid w:val="002A4FB7"/>
    <w:rsid w:val="002A5034"/>
    <w:rsid w:val="002A510D"/>
    <w:rsid w:val="002A51AF"/>
    <w:rsid w:val="002A5248"/>
    <w:rsid w:val="002A5293"/>
    <w:rsid w:val="002A52CD"/>
    <w:rsid w:val="002A53CA"/>
    <w:rsid w:val="002A545B"/>
    <w:rsid w:val="002A5470"/>
    <w:rsid w:val="002A548D"/>
    <w:rsid w:val="002A553A"/>
    <w:rsid w:val="002A55FD"/>
    <w:rsid w:val="002A571E"/>
    <w:rsid w:val="002A5728"/>
    <w:rsid w:val="002A57A3"/>
    <w:rsid w:val="002A586A"/>
    <w:rsid w:val="002A587D"/>
    <w:rsid w:val="002A5969"/>
    <w:rsid w:val="002A5A69"/>
    <w:rsid w:val="002A5AA0"/>
    <w:rsid w:val="002A5B1A"/>
    <w:rsid w:val="002A5B32"/>
    <w:rsid w:val="002A5C87"/>
    <w:rsid w:val="002A5C8B"/>
    <w:rsid w:val="002A5CE4"/>
    <w:rsid w:val="002A5F2B"/>
    <w:rsid w:val="002A6259"/>
    <w:rsid w:val="002A6286"/>
    <w:rsid w:val="002A62B8"/>
    <w:rsid w:val="002A63B4"/>
    <w:rsid w:val="002A63D1"/>
    <w:rsid w:val="002A646D"/>
    <w:rsid w:val="002A6471"/>
    <w:rsid w:val="002A64B0"/>
    <w:rsid w:val="002A652A"/>
    <w:rsid w:val="002A65DC"/>
    <w:rsid w:val="002A65F6"/>
    <w:rsid w:val="002A6633"/>
    <w:rsid w:val="002A6651"/>
    <w:rsid w:val="002A6883"/>
    <w:rsid w:val="002A68E5"/>
    <w:rsid w:val="002A691D"/>
    <w:rsid w:val="002A699A"/>
    <w:rsid w:val="002A6A99"/>
    <w:rsid w:val="002A6AD9"/>
    <w:rsid w:val="002A6B25"/>
    <w:rsid w:val="002A6B3C"/>
    <w:rsid w:val="002A6B6F"/>
    <w:rsid w:val="002A6B82"/>
    <w:rsid w:val="002A6C3C"/>
    <w:rsid w:val="002A6CD8"/>
    <w:rsid w:val="002A6EC2"/>
    <w:rsid w:val="002A6EDD"/>
    <w:rsid w:val="002A6EFA"/>
    <w:rsid w:val="002A6F14"/>
    <w:rsid w:val="002A7016"/>
    <w:rsid w:val="002A70EA"/>
    <w:rsid w:val="002A72CA"/>
    <w:rsid w:val="002A73A7"/>
    <w:rsid w:val="002A7425"/>
    <w:rsid w:val="002A74B3"/>
    <w:rsid w:val="002A74D4"/>
    <w:rsid w:val="002A74EF"/>
    <w:rsid w:val="002A7504"/>
    <w:rsid w:val="002A759A"/>
    <w:rsid w:val="002A75C2"/>
    <w:rsid w:val="002A75EB"/>
    <w:rsid w:val="002A762E"/>
    <w:rsid w:val="002A76B0"/>
    <w:rsid w:val="002A771A"/>
    <w:rsid w:val="002A78B6"/>
    <w:rsid w:val="002A790D"/>
    <w:rsid w:val="002A79DD"/>
    <w:rsid w:val="002A79DE"/>
    <w:rsid w:val="002A7A02"/>
    <w:rsid w:val="002A7A31"/>
    <w:rsid w:val="002A7BB6"/>
    <w:rsid w:val="002A7BB9"/>
    <w:rsid w:val="002A7C00"/>
    <w:rsid w:val="002A7CFC"/>
    <w:rsid w:val="002A7D07"/>
    <w:rsid w:val="002A7D28"/>
    <w:rsid w:val="002A7D36"/>
    <w:rsid w:val="002A7E42"/>
    <w:rsid w:val="002A7E9C"/>
    <w:rsid w:val="002A7EC3"/>
    <w:rsid w:val="002A7EDD"/>
    <w:rsid w:val="002A7F06"/>
    <w:rsid w:val="002A7F60"/>
    <w:rsid w:val="002B0064"/>
    <w:rsid w:val="002B0068"/>
    <w:rsid w:val="002B0124"/>
    <w:rsid w:val="002B017C"/>
    <w:rsid w:val="002B0198"/>
    <w:rsid w:val="002B01F2"/>
    <w:rsid w:val="002B0296"/>
    <w:rsid w:val="002B02F4"/>
    <w:rsid w:val="002B0338"/>
    <w:rsid w:val="002B036D"/>
    <w:rsid w:val="002B03C9"/>
    <w:rsid w:val="002B0411"/>
    <w:rsid w:val="002B048C"/>
    <w:rsid w:val="002B0492"/>
    <w:rsid w:val="002B0507"/>
    <w:rsid w:val="002B050C"/>
    <w:rsid w:val="002B05E1"/>
    <w:rsid w:val="002B0615"/>
    <w:rsid w:val="002B061C"/>
    <w:rsid w:val="002B0622"/>
    <w:rsid w:val="002B064F"/>
    <w:rsid w:val="002B068A"/>
    <w:rsid w:val="002B073A"/>
    <w:rsid w:val="002B0743"/>
    <w:rsid w:val="002B078C"/>
    <w:rsid w:val="002B07AF"/>
    <w:rsid w:val="002B07B0"/>
    <w:rsid w:val="002B0888"/>
    <w:rsid w:val="002B08A3"/>
    <w:rsid w:val="002B0999"/>
    <w:rsid w:val="002B099E"/>
    <w:rsid w:val="002B0AC7"/>
    <w:rsid w:val="002B0CA1"/>
    <w:rsid w:val="002B0CB3"/>
    <w:rsid w:val="002B0D0E"/>
    <w:rsid w:val="002B0E0A"/>
    <w:rsid w:val="002B0E8E"/>
    <w:rsid w:val="002B0EAC"/>
    <w:rsid w:val="002B0F40"/>
    <w:rsid w:val="002B1080"/>
    <w:rsid w:val="002B1134"/>
    <w:rsid w:val="002B1168"/>
    <w:rsid w:val="002B119F"/>
    <w:rsid w:val="002B1211"/>
    <w:rsid w:val="002B12C0"/>
    <w:rsid w:val="002B12E2"/>
    <w:rsid w:val="002B1591"/>
    <w:rsid w:val="002B1646"/>
    <w:rsid w:val="002B1742"/>
    <w:rsid w:val="002B18CD"/>
    <w:rsid w:val="002B18EC"/>
    <w:rsid w:val="002B1A8C"/>
    <w:rsid w:val="002B1AB0"/>
    <w:rsid w:val="002B1ABE"/>
    <w:rsid w:val="002B1B04"/>
    <w:rsid w:val="002B1B97"/>
    <w:rsid w:val="002B1BD1"/>
    <w:rsid w:val="002B1C27"/>
    <w:rsid w:val="002B1C31"/>
    <w:rsid w:val="002B1CAB"/>
    <w:rsid w:val="002B1DFD"/>
    <w:rsid w:val="002B1F1A"/>
    <w:rsid w:val="002B1F7E"/>
    <w:rsid w:val="002B2008"/>
    <w:rsid w:val="002B2142"/>
    <w:rsid w:val="002B21A0"/>
    <w:rsid w:val="002B21DC"/>
    <w:rsid w:val="002B2212"/>
    <w:rsid w:val="002B22DD"/>
    <w:rsid w:val="002B22FB"/>
    <w:rsid w:val="002B2368"/>
    <w:rsid w:val="002B23B0"/>
    <w:rsid w:val="002B246D"/>
    <w:rsid w:val="002B25E5"/>
    <w:rsid w:val="002B2664"/>
    <w:rsid w:val="002B26FC"/>
    <w:rsid w:val="002B2872"/>
    <w:rsid w:val="002B297E"/>
    <w:rsid w:val="002B299C"/>
    <w:rsid w:val="002B29EB"/>
    <w:rsid w:val="002B2A87"/>
    <w:rsid w:val="002B2AB7"/>
    <w:rsid w:val="002B2B12"/>
    <w:rsid w:val="002B2B63"/>
    <w:rsid w:val="002B2B6E"/>
    <w:rsid w:val="002B2B96"/>
    <w:rsid w:val="002B2C57"/>
    <w:rsid w:val="002B2D30"/>
    <w:rsid w:val="002B2E32"/>
    <w:rsid w:val="002B2E69"/>
    <w:rsid w:val="002B2F79"/>
    <w:rsid w:val="002B2F97"/>
    <w:rsid w:val="002B304E"/>
    <w:rsid w:val="002B30DF"/>
    <w:rsid w:val="002B30EE"/>
    <w:rsid w:val="002B3175"/>
    <w:rsid w:val="002B3208"/>
    <w:rsid w:val="002B3234"/>
    <w:rsid w:val="002B337B"/>
    <w:rsid w:val="002B3454"/>
    <w:rsid w:val="002B3486"/>
    <w:rsid w:val="002B34B8"/>
    <w:rsid w:val="002B34D0"/>
    <w:rsid w:val="002B34E8"/>
    <w:rsid w:val="002B3651"/>
    <w:rsid w:val="002B3726"/>
    <w:rsid w:val="002B376C"/>
    <w:rsid w:val="002B3829"/>
    <w:rsid w:val="002B384A"/>
    <w:rsid w:val="002B38F9"/>
    <w:rsid w:val="002B3915"/>
    <w:rsid w:val="002B3974"/>
    <w:rsid w:val="002B3A2D"/>
    <w:rsid w:val="002B3AB0"/>
    <w:rsid w:val="002B3B92"/>
    <w:rsid w:val="002B3BD6"/>
    <w:rsid w:val="002B3C62"/>
    <w:rsid w:val="002B3CB8"/>
    <w:rsid w:val="002B3D4C"/>
    <w:rsid w:val="002B3D60"/>
    <w:rsid w:val="002B3D92"/>
    <w:rsid w:val="002B3DB4"/>
    <w:rsid w:val="002B3E2F"/>
    <w:rsid w:val="002B3E62"/>
    <w:rsid w:val="002B3F18"/>
    <w:rsid w:val="002B3F21"/>
    <w:rsid w:val="002B3F6D"/>
    <w:rsid w:val="002B3FD7"/>
    <w:rsid w:val="002B402E"/>
    <w:rsid w:val="002B4189"/>
    <w:rsid w:val="002B41AA"/>
    <w:rsid w:val="002B41F6"/>
    <w:rsid w:val="002B4202"/>
    <w:rsid w:val="002B430D"/>
    <w:rsid w:val="002B441A"/>
    <w:rsid w:val="002B4452"/>
    <w:rsid w:val="002B4455"/>
    <w:rsid w:val="002B449A"/>
    <w:rsid w:val="002B44FA"/>
    <w:rsid w:val="002B4558"/>
    <w:rsid w:val="002B45F7"/>
    <w:rsid w:val="002B47C4"/>
    <w:rsid w:val="002B47C9"/>
    <w:rsid w:val="002B4886"/>
    <w:rsid w:val="002B48C4"/>
    <w:rsid w:val="002B48C8"/>
    <w:rsid w:val="002B48E5"/>
    <w:rsid w:val="002B490C"/>
    <w:rsid w:val="002B4A36"/>
    <w:rsid w:val="002B4A76"/>
    <w:rsid w:val="002B4A9B"/>
    <w:rsid w:val="002B4AE3"/>
    <w:rsid w:val="002B4AF0"/>
    <w:rsid w:val="002B4C31"/>
    <w:rsid w:val="002B4C3B"/>
    <w:rsid w:val="002B4D3D"/>
    <w:rsid w:val="002B4DF7"/>
    <w:rsid w:val="002B4EA6"/>
    <w:rsid w:val="002B4EDD"/>
    <w:rsid w:val="002B4FD6"/>
    <w:rsid w:val="002B5036"/>
    <w:rsid w:val="002B5086"/>
    <w:rsid w:val="002B5087"/>
    <w:rsid w:val="002B508D"/>
    <w:rsid w:val="002B50CD"/>
    <w:rsid w:val="002B5161"/>
    <w:rsid w:val="002B5168"/>
    <w:rsid w:val="002B53FF"/>
    <w:rsid w:val="002B5418"/>
    <w:rsid w:val="002B5456"/>
    <w:rsid w:val="002B54E2"/>
    <w:rsid w:val="002B5584"/>
    <w:rsid w:val="002B5666"/>
    <w:rsid w:val="002B5742"/>
    <w:rsid w:val="002B5743"/>
    <w:rsid w:val="002B57C5"/>
    <w:rsid w:val="002B5844"/>
    <w:rsid w:val="002B5857"/>
    <w:rsid w:val="002B58F4"/>
    <w:rsid w:val="002B5984"/>
    <w:rsid w:val="002B5994"/>
    <w:rsid w:val="002B5A25"/>
    <w:rsid w:val="002B5A96"/>
    <w:rsid w:val="002B5B31"/>
    <w:rsid w:val="002B5C14"/>
    <w:rsid w:val="002B5CCA"/>
    <w:rsid w:val="002B5CE1"/>
    <w:rsid w:val="002B5DA6"/>
    <w:rsid w:val="002B5DB3"/>
    <w:rsid w:val="002B5DB5"/>
    <w:rsid w:val="002B5DFD"/>
    <w:rsid w:val="002B5E32"/>
    <w:rsid w:val="002B5EEB"/>
    <w:rsid w:val="002B5EF3"/>
    <w:rsid w:val="002B5F15"/>
    <w:rsid w:val="002B6049"/>
    <w:rsid w:val="002B6065"/>
    <w:rsid w:val="002B60BA"/>
    <w:rsid w:val="002B6163"/>
    <w:rsid w:val="002B6201"/>
    <w:rsid w:val="002B62D9"/>
    <w:rsid w:val="002B635B"/>
    <w:rsid w:val="002B635C"/>
    <w:rsid w:val="002B638B"/>
    <w:rsid w:val="002B6591"/>
    <w:rsid w:val="002B65D2"/>
    <w:rsid w:val="002B669A"/>
    <w:rsid w:val="002B673D"/>
    <w:rsid w:val="002B67BF"/>
    <w:rsid w:val="002B67E7"/>
    <w:rsid w:val="002B680B"/>
    <w:rsid w:val="002B69CF"/>
    <w:rsid w:val="002B6A74"/>
    <w:rsid w:val="002B6B7D"/>
    <w:rsid w:val="002B6F0D"/>
    <w:rsid w:val="002B6F2A"/>
    <w:rsid w:val="002B6F73"/>
    <w:rsid w:val="002B6FBF"/>
    <w:rsid w:val="002B70BC"/>
    <w:rsid w:val="002B71DB"/>
    <w:rsid w:val="002B7238"/>
    <w:rsid w:val="002B72F7"/>
    <w:rsid w:val="002B72FF"/>
    <w:rsid w:val="002B7372"/>
    <w:rsid w:val="002B74E2"/>
    <w:rsid w:val="002B753B"/>
    <w:rsid w:val="002B753F"/>
    <w:rsid w:val="002B77B5"/>
    <w:rsid w:val="002B7861"/>
    <w:rsid w:val="002B7940"/>
    <w:rsid w:val="002B7973"/>
    <w:rsid w:val="002B7A10"/>
    <w:rsid w:val="002B7B0A"/>
    <w:rsid w:val="002B7B54"/>
    <w:rsid w:val="002B7C49"/>
    <w:rsid w:val="002B7C5A"/>
    <w:rsid w:val="002B7D32"/>
    <w:rsid w:val="002B7DC6"/>
    <w:rsid w:val="002B7E86"/>
    <w:rsid w:val="002B7EDD"/>
    <w:rsid w:val="002C007B"/>
    <w:rsid w:val="002C0238"/>
    <w:rsid w:val="002C02AC"/>
    <w:rsid w:val="002C0337"/>
    <w:rsid w:val="002C0369"/>
    <w:rsid w:val="002C0480"/>
    <w:rsid w:val="002C04D5"/>
    <w:rsid w:val="002C0600"/>
    <w:rsid w:val="002C060E"/>
    <w:rsid w:val="002C0669"/>
    <w:rsid w:val="002C066D"/>
    <w:rsid w:val="002C06C3"/>
    <w:rsid w:val="002C06D2"/>
    <w:rsid w:val="002C0716"/>
    <w:rsid w:val="002C0731"/>
    <w:rsid w:val="002C084B"/>
    <w:rsid w:val="002C087C"/>
    <w:rsid w:val="002C08DE"/>
    <w:rsid w:val="002C0906"/>
    <w:rsid w:val="002C095D"/>
    <w:rsid w:val="002C0962"/>
    <w:rsid w:val="002C0996"/>
    <w:rsid w:val="002C0A2B"/>
    <w:rsid w:val="002C0AF9"/>
    <w:rsid w:val="002C0AFA"/>
    <w:rsid w:val="002C0B9C"/>
    <w:rsid w:val="002C0E65"/>
    <w:rsid w:val="002C0E94"/>
    <w:rsid w:val="002C0F68"/>
    <w:rsid w:val="002C0F8C"/>
    <w:rsid w:val="002C103E"/>
    <w:rsid w:val="002C1043"/>
    <w:rsid w:val="002C10F0"/>
    <w:rsid w:val="002C11EC"/>
    <w:rsid w:val="002C1247"/>
    <w:rsid w:val="002C1332"/>
    <w:rsid w:val="002C1335"/>
    <w:rsid w:val="002C1385"/>
    <w:rsid w:val="002C13F6"/>
    <w:rsid w:val="002C140B"/>
    <w:rsid w:val="002C1422"/>
    <w:rsid w:val="002C14C1"/>
    <w:rsid w:val="002C14C3"/>
    <w:rsid w:val="002C150A"/>
    <w:rsid w:val="002C1520"/>
    <w:rsid w:val="002C15DC"/>
    <w:rsid w:val="002C1612"/>
    <w:rsid w:val="002C1627"/>
    <w:rsid w:val="002C1676"/>
    <w:rsid w:val="002C16E9"/>
    <w:rsid w:val="002C1744"/>
    <w:rsid w:val="002C1772"/>
    <w:rsid w:val="002C180B"/>
    <w:rsid w:val="002C1832"/>
    <w:rsid w:val="002C187E"/>
    <w:rsid w:val="002C1985"/>
    <w:rsid w:val="002C19F7"/>
    <w:rsid w:val="002C1A30"/>
    <w:rsid w:val="002C1A67"/>
    <w:rsid w:val="002C1AAD"/>
    <w:rsid w:val="002C1AC2"/>
    <w:rsid w:val="002C1B16"/>
    <w:rsid w:val="002C1B27"/>
    <w:rsid w:val="002C1BA2"/>
    <w:rsid w:val="002C1BA9"/>
    <w:rsid w:val="002C1BD7"/>
    <w:rsid w:val="002C1C1F"/>
    <w:rsid w:val="002C1CB5"/>
    <w:rsid w:val="002C1F3D"/>
    <w:rsid w:val="002C1FC2"/>
    <w:rsid w:val="002C201B"/>
    <w:rsid w:val="002C202C"/>
    <w:rsid w:val="002C2169"/>
    <w:rsid w:val="002C21E3"/>
    <w:rsid w:val="002C22C7"/>
    <w:rsid w:val="002C22C9"/>
    <w:rsid w:val="002C22EF"/>
    <w:rsid w:val="002C2384"/>
    <w:rsid w:val="002C2422"/>
    <w:rsid w:val="002C2475"/>
    <w:rsid w:val="002C25DF"/>
    <w:rsid w:val="002C262A"/>
    <w:rsid w:val="002C267D"/>
    <w:rsid w:val="002C26A3"/>
    <w:rsid w:val="002C26EB"/>
    <w:rsid w:val="002C274A"/>
    <w:rsid w:val="002C2777"/>
    <w:rsid w:val="002C27E2"/>
    <w:rsid w:val="002C27F3"/>
    <w:rsid w:val="002C2809"/>
    <w:rsid w:val="002C286B"/>
    <w:rsid w:val="002C28A3"/>
    <w:rsid w:val="002C28A4"/>
    <w:rsid w:val="002C2933"/>
    <w:rsid w:val="002C29BF"/>
    <w:rsid w:val="002C2B1F"/>
    <w:rsid w:val="002C2B49"/>
    <w:rsid w:val="002C2B5C"/>
    <w:rsid w:val="002C2B82"/>
    <w:rsid w:val="002C2BD9"/>
    <w:rsid w:val="002C2BDB"/>
    <w:rsid w:val="002C2C41"/>
    <w:rsid w:val="002C2C59"/>
    <w:rsid w:val="002C2C65"/>
    <w:rsid w:val="002C2C9C"/>
    <w:rsid w:val="002C2CDC"/>
    <w:rsid w:val="002C2D48"/>
    <w:rsid w:val="002C2D67"/>
    <w:rsid w:val="002C2E82"/>
    <w:rsid w:val="002C2EA4"/>
    <w:rsid w:val="002C2EB6"/>
    <w:rsid w:val="002C302D"/>
    <w:rsid w:val="002C31AA"/>
    <w:rsid w:val="002C324B"/>
    <w:rsid w:val="002C331D"/>
    <w:rsid w:val="002C338B"/>
    <w:rsid w:val="002C3465"/>
    <w:rsid w:val="002C352E"/>
    <w:rsid w:val="002C369E"/>
    <w:rsid w:val="002C36FC"/>
    <w:rsid w:val="002C371E"/>
    <w:rsid w:val="002C373C"/>
    <w:rsid w:val="002C3743"/>
    <w:rsid w:val="002C37A5"/>
    <w:rsid w:val="002C39A7"/>
    <w:rsid w:val="002C3AD9"/>
    <w:rsid w:val="002C3B94"/>
    <w:rsid w:val="002C3CAC"/>
    <w:rsid w:val="002C3D92"/>
    <w:rsid w:val="002C3DA9"/>
    <w:rsid w:val="002C3F45"/>
    <w:rsid w:val="002C3F86"/>
    <w:rsid w:val="002C3F87"/>
    <w:rsid w:val="002C3F9A"/>
    <w:rsid w:val="002C3FCE"/>
    <w:rsid w:val="002C4050"/>
    <w:rsid w:val="002C40D0"/>
    <w:rsid w:val="002C4245"/>
    <w:rsid w:val="002C4249"/>
    <w:rsid w:val="002C43D6"/>
    <w:rsid w:val="002C4455"/>
    <w:rsid w:val="002C4472"/>
    <w:rsid w:val="002C456A"/>
    <w:rsid w:val="002C4606"/>
    <w:rsid w:val="002C4618"/>
    <w:rsid w:val="002C463E"/>
    <w:rsid w:val="002C465D"/>
    <w:rsid w:val="002C475D"/>
    <w:rsid w:val="002C4763"/>
    <w:rsid w:val="002C47AA"/>
    <w:rsid w:val="002C47C8"/>
    <w:rsid w:val="002C481C"/>
    <w:rsid w:val="002C4846"/>
    <w:rsid w:val="002C4886"/>
    <w:rsid w:val="002C48FC"/>
    <w:rsid w:val="002C4927"/>
    <w:rsid w:val="002C499B"/>
    <w:rsid w:val="002C4A6B"/>
    <w:rsid w:val="002C4AFE"/>
    <w:rsid w:val="002C4BD3"/>
    <w:rsid w:val="002C4CE2"/>
    <w:rsid w:val="002C4DB9"/>
    <w:rsid w:val="002C4E38"/>
    <w:rsid w:val="002C4E51"/>
    <w:rsid w:val="002C4ECE"/>
    <w:rsid w:val="002C4F5F"/>
    <w:rsid w:val="002C4FE9"/>
    <w:rsid w:val="002C5006"/>
    <w:rsid w:val="002C5019"/>
    <w:rsid w:val="002C507B"/>
    <w:rsid w:val="002C517A"/>
    <w:rsid w:val="002C528F"/>
    <w:rsid w:val="002C5344"/>
    <w:rsid w:val="002C53D3"/>
    <w:rsid w:val="002C5614"/>
    <w:rsid w:val="002C566D"/>
    <w:rsid w:val="002C56A5"/>
    <w:rsid w:val="002C58D6"/>
    <w:rsid w:val="002C58E2"/>
    <w:rsid w:val="002C597D"/>
    <w:rsid w:val="002C5A56"/>
    <w:rsid w:val="002C5A93"/>
    <w:rsid w:val="002C5ACD"/>
    <w:rsid w:val="002C5AD1"/>
    <w:rsid w:val="002C5BED"/>
    <w:rsid w:val="002C5CD6"/>
    <w:rsid w:val="002C5D5A"/>
    <w:rsid w:val="002C5D8A"/>
    <w:rsid w:val="002C5E23"/>
    <w:rsid w:val="002C5F7F"/>
    <w:rsid w:val="002C5F9F"/>
    <w:rsid w:val="002C5FCA"/>
    <w:rsid w:val="002C6070"/>
    <w:rsid w:val="002C60A8"/>
    <w:rsid w:val="002C61CD"/>
    <w:rsid w:val="002C6233"/>
    <w:rsid w:val="002C630D"/>
    <w:rsid w:val="002C63BF"/>
    <w:rsid w:val="002C645C"/>
    <w:rsid w:val="002C6523"/>
    <w:rsid w:val="002C656E"/>
    <w:rsid w:val="002C664D"/>
    <w:rsid w:val="002C6755"/>
    <w:rsid w:val="002C67BB"/>
    <w:rsid w:val="002C6987"/>
    <w:rsid w:val="002C69D1"/>
    <w:rsid w:val="002C6A04"/>
    <w:rsid w:val="002C6ACC"/>
    <w:rsid w:val="002C6BC3"/>
    <w:rsid w:val="002C6CAE"/>
    <w:rsid w:val="002C6D12"/>
    <w:rsid w:val="002C6D6F"/>
    <w:rsid w:val="002C6E19"/>
    <w:rsid w:val="002C6E36"/>
    <w:rsid w:val="002C6E91"/>
    <w:rsid w:val="002C6EB7"/>
    <w:rsid w:val="002C6F33"/>
    <w:rsid w:val="002C6FA6"/>
    <w:rsid w:val="002C6FBF"/>
    <w:rsid w:val="002C6FEF"/>
    <w:rsid w:val="002C6FF6"/>
    <w:rsid w:val="002C704F"/>
    <w:rsid w:val="002C707D"/>
    <w:rsid w:val="002C70FD"/>
    <w:rsid w:val="002C7171"/>
    <w:rsid w:val="002C71B3"/>
    <w:rsid w:val="002C71E1"/>
    <w:rsid w:val="002C7230"/>
    <w:rsid w:val="002C7238"/>
    <w:rsid w:val="002C727B"/>
    <w:rsid w:val="002C72E8"/>
    <w:rsid w:val="002C730E"/>
    <w:rsid w:val="002C7316"/>
    <w:rsid w:val="002C739B"/>
    <w:rsid w:val="002C7417"/>
    <w:rsid w:val="002C7431"/>
    <w:rsid w:val="002C74B9"/>
    <w:rsid w:val="002C74F2"/>
    <w:rsid w:val="002C751E"/>
    <w:rsid w:val="002C75CD"/>
    <w:rsid w:val="002C7682"/>
    <w:rsid w:val="002C7784"/>
    <w:rsid w:val="002C7850"/>
    <w:rsid w:val="002C789F"/>
    <w:rsid w:val="002C78BE"/>
    <w:rsid w:val="002C78F9"/>
    <w:rsid w:val="002C79F2"/>
    <w:rsid w:val="002C7A32"/>
    <w:rsid w:val="002C7B70"/>
    <w:rsid w:val="002C7BCA"/>
    <w:rsid w:val="002C7C2C"/>
    <w:rsid w:val="002C7C35"/>
    <w:rsid w:val="002C7C50"/>
    <w:rsid w:val="002C7CF8"/>
    <w:rsid w:val="002C7CF9"/>
    <w:rsid w:val="002C7EC9"/>
    <w:rsid w:val="002C7F36"/>
    <w:rsid w:val="002C7F50"/>
    <w:rsid w:val="002C7F79"/>
    <w:rsid w:val="002C7FE6"/>
    <w:rsid w:val="002D0030"/>
    <w:rsid w:val="002D0120"/>
    <w:rsid w:val="002D01C6"/>
    <w:rsid w:val="002D01E5"/>
    <w:rsid w:val="002D0235"/>
    <w:rsid w:val="002D0236"/>
    <w:rsid w:val="002D02AA"/>
    <w:rsid w:val="002D033A"/>
    <w:rsid w:val="002D037E"/>
    <w:rsid w:val="002D03D5"/>
    <w:rsid w:val="002D0407"/>
    <w:rsid w:val="002D0546"/>
    <w:rsid w:val="002D065E"/>
    <w:rsid w:val="002D0773"/>
    <w:rsid w:val="002D07DA"/>
    <w:rsid w:val="002D0922"/>
    <w:rsid w:val="002D0965"/>
    <w:rsid w:val="002D097B"/>
    <w:rsid w:val="002D0A29"/>
    <w:rsid w:val="002D0A3E"/>
    <w:rsid w:val="002D0A78"/>
    <w:rsid w:val="002D0B17"/>
    <w:rsid w:val="002D0B54"/>
    <w:rsid w:val="002D0B70"/>
    <w:rsid w:val="002D0DA1"/>
    <w:rsid w:val="002D0DF4"/>
    <w:rsid w:val="002D0DF5"/>
    <w:rsid w:val="002D0E1A"/>
    <w:rsid w:val="002D0E21"/>
    <w:rsid w:val="002D0E6D"/>
    <w:rsid w:val="002D0F49"/>
    <w:rsid w:val="002D1051"/>
    <w:rsid w:val="002D10AB"/>
    <w:rsid w:val="002D10C5"/>
    <w:rsid w:val="002D1166"/>
    <w:rsid w:val="002D1271"/>
    <w:rsid w:val="002D1322"/>
    <w:rsid w:val="002D139D"/>
    <w:rsid w:val="002D13B5"/>
    <w:rsid w:val="002D141E"/>
    <w:rsid w:val="002D1450"/>
    <w:rsid w:val="002D145A"/>
    <w:rsid w:val="002D14D6"/>
    <w:rsid w:val="002D155A"/>
    <w:rsid w:val="002D1560"/>
    <w:rsid w:val="002D157F"/>
    <w:rsid w:val="002D159C"/>
    <w:rsid w:val="002D15AB"/>
    <w:rsid w:val="002D1657"/>
    <w:rsid w:val="002D16A1"/>
    <w:rsid w:val="002D16AE"/>
    <w:rsid w:val="002D1774"/>
    <w:rsid w:val="002D17CD"/>
    <w:rsid w:val="002D1819"/>
    <w:rsid w:val="002D19FD"/>
    <w:rsid w:val="002D1A45"/>
    <w:rsid w:val="002D1B70"/>
    <w:rsid w:val="002D1BB8"/>
    <w:rsid w:val="002D1C11"/>
    <w:rsid w:val="002D1C42"/>
    <w:rsid w:val="002D1C56"/>
    <w:rsid w:val="002D1C60"/>
    <w:rsid w:val="002D1D30"/>
    <w:rsid w:val="002D1DEC"/>
    <w:rsid w:val="002D1E84"/>
    <w:rsid w:val="002D1EB3"/>
    <w:rsid w:val="002D1EDC"/>
    <w:rsid w:val="002D1EF1"/>
    <w:rsid w:val="002D201F"/>
    <w:rsid w:val="002D2065"/>
    <w:rsid w:val="002D20C6"/>
    <w:rsid w:val="002D2173"/>
    <w:rsid w:val="002D2189"/>
    <w:rsid w:val="002D240C"/>
    <w:rsid w:val="002D2502"/>
    <w:rsid w:val="002D2528"/>
    <w:rsid w:val="002D25DC"/>
    <w:rsid w:val="002D266D"/>
    <w:rsid w:val="002D26AB"/>
    <w:rsid w:val="002D273D"/>
    <w:rsid w:val="002D2769"/>
    <w:rsid w:val="002D27BC"/>
    <w:rsid w:val="002D281F"/>
    <w:rsid w:val="002D290D"/>
    <w:rsid w:val="002D2922"/>
    <w:rsid w:val="002D2A19"/>
    <w:rsid w:val="002D2A40"/>
    <w:rsid w:val="002D2B8F"/>
    <w:rsid w:val="002D2BE0"/>
    <w:rsid w:val="002D2C36"/>
    <w:rsid w:val="002D2C82"/>
    <w:rsid w:val="002D2D98"/>
    <w:rsid w:val="002D2DC9"/>
    <w:rsid w:val="002D2DD1"/>
    <w:rsid w:val="002D2EAB"/>
    <w:rsid w:val="002D2EC4"/>
    <w:rsid w:val="002D2F79"/>
    <w:rsid w:val="002D3055"/>
    <w:rsid w:val="002D30C1"/>
    <w:rsid w:val="002D315B"/>
    <w:rsid w:val="002D3298"/>
    <w:rsid w:val="002D32E2"/>
    <w:rsid w:val="002D32E3"/>
    <w:rsid w:val="002D33C4"/>
    <w:rsid w:val="002D33F6"/>
    <w:rsid w:val="002D34E9"/>
    <w:rsid w:val="002D35CD"/>
    <w:rsid w:val="002D35E4"/>
    <w:rsid w:val="002D368A"/>
    <w:rsid w:val="002D3715"/>
    <w:rsid w:val="002D37D6"/>
    <w:rsid w:val="002D37E7"/>
    <w:rsid w:val="002D3817"/>
    <w:rsid w:val="002D38CD"/>
    <w:rsid w:val="002D3955"/>
    <w:rsid w:val="002D3957"/>
    <w:rsid w:val="002D39C4"/>
    <w:rsid w:val="002D3AD2"/>
    <w:rsid w:val="002D3B06"/>
    <w:rsid w:val="002D3CCB"/>
    <w:rsid w:val="002D3E9A"/>
    <w:rsid w:val="002D3EAB"/>
    <w:rsid w:val="002D3EF1"/>
    <w:rsid w:val="002D3F36"/>
    <w:rsid w:val="002D3F6B"/>
    <w:rsid w:val="002D3F91"/>
    <w:rsid w:val="002D4102"/>
    <w:rsid w:val="002D417D"/>
    <w:rsid w:val="002D41D6"/>
    <w:rsid w:val="002D422F"/>
    <w:rsid w:val="002D4298"/>
    <w:rsid w:val="002D42E4"/>
    <w:rsid w:val="002D42E7"/>
    <w:rsid w:val="002D42FE"/>
    <w:rsid w:val="002D437C"/>
    <w:rsid w:val="002D438B"/>
    <w:rsid w:val="002D43C3"/>
    <w:rsid w:val="002D440D"/>
    <w:rsid w:val="002D44B3"/>
    <w:rsid w:val="002D44CB"/>
    <w:rsid w:val="002D44DC"/>
    <w:rsid w:val="002D44E5"/>
    <w:rsid w:val="002D4570"/>
    <w:rsid w:val="002D45AC"/>
    <w:rsid w:val="002D45BF"/>
    <w:rsid w:val="002D45F2"/>
    <w:rsid w:val="002D4664"/>
    <w:rsid w:val="002D4744"/>
    <w:rsid w:val="002D4756"/>
    <w:rsid w:val="002D4761"/>
    <w:rsid w:val="002D4762"/>
    <w:rsid w:val="002D47D5"/>
    <w:rsid w:val="002D4847"/>
    <w:rsid w:val="002D486B"/>
    <w:rsid w:val="002D494D"/>
    <w:rsid w:val="002D4986"/>
    <w:rsid w:val="002D49B5"/>
    <w:rsid w:val="002D4A67"/>
    <w:rsid w:val="002D4A9E"/>
    <w:rsid w:val="002D4BB7"/>
    <w:rsid w:val="002D4C92"/>
    <w:rsid w:val="002D4CB0"/>
    <w:rsid w:val="002D4CE2"/>
    <w:rsid w:val="002D4D06"/>
    <w:rsid w:val="002D4D0A"/>
    <w:rsid w:val="002D4DD9"/>
    <w:rsid w:val="002D4E45"/>
    <w:rsid w:val="002D4E4A"/>
    <w:rsid w:val="002D4EBE"/>
    <w:rsid w:val="002D4ECC"/>
    <w:rsid w:val="002D4EF5"/>
    <w:rsid w:val="002D4F1F"/>
    <w:rsid w:val="002D4F40"/>
    <w:rsid w:val="002D4FCF"/>
    <w:rsid w:val="002D508A"/>
    <w:rsid w:val="002D50C0"/>
    <w:rsid w:val="002D50F3"/>
    <w:rsid w:val="002D515C"/>
    <w:rsid w:val="002D5241"/>
    <w:rsid w:val="002D527C"/>
    <w:rsid w:val="002D52BC"/>
    <w:rsid w:val="002D5309"/>
    <w:rsid w:val="002D532A"/>
    <w:rsid w:val="002D53A0"/>
    <w:rsid w:val="002D53C8"/>
    <w:rsid w:val="002D5410"/>
    <w:rsid w:val="002D543F"/>
    <w:rsid w:val="002D553B"/>
    <w:rsid w:val="002D5632"/>
    <w:rsid w:val="002D56C4"/>
    <w:rsid w:val="002D56C7"/>
    <w:rsid w:val="002D57D7"/>
    <w:rsid w:val="002D58BB"/>
    <w:rsid w:val="002D590F"/>
    <w:rsid w:val="002D5989"/>
    <w:rsid w:val="002D59F8"/>
    <w:rsid w:val="002D5AB5"/>
    <w:rsid w:val="002D5AC7"/>
    <w:rsid w:val="002D5B7D"/>
    <w:rsid w:val="002D5C27"/>
    <w:rsid w:val="002D5C41"/>
    <w:rsid w:val="002D5D2B"/>
    <w:rsid w:val="002D5D57"/>
    <w:rsid w:val="002D5DCA"/>
    <w:rsid w:val="002D5DD4"/>
    <w:rsid w:val="002D5E19"/>
    <w:rsid w:val="002D5E8A"/>
    <w:rsid w:val="002D5EB2"/>
    <w:rsid w:val="002D5FA6"/>
    <w:rsid w:val="002D605C"/>
    <w:rsid w:val="002D6390"/>
    <w:rsid w:val="002D6436"/>
    <w:rsid w:val="002D649B"/>
    <w:rsid w:val="002D655A"/>
    <w:rsid w:val="002D65EB"/>
    <w:rsid w:val="002D6672"/>
    <w:rsid w:val="002D672E"/>
    <w:rsid w:val="002D678E"/>
    <w:rsid w:val="002D67B6"/>
    <w:rsid w:val="002D6885"/>
    <w:rsid w:val="002D6937"/>
    <w:rsid w:val="002D6A37"/>
    <w:rsid w:val="002D6BFD"/>
    <w:rsid w:val="002D6C02"/>
    <w:rsid w:val="002D6C23"/>
    <w:rsid w:val="002D6C75"/>
    <w:rsid w:val="002D6DEA"/>
    <w:rsid w:val="002D6E57"/>
    <w:rsid w:val="002D6E6D"/>
    <w:rsid w:val="002D6EC5"/>
    <w:rsid w:val="002D6EDC"/>
    <w:rsid w:val="002D6F7E"/>
    <w:rsid w:val="002D6FDB"/>
    <w:rsid w:val="002D7001"/>
    <w:rsid w:val="002D7006"/>
    <w:rsid w:val="002D7164"/>
    <w:rsid w:val="002D71BB"/>
    <w:rsid w:val="002D71E4"/>
    <w:rsid w:val="002D7214"/>
    <w:rsid w:val="002D72F5"/>
    <w:rsid w:val="002D731C"/>
    <w:rsid w:val="002D731F"/>
    <w:rsid w:val="002D7328"/>
    <w:rsid w:val="002D732E"/>
    <w:rsid w:val="002D7390"/>
    <w:rsid w:val="002D7572"/>
    <w:rsid w:val="002D7578"/>
    <w:rsid w:val="002D75E8"/>
    <w:rsid w:val="002D76A4"/>
    <w:rsid w:val="002D76D0"/>
    <w:rsid w:val="002D771E"/>
    <w:rsid w:val="002D776A"/>
    <w:rsid w:val="002D77C3"/>
    <w:rsid w:val="002D7829"/>
    <w:rsid w:val="002D783E"/>
    <w:rsid w:val="002D7846"/>
    <w:rsid w:val="002D7885"/>
    <w:rsid w:val="002D7907"/>
    <w:rsid w:val="002D791E"/>
    <w:rsid w:val="002D7985"/>
    <w:rsid w:val="002D79FF"/>
    <w:rsid w:val="002D7A8A"/>
    <w:rsid w:val="002D7AF2"/>
    <w:rsid w:val="002D7B07"/>
    <w:rsid w:val="002D7B6D"/>
    <w:rsid w:val="002D7B82"/>
    <w:rsid w:val="002D7BA1"/>
    <w:rsid w:val="002D7BCD"/>
    <w:rsid w:val="002D7C31"/>
    <w:rsid w:val="002D7CE8"/>
    <w:rsid w:val="002D7D50"/>
    <w:rsid w:val="002D7D92"/>
    <w:rsid w:val="002D7DCA"/>
    <w:rsid w:val="002D7DDC"/>
    <w:rsid w:val="002D7F5E"/>
    <w:rsid w:val="002D7FD3"/>
    <w:rsid w:val="002D7FDF"/>
    <w:rsid w:val="002D7FF6"/>
    <w:rsid w:val="002E0004"/>
    <w:rsid w:val="002E006E"/>
    <w:rsid w:val="002E00A5"/>
    <w:rsid w:val="002E0119"/>
    <w:rsid w:val="002E01B8"/>
    <w:rsid w:val="002E01E4"/>
    <w:rsid w:val="002E0242"/>
    <w:rsid w:val="002E02AA"/>
    <w:rsid w:val="002E0355"/>
    <w:rsid w:val="002E04AC"/>
    <w:rsid w:val="002E0541"/>
    <w:rsid w:val="002E05C6"/>
    <w:rsid w:val="002E0720"/>
    <w:rsid w:val="002E072F"/>
    <w:rsid w:val="002E0759"/>
    <w:rsid w:val="002E0847"/>
    <w:rsid w:val="002E0848"/>
    <w:rsid w:val="002E08E4"/>
    <w:rsid w:val="002E095E"/>
    <w:rsid w:val="002E09B9"/>
    <w:rsid w:val="002E09FD"/>
    <w:rsid w:val="002E0AD7"/>
    <w:rsid w:val="002E0B00"/>
    <w:rsid w:val="002E0B4F"/>
    <w:rsid w:val="002E0B8E"/>
    <w:rsid w:val="002E0BF5"/>
    <w:rsid w:val="002E0C08"/>
    <w:rsid w:val="002E0C98"/>
    <w:rsid w:val="002E0CC9"/>
    <w:rsid w:val="002E0CF8"/>
    <w:rsid w:val="002E0D0E"/>
    <w:rsid w:val="002E0D5F"/>
    <w:rsid w:val="002E0D63"/>
    <w:rsid w:val="002E0DDD"/>
    <w:rsid w:val="002E0E2A"/>
    <w:rsid w:val="002E0F04"/>
    <w:rsid w:val="002E0F51"/>
    <w:rsid w:val="002E0FA4"/>
    <w:rsid w:val="002E0FAB"/>
    <w:rsid w:val="002E102F"/>
    <w:rsid w:val="002E1078"/>
    <w:rsid w:val="002E1088"/>
    <w:rsid w:val="002E10C8"/>
    <w:rsid w:val="002E11C3"/>
    <w:rsid w:val="002E1284"/>
    <w:rsid w:val="002E12DA"/>
    <w:rsid w:val="002E1316"/>
    <w:rsid w:val="002E13B7"/>
    <w:rsid w:val="002E13BA"/>
    <w:rsid w:val="002E13CC"/>
    <w:rsid w:val="002E17AE"/>
    <w:rsid w:val="002E181C"/>
    <w:rsid w:val="002E1844"/>
    <w:rsid w:val="002E18C3"/>
    <w:rsid w:val="002E18FB"/>
    <w:rsid w:val="002E1A67"/>
    <w:rsid w:val="002E1BA4"/>
    <w:rsid w:val="002E1BBC"/>
    <w:rsid w:val="002E1BF7"/>
    <w:rsid w:val="002E1D84"/>
    <w:rsid w:val="002E1DA0"/>
    <w:rsid w:val="002E1DEC"/>
    <w:rsid w:val="002E1F37"/>
    <w:rsid w:val="002E1F79"/>
    <w:rsid w:val="002E1F90"/>
    <w:rsid w:val="002E1FB0"/>
    <w:rsid w:val="002E1FB6"/>
    <w:rsid w:val="002E1FCC"/>
    <w:rsid w:val="002E221B"/>
    <w:rsid w:val="002E222C"/>
    <w:rsid w:val="002E2327"/>
    <w:rsid w:val="002E2370"/>
    <w:rsid w:val="002E23D5"/>
    <w:rsid w:val="002E2431"/>
    <w:rsid w:val="002E24AD"/>
    <w:rsid w:val="002E2522"/>
    <w:rsid w:val="002E2570"/>
    <w:rsid w:val="002E2640"/>
    <w:rsid w:val="002E2786"/>
    <w:rsid w:val="002E280F"/>
    <w:rsid w:val="002E291D"/>
    <w:rsid w:val="002E293F"/>
    <w:rsid w:val="002E2B0B"/>
    <w:rsid w:val="002E2B55"/>
    <w:rsid w:val="002E2EC9"/>
    <w:rsid w:val="002E2ED9"/>
    <w:rsid w:val="002E2EEE"/>
    <w:rsid w:val="002E2F02"/>
    <w:rsid w:val="002E2F24"/>
    <w:rsid w:val="002E2F3A"/>
    <w:rsid w:val="002E2F3E"/>
    <w:rsid w:val="002E2F43"/>
    <w:rsid w:val="002E30CC"/>
    <w:rsid w:val="002E30E0"/>
    <w:rsid w:val="002E3212"/>
    <w:rsid w:val="002E343A"/>
    <w:rsid w:val="002E3451"/>
    <w:rsid w:val="002E34CF"/>
    <w:rsid w:val="002E3559"/>
    <w:rsid w:val="002E35B3"/>
    <w:rsid w:val="002E35EE"/>
    <w:rsid w:val="002E368D"/>
    <w:rsid w:val="002E369E"/>
    <w:rsid w:val="002E36C7"/>
    <w:rsid w:val="002E3899"/>
    <w:rsid w:val="002E39AE"/>
    <w:rsid w:val="002E3A40"/>
    <w:rsid w:val="002E3A91"/>
    <w:rsid w:val="002E3AEF"/>
    <w:rsid w:val="002E3B82"/>
    <w:rsid w:val="002E3C03"/>
    <w:rsid w:val="002E3D06"/>
    <w:rsid w:val="002E3D5C"/>
    <w:rsid w:val="002E3D9E"/>
    <w:rsid w:val="002E3DD4"/>
    <w:rsid w:val="002E3E6D"/>
    <w:rsid w:val="002E3ECE"/>
    <w:rsid w:val="002E3F4B"/>
    <w:rsid w:val="002E4014"/>
    <w:rsid w:val="002E4070"/>
    <w:rsid w:val="002E4084"/>
    <w:rsid w:val="002E408F"/>
    <w:rsid w:val="002E4133"/>
    <w:rsid w:val="002E4150"/>
    <w:rsid w:val="002E41DE"/>
    <w:rsid w:val="002E420F"/>
    <w:rsid w:val="002E4325"/>
    <w:rsid w:val="002E4333"/>
    <w:rsid w:val="002E4489"/>
    <w:rsid w:val="002E454B"/>
    <w:rsid w:val="002E454C"/>
    <w:rsid w:val="002E4563"/>
    <w:rsid w:val="002E4570"/>
    <w:rsid w:val="002E45B0"/>
    <w:rsid w:val="002E4653"/>
    <w:rsid w:val="002E4711"/>
    <w:rsid w:val="002E471F"/>
    <w:rsid w:val="002E474C"/>
    <w:rsid w:val="002E482A"/>
    <w:rsid w:val="002E4859"/>
    <w:rsid w:val="002E491E"/>
    <w:rsid w:val="002E4949"/>
    <w:rsid w:val="002E4983"/>
    <w:rsid w:val="002E49F9"/>
    <w:rsid w:val="002E4AB7"/>
    <w:rsid w:val="002E4B25"/>
    <w:rsid w:val="002E4B37"/>
    <w:rsid w:val="002E4CCD"/>
    <w:rsid w:val="002E4DDD"/>
    <w:rsid w:val="002E4DE0"/>
    <w:rsid w:val="002E4E58"/>
    <w:rsid w:val="002E4E82"/>
    <w:rsid w:val="002E4EA2"/>
    <w:rsid w:val="002E520A"/>
    <w:rsid w:val="002E535B"/>
    <w:rsid w:val="002E5472"/>
    <w:rsid w:val="002E54B1"/>
    <w:rsid w:val="002E54EC"/>
    <w:rsid w:val="002E554E"/>
    <w:rsid w:val="002E5589"/>
    <w:rsid w:val="002E5725"/>
    <w:rsid w:val="002E5931"/>
    <w:rsid w:val="002E5B5B"/>
    <w:rsid w:val="002E5C49"/>
    <w:rsid w:val="002E5C72"/>
    <w:rsid w:val="002E5D6B"/>
    <w:rsid w:val="002E5F0A"/>
    <w:rsid w:val="002E5FC8"/>
    <w:rsid w:val="002E6134"/>
    <w:rsid w:val="002E61B1"/>
    <w:rsid w:val="002E61D3"/>
    <w:rsid w:val="002E6262"/>
    <w:rsid w:val="002E62AD"/>
    <w:rsid w:val="002E630B"/>
    <w:rsid w:val="002E6356"/>
    <w:rsid w:val="002E63F9"/>
    <w:rsid w:val="002E63FF"/>
    <w:rsid w:val="002E6486"/>
    <w:rsid w:val="002E64A1"/>
    <w:rsid w:val="002E64CA"/>
    <w:rsid w:val="002E656B"/>
    <w:rsid w:val="002E65BF"/>
    <w:rsid w:val="002E65D5"/>
    <w:rsid w:val="002E665A"/>
    <w:rsid w:val="002E667F"/>
    <w:rsid w:val="002E669A"/>
    <w:rsid w:val="002E6769"/>
    <w:rsid w:val="002E67F6"/>
    <w:rsid w:val="002E6878"/>
    <w:rsid w:val="002E694F"/>
    <w:rsid w:val="002E69E8"/>
    <w:rsid w:val="002E6A75"/>
    <w:rsid w:val="002E6BBA"/>
    <w:rsid w:val="002E6C79"/>
    <w:rsid w:val="002E6CF3"/>
    <w:rsid w:val="002E6D61"/>
    <w:rsid w:val="002E6D95"/>
    <w:rsid w:val="002E6DE0"/>
    <w:rsid w:val="002E6F3C"/>
    <w:rsid w:val="002E6F8A"/>
    <w:rsid w:val="002E6FA9"/>
    <w:rsid w:val="002E70D7"/>
    <w:rsid w:val="002E70FC"/>
    <w:rsid w:val="002E710D"/>
    <w:rsid w:val="002E719D"/>
    <w:rsid w:val="002E71A7"/>
    <w:rsid w:val="002E7213"/>
    <w:rsid w:val="002E724C"/>
    <w:rsid w:val="002E7277"/>
    <w:rsid w:val="002E728A"/>
    <w:rsid w:val="002E728E"/>
    <w:rsid w:val="002E7313"/>
    <w:rsid w:val="002E7320"/>
    <w:rsid w:val="002E73D2"/>
    <w:rsid w:val="002E73DB"/>
    <w:rsid w:val="002E742F"/>
    <w:rsid w:val="002E7447"/>
    <w:rsid w:val="002E7460"/>
    <w:rsid w:val="002E74F7"/>
    <w:rsid w:val="002E75B1"/>
    <w:rsid w:val="002E770E"/>
    <w:rsid w:val="002E77D3"/>
    <w:rsid w:val="002E7870"/>
    <w:rsid w:val="002E7AA5"/>
    <w:rsid w:val="002E7B6F"/>
    <w:rsid w:val="002E7BB4"/>
    <w:rsid w:val="002E7CCE"/>
    <w:rsid w:val="002E7CD4"/>
    <w:rsid w:val="002E7CFF"/>
    <w:rsid w:val="002E7DEF"/>
    <w:rsid w:val="002E7DFB"/>
    <w:rsid w:val="002E7E2A"/>
    <w:rsid w:val="002E7E40"/>
    <w:rsid w:val="002E7E4F"/>
    <w:rsid w:val="002E7E95"/>
    <w:rsid w:val="002E7F2B"/>
    <w:rsid w:val="002E7F3C"/>
    <w:rsid w:val="002E7F55"/>
    <w:rsid w:val="002E7FDA"/>
    <w:rsid w:val="002F0038"/>
    <w:rsid w:val="002F00D6"/>
    <w:rsid w:val="002F013D"/>
    <w:rsid w:val="002F01AF"/>
    <w:rsid w:val="002F021C"/>
    <w:rsid w:val="002F023C"/>
    <w:rsid w:val="002F036B"/>
    <w:rsid w:val="002F039D"/>
    <w:rsid w:val="002F03EA"/>
    <w:rsid w:val="002F03F8"/>
    <w:rsid w:val="002F0430"/>
    <w:rsid w:val="002F0447"/>
    <w:rsid w:val="002F045A"/>
    <w:rsid w:val="002F04D4"/>
    <w:rsid w:val="002F04E3"/>
    <w:rsid w:val="002F060C"/>
    <w:rsid w:val="002F0627"/>
    <w:rsid w:val="002F06AA"/>
    <w:rsid w:val="002F07D7"/>
    <w:rsid w:val="002F08D2"/>
    <w:rsid w:val="002F08DA"/>
    <w:rsid w:val="002F094D"/>
    <w:rsid w:val="002F0987"/>
    <w:rsid w:val="002F0994"/>
    <w:rsid w:val="002F0A7B"/>
    <w:rsid w:val="002F0C3C"/>
    <w:rsid w:val="002F0C96"/>
    <w:rsid w:val="002F0D7F"/>
    <w:rsid w:val="002F0F0C"/>
    <w:rsid w:val="002F0FB1"/>
    <w:rsid w:val="002F102C"/>
    <w:rsid w:val="002F1053"/>
    <w:rsid w:val="002F10A6"/>
    <w:rsid w:val="002F10CA"/>
    <w:rsid w:val="002F1186"/>
    <w:rsid w:val="002F13B2"/>
    <w:rsid w:val="002F14BA"/>
    <w:rsid w:val="002F14EE"/>
    <w:rsid w:val="002F151C"/>
    <w:rsid w:val="002F16B7"/>
    <w:rsid w:val="002F1715"/>
    <w:rsid w:val="002F180D"/>
    <w:rsid w:val="002F1915"/>
    <w:rsid w:val="002F1995"/>
    <w:rsid w:val="002F1A71"/>
    <w:rsid w:val="002F1A9A"/>
    <w:rsid w:val="002F1B08"/>
    <w:rsid w:val="002F1B2E"/>
    <w:rsid w:val="002F1BDB"/>
    <w:rsid w:val="002F1C00"/>
    <w:rsid w:val="002F1C4E"/>
    <w:rsid w:val="002F1C7D"/>
    <w:rsid w:val="002F1CEE"/>
    <w:rsid w:val="002F1D79"/>
    <w:rsid w:val="002F1DB3"/>
    <w:rsid w:val="002F1E6F"/>
    <w:rsid w:val="002F1F3F"/>
    <w:rsid w:val="002F1FCB"/>
    <w:rsid w:val="002F2047"/>
    <w:rsid w:val="002F217D"/>
    <w:rsid w:val="002F21DB"/>
    <w:rsid w:val="002F2273"/>
    <w:rsid w:val="002F22C4"/>
    <w:rsid w:val="002F23FA"/>
    <w:rsid w:val="002F2413"/>
    <w:rsid w:val="002F25C1"/>
    <w:rsid w:val="002F2615"/>
    <w:rsid w:val="002F26BF"/>
    <w:rsid w:val="002F270D"/>
    <w:rsid w:val="002F2727"/>
    <w:rsid w:val="002F27C2"/>
    <w:rsid w:val="002F27F1"/>
    <w:rsid w:val="002F2963"/>
    <w:rsid w:val="002F2982"/>
    <w:rsid w:val="002F2A3A"/>
    <w:rsid w:val="002F2A3E"/>
    <w:rsid w:val="002F2AC4"/>
    <w:rsid w:val="002F2B64"/>
    <w:rsid w:val="002F2BB9"/>
    <w:rsid w:val="002F2BEA"/>
    <w:rsid w:val="002F2DDD"/>
    <w:rsid w:val="002F2DE1"/>
    <w:rsid w:val="002F2EBE"/>
    <w:rsid w:val="002F2F5D"/>
    <w:rsid w:val="002F2FA0"/>
    <w:rsid w:val="002F2FB1"/>
    <w:rsid w:val="002F308B"/>
    <w:rsid w:val="002F3109"/>
    <w:rsid w:val="002F315E"/>
    <w:rsid w:val="002F316A"/>
    <w:rsid w:val="002F31C6"/>
    <w:rsid w:val="002F31E1"/>
    <w:rsid w:val="002F322C"/>
    <w:rsid w:val="002F3250"/>
    <w:rsid w:val="002F3329"/>
    <w:rsid w:val="002F3336"/>
    <w:rsid w:val="002F33CC"/>
    <w:rsid w:val="002F3523"/>
    <w:rsid w:val="002F353B"/>
    <w:rsid w:val="002F3580"/>
    <w:rsid w:val="002F359F"/>
    <w:rsid w:val="002F35C6"/>
    <w:rsid w:val="002F35D1"/>
    <w:rsid w:val="002F363D"/>
    <w:rsid w:val="002F36BC"/>
    <w:rsid w:val="002F36D8"/>
    <w:rsid w:val="002F3700"/>
    <w:rsid w:val="002F38B4"/>
    <w:rsid w:val="002F392C"/>
    <w:rsid w:val="002F3A02"/>
    <w:rsid w:val="002F3A07"/>
    <w:rsid w:val="002F3A32"/>
    <w:rsid w:val="002F3AA2"/>
    <w:rsid w:val="002F3BE4"/>
    <w:rsid w:val="002F3C4B"/>
    <w:rsid w:val="002F3CC8"/>
    <w:rsid w:val="002F3E1D"/>
    <w:rsid w:val="002F3E5E"/>
    <w:rsid w:val="002F3E92"/>
    <w:rsid w:val="002F3E9C"/>
    <w:rsid w:val="002F3ECA"/>
    <w:rsid w:val="002F3F28"/>
    <w:rsid w:val="002F4119"/>
    <w:rsid w:val="002F418B"/>
    <w:rsid w:val="002F424B"/>
    <w:rsid w:val="002F42FA"/>
    <w:rsid w:val="002F433C"/>
    <w:rsid w:val="002F4373"/>
    <w:rsid w:val="002F439F"/>
    <w:rsid w:val="002F43AF"/>
    <w:rsid w:val="002F43B6"/>
    <w:rsid w:val="002F43ED"/>
    <w:rsid w:val="002F4407"/>
    <w:rsid w:val="002F44A0"/>
    <w:rsid w:val="002F44BC"/>
    <w:rsid w:val="002F452F"/>
    <w:rsid w:val="002F45EC"/>
    <w:rsid w:val="002F46F9"/>
    <w:rsid w:val="002F477E"/>
    <w:rsid w:val="002F482F"/>
    <w:rsid w:val="002F4848"/>
    <w:rsid w:val="002F484E"/>
    <w:rsid w:val="002F4890"/>
    <w:rsid w:val="002F48B9"/>
    <w:rsid w:val="002F4958"/>
    <w:rsid w:val="002F49D2"/>
    <w:rsid w:val="002F4AAE"/>
    <w:rsid w:val="002F4C5C"/>
    <w:rsid w:val="002F4CB7"/>
    <w:rsid w:val="002F4D15"/>
    <w:rsid w:val="002F4E8C"/>
    <w:rsid w:val="002F4FF8"/>
    <w:rsid w:val="002F50D7"/>
    <w:rsid w:val="002F515B"/>
    <w:rsid w:val="002F51D0"/>
    <w:rsid w:val="002F51EE"/>
    <w:rsid w:val="002F5277"/>
    <w:rsid w:val="002F52BD"/>
    <w:rsid w:val="002F52FE"/>
    <w:rsid w:val="002F551F"/>
    <w:rsid w:val="002F55B7"/>
    <w:rsid w:val="002F560B"/>
    <w:rsid w:val="002F577E"/>
    <w:rsid w:val="002F582D"/>
    <w:rsid w:val="002F58F9"/>
    <w:rsid w:val="002F5A19"/>
    <w:rsid w:val="002F5B5B"/>
    <w:rsid w:val="002F5B5E"/>
    <w:rsid w:val="002F5D65"/>
    <w:rsid w:val="002F5E0D"/>
    <w:rsid w:val="002F5F6C"/>
    <w:rsid w:val="002F604D"/>
    <w:rsid w:val="002F60AE"/>
    <w:rsid w:val="002F617F"/>
    <w:rsid w:val="002F61A9"/>
    <w:rsid w:val="002F6247"/>
    <w:rsid w:val="002F62A3"/>
    <w:rsid w:val="002F63BD"/>
    <w:rsid w:val="002F64E7"/>
    <w:rsid w:val="002F6506"/>
    <w:rsid w:val="002F6576"/>
    <w:rsid w:val="002F659C"/>
    <w:rsid w:val="002F65B6"/>
    <w:rsid w:val="002F685D"/>
    <w:rsid w:val="002F68C8"/>
    <w:rsid w:val="002F6940"/>
    <w:rsid w:val="002F69BC"/>
    <w:rsid w:val="002F6ADF"/>
    <w:rsid w:val="002F6B47"/>
    <w:rsid w:val="002F6C6D"/>
    <w:rsid w:val="002F6CF5"/>
    <w:rsid w:val="002F6D18"/>
    <w:rsid w:val="002F6D61"/>
    <w:rsid w:val="002F6D96"/>
    <w:rsid w:val="002F6DAB"/>
    <w:rsid w:val="002F6DAF"/>
    <w:rsid w:val="002F6DEA"/>
    <w:rsid w:val="002F6EE9"/>
    <w:rsid w:val="002F6F5E"/>
    <w:rsid w:val="002F6F90"/>
    <w:rsid w:val="002F7070"/>
    <w:rsid w:val="002F70FC"/>
    <w:rsid w:val="002F7108"/>
    <w:rsid w:val="002F713C"/>
    <w:rsid w:val="002F7197"/>
    <w:rsid w:val="002F7235"/>
    <w:rsid w:val="002F7384"/>
    <w:rsid w:val="002F73C5"/>
    <w:rsid w:val="002F752B"/>
    <w:rsid w:val="002F7550"/>
    <w:rsid w:val="002F7619"/>
    <w:rsid w:val="002F767B"/>
    <w:rsid w:val="002F7701"/>
    <w:rsid w:val="002F7726"/>
    <w:rsid w:val="002F779C"/>
    <w:rsid w:val="002F77FC"/>
    <w:rsid w:val="002F782B"/>
    <w:rsid w:val="002F783E"/>
    <w:rsid w:val="002F786A"/>
    <w:rsid w:val="002F7890"/>
    <w:rsid w:val="002F78DA"/>
    <w:rsid w:val="002F7924"/>
    <w:rsid w:val="002F7937"/>
    <w:rsid w:val="002F794D"/>
    <w:rsid w:val="002F7964"/>
    <w:rsid w:val="002F7B7D"/>
    <w:rsid w:val="002F7D30"/>
    <w:rsid w:val="002F7D83"/>
    <w:rsid w:val="002F7DC6"/>
    <w:rsid w:val="002F7DDB"/>
    <w:rsid w:val="002F7F12"/>
    <w:rsid w:val="002F7FFE"/>
    <w:rsid w:val="0030004C"/>
    <w:rsid w:val="00300109"/>
    <w:rsid w:val="00300115"/>
    <w:rsid w:val="003001DA"/>
    <w:rsid w:val="0030027E"/>
    <w:rsid w:val="003002FD"/>
    <w:rsid w:val="003002FE"/>
    <w:rsid w:val="0030033D"/>
    <w:rsid w:val="00300371"/>
    <w:rsid w:val="0030043A"/>
    <w:rsid w:val="0030047F"/>
    <w:rsid w:val="0030048C"/>
    <w:rsid w:val="00300676"/>
    <w:rsid w:val="003006F0"/>
    <w:rsid w:val="0030072C"/>
    <w:rsid w:val="003007D9"/>
    <w:rsid w:val="003007EF"/>
    <w:rsid w:val="0030081D"/>
    <w:rsid w:val="00300945"/>
    <w:rsid w:val="0030099D"/>
    <w:rsid w:val="003009FA"/>
    <w:rsid w:val="00300A17"/>
    <w:rsid w:val="00300A81"/>
    <w:rsid w:val="00300BA9"/>
    <w:rsid w:val="00300BFB"/>
    <w:rsid w:val="00300C67"/>
    <w:rsid w:val="00300CCD"/>
    <w:rsid w:val="00300D7B"/>
    <w:rsid w:val="00300EC8"/>
    <w:rsid w:val="00300ED1"/>
    <w:rsid w:val="00300F1E"/>
    <w:rsid w:val="0030113E"/>
    <w:rsid w:val="003011C6"/>
    <w:rsid w:val="003011EB"/>
    <w:rsid w:val="003011EC"/>
    <w:rsid w:val="0030120A"/>
    <w:rsid w:val="003012A3"/>
    <w:rsid w:val="003012C8"/>
    <w:rsid w:val="003012D5"/>
    <w:rsid w:val="003012EB"/>
    <w:rsid w:val="0030138A"/>
    <w:rsid w:val="003013C1"/>
    <w:rsid w:val="00301435"/>
    <w:rsid w:val="00301456"/>
    <w:rsid w:val="003014D3"/>
    <w:rsid w:val="003016CA"/>
    <w:rsid w:val="003016F6"/>
    <w:rsid w:val="00301755"/>
    <w:rsid w:val="003017FA"/>
    <w:rsid w:val="003018D7"/>
    <w:rsid w:val="0030190F"/>
    <w:rsid w:val="00301934"/>
    <w:rsid w:val="0030198D"/>
    <w:rsid w:val="0030199C"/>
    <w:rsid w:val="00301B63"/>
    <w:rsid w:val="00301B72"/>
    <w:rsid w:val="00301BD5"/>
    <w:rsid w:val="00301C25"/>
    <w:rsid w:val="00301D0E"/>
    <w:rsid w:val="00301D33"/>
    <w:rsid w:val="00301DC3"/>
    <w:rsid w:val="00301DCF"/>
    <w:rsid w:val="00301DD8"/>
    <w:rsid w:val="00301E48"/>
    <w:rsid w:val="00301E9D"/>
    <w:rsid w:val="00301EDF"/>
    <w:rsid w:val="00301F93"/>
    <w:rsid w:val="00301FDB"/>
    <w:rsid w:val="003020E1"/>
    <w:rsid w:val="003020EB"/>
    <w:rsid w:val="0030215D"/>
    <w:rsid w:val="00302194"/>
    <w:rsid w:val="003021A1"/>
    <w:rsid w:val="0030220C"/>
    <w:rsid w:val="003022C6"/>
    <w:rsid w:val="00302370"/>
    <w:rsid w:val="003023A6"/>
    <w:rsid w:val="00302423"/>
    <w:rsid w:val="0030247D"/>
    <w:rsid w:val="00302480"/>
    <w:rsid w:val="0030248B"/>
    <w:rsid w:val="003024D8"/>
    <w:rsid w:val="00302552"/>
    <w:rsid w:val="0030257F"/>
    <w:rsid w:val="003025B2"/>
    <w:rsid w:val="003025BE"/>
    <w:rsid w:val="0030266E"/>
    <w:rsid w:val="00302702"/>
    <w:rsid w:val="00302752"/>
    <w:rsid w:val="003027A4"/>
    <w:rsid w:val="003028CB"/>
    <w:rsid w:val="003028D7"/>
    <w:rsid w:val="003028E1"/>
    <w:rsid w:val="00302A08"/>
    <w:rsid w:val="00302A74"/>
    <w:rsid w:val="00302A7D"/>
    <w:rsid w:val="00302B5D"/>
    <w:rsid w:val="00302B82"/>
    <w:rsid w:val="00302C46"/>
    <w:rsid w:val="00302C97"/>
    <w:rsid w:val="00302D25"/>
    <w:rsid w:val="00302D4B"/>
    <w:rsid w:val="00302E61"/>
    <w:rsid w:val="00302ED5"/>
    <w:rsid w:val="00302EEF"/>
    <w:rsid w:val="00302FED"/>
    <w:rsid w:val="00303074"/>
    <w:rsid w:val="00303081"/>
    <w:rsid w:val="003030A0"/>
    <w:rsid w:val="003030B0"/>
    <w:rsid w:val="00303108"/>
    <w:rsid w:val="003031C2"/>
    <w:rsid w:val="003032C7"/>
    <w:rsid w:val="0030336D"/>
    <w:rsid w:val="003033C3"/>
    <w:rsid w:val="003033EA"/>
    <w:rsid w:val="00303416"/>
    <w:rsid w:val="00303477"/>
    <w:rsid w:val="00303496"/>
    <w:rsid w:val="003034DF"/>
    <w:rsid w:val="0030350E"/>
    <w:rsid w:val="003036BF"/>
    <w:rsid w:val="003036F1"/>
    <w:rsid w:val="003037C2"/>
    <w:rsid w:val="003038B8"/>
    <w:rsid w:val="0030390A"/>
    <w:rsid w:val="003039E2"/>
    <w:rsid w:val="00303AE5"/>
    <w:rsid w:val="00303AEA"/>
    <w:rsid w:val="00303BBA"/>
    <w:rsid w:val="00303CA0"/>
    <w:rsid w:val="00303D5A"/>
    <w:rsid w:val="00303DD3"/>
    <w:rsid w:val="00303E55"/>
    <w:rsid w:val="00303F39"/>
    <w:rsid w:val="00303FF0"/>
    <w:rsid w:val="00304047"/>
    <w:rsid w:val="003040CE"/>
    <w:rsid w:val="0030413A"/>
    <w:rsid w:val="00304140"/>
    <w:rsid w:val="0030418C"/>
    <w:rsid w:val="003042C2"/>
    <w:rsid w:val="00304440"/>
    <w:rsid w:val="0030444F"/>
    <w:rsid w:val="00304498"/>
    <w:rsid w:val="003044B1"/>
    <w:rsid w:val="003044BD"/>
    <w:rsid w:val="00304595"/>
    <w:rsid w:val="003046CD"/>
    <w:rsid w:val="00304704"/>
    <w:rsid w:val="0030473F"/>
    <w:rsid w:val="0030476D"/>
    <w:rsid w:val="003047EE"/>
    <w:rsid w:val="003047FD"/>
    <w:rsid w:val="003048F2"/>
    <w:rsid w:val="00304911"/>
    <w:rsid w:val="003049A2"/>
    <w:rsid w:val="00304BBA"/>
    <w:rsid w:val="00304C2E"/>
    <w:rsid w:val="00304C44"/>
    <w:rsid w:val="00304C4F"/>
    <w:rsid w:val="00304C6D"/>
    <w:rsid w:val="00304C9E"/>
    <w:rsid w:val="00304CD1"/>
    <w:rsid w:val="00304DA1"/>
    <w:rsid w:val="00304E3F"/>
    <w:rsid w:val="00304EE7"/>
    <w:rsid w:val="00304F2F"/>
    <w:rsid w:val="00304F5B"/>
    <w:rsid w:val="00305004"/>
    <w:rsid w:val="0030501B"/>
    <w:rsid w:val="00305078"/>
    <w:rsid w:val="003050C2"/>
    <w:rsid w:val="00305100"/>
    <w:rsid w:val="0030511D"/>
    <w:rsid w:val="00305199"/>
    <w:rsid w:val="003051A0"/>
    <w:rsid w:val="00305289"/>
    <w:rsid w:val="0030528F"/>
    <w:rsid w:val="00305459"/>
    <w:rsid w:val="003054BE"/>
    <w:rsid w:val="003054D7"/>
    <w:rsid w:val="0030563E"/>
    <w:rsid w:val="00305659"/>
    <w:rsid w:val="0030566C"/>
    <w:rsid w:val="00305676"/>
    <w:rsid w:val="00305731"/>
    <w:rsid w:val="00305839"/>
    <w:rsid w:val="0030597C"/>
    <w:rsid w:val="00305A23"/>
    <w:rsid w:val="00305A45"/>
    <w:rsid w:val="00305A8A"/>
    <w:rsid w:val="00305B18"/>
    <w:rsid w:val="00305BA9"/>
    <w:rsid w:val="00305CC0"/>
    <w:rsid w:val="00305D44"/>
    <w:rsid w:val="00305D45"/>
    <w:rsid w:val="00305D53"/>
    <w:rsid w:val="00305DAF"/>
    <w:rsid w:val="00305DB5"/>
    <w:rsid w:val="00305DBE"/>
    <w:rsid w:val="00305DC2"/>
    <w:rsid w:val="00305DD2"/>
    <w:rsid w:val="00305DDE"/>
    <w:rsid w:val="00305E78"/>
    <w:rsid w:val="00305F2B"/>
    <w:rsid w:val="00305FC8"/>
    <w:rsid w:val="00306035"/>
    <w:rsid w:val="0030603B"/>
    <w:rsid w:val="00306072"/>
    <w:rsid w:val="00306096"/>
    <w:rsid w:val="00306117"/>
    <w:rsid w:val="003061C4"/>
    <w:rsid w:val="0030623E"/>
    <w:rsid w:val="00306272"/>
    <w:rsid w:val="003062C9"/>
    <w:rsid w:val="003062FB"/>
    <w:rsid w:val="0030632A"/>
    <w:rsid w:val="003064A2"/>
    <w:rsid w:val="003065D8"/>
    <w:rsid w:val="003065F2"/>
    <w:rsid w:val="0030665E"/>
    <w:rsid w:val="0030671F"/>
    <w:rsid w:val="00306772"/>
    <w:rsid w:val="00306894"/>
    <w:rsid w:val="003068B1"/>
    <w:rsid w:val="003068F9"/>
    <w:rsid w:val="00306920"/>
    <w:rsid w:val="003069ED"/>
    <w:rsid w:val="00306B4F"/>
    <w:rsid w:val="00306C2A"/>
    <w:rsid w:val="00306C7E"/>
    <w:rsid w:val="00306CF1"/>
    <w:rsid w:val="00306CFC"/>
    <w:rsid w:val="00306D85"/>
    <w:rsid w:val="00306DB4"/>
    <w:rsid w:val="00306E38"/>
    <w:rsid w:val="00306F9F"/>
    <w:rsid w:val="0030701A"/>
    <w:rsid w:val="00307078"/>
    <w:rsid w:val="00307155"/>
    <w:rsid w:val="00307181"/>
    <w:rsid w:val="00307242"/>
    <w:rsid w:val="0030729E"/>
    <w:rsid w:val="003072B2"/>
    <w:rsid w:val="003072E1"/>
    <w:rsid w:val="0030734F"/>
    <w:rsid w:val="00307425"/>
    <w:rsid w:val="003074E5"/>
    <w:rsid w:val="00307517"/>
    <w:rsid w:val="0030752E"/>
    <w:rsid w:val="003075B1"/>
    <w:rsid w:val="00307711"/>
    <w:rsid w:val="00307733"/>
    <w:rsid w:val="00307744"/>
    <w:rsid w:val="0030774A"/>
    <w:rsid w:val="003077D5"/>
    <w:rsid w:val="0030785C"/>
    <w:rsid w:val="003078AB"/>
    <w:rsid w:val="00307944"/>
    <w:rsid w:val="00307956"/>
    <w:rsid w:val="003079D0"/>
    <w:rsid w:val="00307A93"/>
    <w:rsid w:val="00307CDE"/>
    <w:rsid w:val="00307CF6"/>
    <w:rsid w:val="00307D19"/>
    <w:rsid w:val="00307D25"/>
    <w:rsid w:val="00307D4B"/>
    <w:rsid w:val="00307D86"/>
    <w:rsid w:val="00307D99"/>
    <w:rsid w:val="00307E11"/>
    <w:rsid w:val="00307E82"/>
    <w:rsid w:val="00307F34"/>
    <w:rsid w:val="00307FBE"/>
    <w:rsid w:val="00307FF0"/>
    <w:rsid w:val="00307FF8"/>
    <w:rsid w:val="0030B614"/>
    <w:rsid w:val="00310031"/>
    <w:rsid w:val="003100F6"/>
    <w:rsid w:val="003101F3"/>
    <w:rsid w:val="00310220"/>
    <w:rsid w:val="00310311"/>
    <w:rsid w:val="0031036B"/>
    <w:rsid w:val="003103EE"/>
    <w:rsid w:val="00310708"/>
    <w:rsid w:val="003108ED"/>
    <w:rsid w:val="00310B6D"/>
    <w:rsid w:val="00310BFC"/>
    <w:rsid w:val="00310C7A"/>
    <w:rsid w:val="00310CC9"/>
    <w:rsid w:val="00310D70"/>
    <w:rsid w:val="00310FFE"/>
    <w:rsid w:val="00311002"/>
    <w:rsid w:val="00311028"/>
    <w:rsid w:val="0031108C"/>
    <w:rsid w:val="003110AF"/>
    <w:rsid w:val="003110FA"/>
    <w:rsid w:val="00311109"/>
    <w:rsid w:val="003111CD"/>
    <w:rsid w:val="00311259"/>
    <w:rsid w:val="003112B0"/>
    <w:rsid w:val="003112B8"/>
    <w:rsid w:val="0031134F"/>
    <w:rsid w:val="003113FC"/>
    <w:rsid w:val="00311421"/>
    <w:rsid w:val="00311470"/>
    <w:rsid w:val="0031156E"/>
    <w:rsid w:val="003115A1"/>
    <w:rsid w:val="00311618"/>
    <w:rsid w:val="0031161A"/>
    <w:rsid w:val="0031165E"/>
    <w:rsid w:val="003116A9"/>
    <w:rsid w:val="00311846"/>
    <w:rsid w:val="003118DC"/>
    <w:rsid w:val="00311A2A"/>
    <w:rsid w:val="00311A2B"/>
    <w:rsid w:val="00311BC0"/>
    <w:rsid w:val="00311BF8"/>
    <w:rsid w:val="00311C17"/>
    <w:rsid w:val="00311C25"/>
    <w:rsid w:val="00311E0B"/>
    <w:rsid w:val="00312035"/>
    <w:rsid w:val="00312080"/>
    <w:rsid w:val="003120B1"/>
    <w:rsid w:val="0031212C"/>
    <w:rsid w:val="0031220D"/>
    <w:rsid w:val="0031221B"/>
    <w:rsid w:val="003122F4"/>
    <w:rsid w:val="00312313"/>
    <w:rsid w:val="00312369"/>
    <w:rsid w:val="003123BA"/>
    <w:rsid w:val="00312502"/>
    <w:rsid w:val="00312582"/>
    <w:rsid w:val="003125CD"/>
    <w:rsid w:val="00312690"/>
    <w:rsid w:val="003126B5"/>
    <w:rsid w:val="00312707"/>
    <w:rsid w:val="00312715"/>
    <w:rsid w:val="0031272E"/>
    <w:rsid w:val="00312735"/>
    <w:rsid w:val="0031274F"/>
    <w:rsid w:val="00312801"/>
    <w:rsid w:val="00312870"/>
    <w:rsid w:val="003128E0"/>
    <w:rsid w:val="003128EE"/>
    <w:rsid w:val="00312A78"/>
    <w:rsid w:val="00312AB5"/>
    <w:rsid w:val="00312B75"/>
    <w:rsid w:val="00312D8F"/>
    <w:rsid w:val="00312DA8"/>
    <w:rsid w:val="00312E60"/>
    <w:rsid w:val="00312EC7"/>
    <w:rsid w:val="00312F10"/>
    <w:rsid w:val="00313070"/>
    <w:rsid w:val="0031314C"/>
    <w:rsid w:val="0031314D"/>
    <w:rsid w:val="003131CC"/>
    <w:rsid w:val="00313210"/>
    <w:rsid w:val="003132D4"/>
    <w:rsid w:val="00313300"/>
    <w:rsid w:val="00313314"/>
    <w:rsid w:val="003133FE"/>
    <w:rsid w:val="0031342A"/>
    <w:rsid w:val="00313434"/>
    <w:rsid w:val="0031357F"/>
    <w:rsid w:val="00313610"/>
    <w:rsid w:val="00313688"/>
    <w:rsid w:val="003136B3"/>
    <w:rsid w:val="003136E7"/>
    <w:rsid w:val="0031381A"/>
    <w:rsid w:val="00313840"/>
    <w:rsid w:val="003138EB"/>
    <w:rsid w:val="003138F0"/>
    <w:rsid w:val="003139A6"/>
    <w:rsid w:val="003139FD"/>
    <w:rsid w:val="00313A97"/>
    <w:rsid w:val="00313B88"/>
    <w:rsid w:val="00313BE7"/>
    <w:rsid w:val="00313BE9"/>
    <w:rsid w:val="00313C6D"/>
    <w:rsid w:val="00313D2B"/>
    <w:rsid w:val="00313DD4"/>
    <w:rsid w:val="00313E37"/>
    <w:rsid w:val="00313E52"/>
    <w:rsid w:val="00313E93"/>
    <w:rsid w:val="00313EAC"/>
    <w:rsid w:val="00313EF8"/>
    <w:rsid w:val="00313F28"/>
    <w:rsid w:val="003140C2"/>
    <w:rsid w:val="00314131"/>
    <w:rsid w:val="00314169"/>
    <w:rsid w:val="003141AE"/>
    <w:rsid w:val="003141C5"/>
    <w:rsid w:val="00314237"/>
    <w:rsid w:val="00314287"/>
    <w:rsid w:val="003142FD"/>
    <w:rsid w:val="00314339"/>
    <w:rsid w:val="00314378"/>
    <w:rsid w:val="003143A2"/>
    <w:rsid w:val="00314439"/>
    <w:rsid w:val="0031443A"/>
    <w:rsid w:val="00314478"/>
    <w:rsid w:val="003144D1"/>
    <w:rsid w:val="003144E8"/>
    <w:rsid w:val="0031456E"/>
    <w:rsid w:val="003145A9"/>
    <w:rsid w:val="003146C3"/>
    <w:rsid w:val="003147FD"/>
    <w:rsid w:val="003149F0"/>
    <w:rsid w:val="00314A9E"/>
    <w:rsid w:val="00314D01"/>
    <w:rsid w:val="00314D2C"/>
    <w:rsid w:val="00314D4E"/>
    <w:rsid w:val="00314E86"/>
    <w:rsid w:val="003150F8"/>
    <w:rsid w:val="0031517E"/>
    <w:rsid w:val="003151E8"/>
    <w:rsid w:val="00315215"/>
    <w:rsid w:val="00315243"/>
    <w:rsid w:val="00315349"/>
    <w:rsid w:val="003153D7"/>
    <w:rsid w:val="003153E9"/>
    <w:rsid w:val="00315464"/>
    <w:rsid w:val="003154B3"/>
    <w:rsid w:val="0031560C"/>
    <w:rsid w:val="0031564E"/>
    <w:rsid w:val="00315689"/>
    <w:rsid w:val="0031569F"/>
    <w:rsid w:val="00315714"/>
    <w:rsid w:val="003157CB"/>
    <w:rsid w:val="003158B4"/>
    <w:rsid w:val="0031591F"/>
    <w:rsid w:val="003159F2"/>
    <w:rsid w:val="00315AE0"/>
    <w:rsid w:val="00315B21"/>
    <w:rsid w:val="00315C28"/>
    <w:rsid w:val="00315CC4"/>
    <w:rsid w:val="00315D2B"/>
    <w:rsid w:val="00315D91"/>
    <w:rsid w:val="00315DFA"/>
    <w:rsid w:val="00315E47"/>
    <w:rsid w:val="00315E4C"/>
    <w:rsid w:val="00315E86"/>
    <w:rsid w:val="00315E9F"/>
    <w:rsid w:val="00315F60"/>
    <w:rsid w:val="00315F85"/>
    <w:rsid w:val="00316037"/>
    <w:rsid w:val="00316197"/>
    <w:rsid w:val="003161C8"/>
    <w:rsid w:val="00316267"/>
    <w:rsid w:val="003162C2"/>
    <w:rsid w:val="003163CB"/>
    <w:rsid w:val="00316423"/>
    <w:rsid w:val="0031644A"/>
    <w:rsid w:val="00316510"/>
    <w:rsid w:val="00316541"/>
    <w:rsid w:val="00316684"/>
    <w:rsid w:val="0031683C"/>
    <w:rsid w:val="00316849"/>
    <w:rsid w:val="003168C7"/>
    <w:rsid w:val="0031696C"/>
    <w:rsid w:val="00316970"/>
    <w:rsid w:val="003169F2"/>
    <w:rsid w:val="00316A32"/>
    <w:rsid w:val="00316B21"/>
    <w:rsid w:val="00316B76"/>
    <w:rsid w:val="00316B8A"/>
    <w:rsid w:val="00316B96"/>
    <w:rsid w:val="00316BE9"/>
    <w:rsid w:val="00316C83"/>
    <w:rsid w:val="00316CB0"/>
    <w:rsid w:val="00316D3E"/>
    <w:rsid w:val="00316D7A"/>
    <w:rsid w:val="00316EB0"/>
    <w:rsid w:val="00316F77"/>
    <w:rsid w:val="00317057"/>
    <w:rsid w:val="0031717A"/>
    <w:rsid w:val="003171B1"/>
    <w:rsid w:val="00317238"/>
    <w:rsid w:val="00317278"/>
    <w:rsid w:val="0031736D"/>
    <w:rsid w:val="0031739B"/>
    <w:rsid w:val="0031740C"/>
    <w:rsid w:val="003174A4"/>
    <w:rsid w:val="0031750D"/>
    <w:rsid w:val="0031755F"/>
    <w:rsid w:val="003175B2"/>
    <w:rsid w:val="003175CF"/>
    <w:rsid w:val="003179D1"/>
    <w:rsid w:val="003179E6"/>
    <w:rsid w:val="00317B35"/>
    <w:rsid w:val="00317B42"/>
    <w:rsid w:val="00317B9C"/>
    <w:rsid w:val="00317BEC"/>
    <w:rsid w:val="00317C64"/>
    <w:rsid w:val="00317D9D"/>
    <w:rsid w:val="00317DB5"/>
    <w:rsid w:val="00317DC0"/>
    <w:rsid w:val="00317DCE"/>
    <w:rsid w:val="00317F28"/>
    <w:rsid w:val="00317FC8"/>
    <w:rsid w:val="00320012"/>
    <w:rsid w:val="003200E2"/>
    <w:rsid w:val="0032026B"/>
    <w:rsid w:val="003202C9"/>
    <w:rsid w:val="003202D0"/>
    <w:rsid w:val="003202FE"/>
    <w:rsid w:val="00320399"/>
    <w:rsid w:val="0032045B"/>
    <w:rsid w:val="0032055B"/>
    <w:rsid w:val="0032059D"/>
    <w:rsid w:val="00320655"/>
    <w:rsid w:val="00320665"/>
    <w:rsid w:val="00320695"/>
    <w:rsid w:val="003206F8"/>
    <w:rsid w:val="0032071B"/>
    <w:rsid w:val="003207A4"/>
    <w:rsid w:val="00320808"/>
    <w:rsid w:val="0032082A"/>
    <w:rsid w:val="00320862"/>
    <w:rsid w:val="00320913"/>
    <w:rsid w:val="00320A98"/>
    <w:rsid w:val="00320ACC"/>
    <w:rsid w:val="00320AF5"/>
    <w:rsid w:val="00320AF8"/>
    <w:rsid w:val="00320B5E"/>
    <w:rsid w:val="00320B6F"/>
    <w:rsid w:val="00320BE5"/>
    <w:rsid w:val="00320C7D"/>
    <w:rsid w:val="00320D67"/>
    <w:rsid w:val="00321091"/>
    <w:rsid w:val="003210ED"/>
    <w:rsid w:val="00321110"/>
    <w:rsid w:val="00321118"/>
    <w:rsid w:val="0032112D"/>
    <w:rsid w:val="003211B3"/>
    <w:rsid w:val="003211CD"/>
    <w:rsid w:val="0032123F"/>
    <w:rsid w:val="00321252"/>
    <w:rsid w:val="003212D8"/>
    <w:rsid w:val="00321339"/>
    <w:rsid w:val="0032136E"/>
    <w:rsid w:val="00321388"/>
    <w:rsid w:val="0032138A"/>
    <w:rsid w:val="003213FD"/>
    <w:rsid w:val="0032141B"/>
    <w:rsid w:val="0032143B"/>
    <w:rsid w:val="003214B3"/>
    <w:rsid w:val="00321529"/>
    <w:rsid w:val="00321597"/>
    <w:rsid w:val="003215AA"/>
    <w:rsid w:val="0032161C"/>
    <w:rsid w:val="00321667"/>
    <w:rsid w:val="00321688"/>
    <w:rsid w:val="003216C0"/>
    <w:rsid w:val="0032175C"/>
    <w:rsid w:val="0032179E"/>
    <w:rsid w:val="00321892"/>
    <w:rsid w:val="003219B0"/>
    <w:rsid w:val="00321BF1"/>
    <w:rsid w:val="00321CD6"/>
    <w:rsid w:val="00321CE6"/>
    <w:rsid w:val="00321DB1"/>
    <w:rsid w:val="00321E00"/>
    <w:rsid w:val="00321E8C"/>
    <w:rsid w:val="00322080"/>
    <w:rsid w:val="003221CB"/>
    <w:rsid w:val="00322245"/>
    <w:rsid w:val="003222A1"/>
    <w:rsid w:val="00322325"/>
    <w:rsid w:val="0032239B"/>
    <w:rsid w:val="00322462"/>
    <w:rsid w:val="00322623"/>
    <w:rsid w:val="0032267F"/>
    <w:rsid w:val="00322772"/>
    <w:rsid w:val="00322857"/>
    <w:rsid w:val="0032289D"/>
    <w:rsid w:val="00322936"/>
    <w:rsid w:val="00322A45"/>
    <w:rsid w:val="00322A76"/>
    <w:rsid w:val="00322A9A"/>
    <w:rsid w:val="00322BCD"/>
    <w:rsid w:val="00322C88"/>
    <w:rsid w:val="00322C92"/>
    <w:rsid w:val="00322CFF"/>
    <w:rsid w:val="00322D1D"/>
    <w:rsid w:val="00322D99"/>
    <w:rsid w:val="00322DCE"/>
    <w:rsid w:val="00322EF3"/>
    <w:rsid w:val="00322F31"/>
    <w:rsid w:val="00322FFE"/>
    <w:rsid w:val="00322FFF"/>
    <w:rsid w:val="0032310B"/>
    <w:rsid w:val="00323132"/>
    <w:rsid w:val="00323167"/>
    <w:rsid w:val="00323261"/>
    <w:rsid w:val="00323415"/>
    <w:rsid w:val="0032344F"/>
    <w:rsid w:val="003234DF"/>
    <w:rsid w:val="0032362B"/>
    <w:rsid w:val="00323645"/>
    <w:rsid w:val="00323859"/>
    <w:rsid w:val="003238D6"/>
    <w:rsid w:val="0032392A"/>
    <w:rsid w:val="0032399C"/>
    <w:rsid w:val="003239E4"/>
    <w:rsid w:val="003239F5"/>
    <w:rsid w:val="00323A54"/>
    <w:rsid w:val="00323AA6"/>
    <w:rsid w:val="00323B99"/>
    <w:rsid w:val="00323BD2"/>
    <w:rsid w:val="00323C03"/>
    <w:rsid w:val="00323C11"/>
    <w:rsid w:val="00323C81"/>
    <w:rsid w:val="00323D75"/>
    <w:rsid w:val="00323F41"/>
    <w:rsid w:val="00324006"/>
    <w:rsid w:val="00324018"/>
    <w:rsid w:val="00324166"/>
    <w:rsid w:val="00324178"/>
    <w:rsid w:val="0032428A"/>
    <w:rsid w:val="0032435E"/>
    <w:rsid w:val="003244A0"/>
    <w:rsid w:val="0032458C"/>
    <w:rsid w:val="003245D0"/>
    <w:rsid w:val="0032465D"/>
    <w:rsid w:val="0032477E"/>
    <w:rsid w:val="00324780"/>
    <w:rsid w:val="00324861"/>
    <w:rsid w:val="00324863"/>
    <w:rsid w:val="0032486E"/>
    <w:rsid w:val="00324A9F"/>
    <w:rsid w:val="00324B24"/>
    <w:rsid w:val="00324BC0"/>
    <w:rsid w:val="00324C51"/>
    <w:rsid w:val="00324E6C"/>
    <w:rsid w:val="00324ECC"/>
    <w:rsid w:val="00324EDF"/>
    <w:rsid w:val="00324EE2"/>
    <w:rsid w:val="00324EF4"/>
    <w:rsid w:val="00324F53"/>
    <w:rsid w:val="00325053"/>
    <w:rsid w:val="003250C0"/>
    <w:rsid w:val="00325125"/>
    <w:rsid w:val="0032524F"/>
    <w:rsid w:val="003252AA"/>
    <w:rsid w:val="00325642"/>
    <w:rsid w:val="0032569B"/>
    <w:rsid w:val="003256AD"/>
    <w:rsid w:val="00325760"/>
    <w:rsid w:val="0032578A"/>
    <w:rsid w:val="00325838"/>
    <w:rsid w:val="00325940"/>
    <w:rsid w:val="003259C9"/>
    <w:rsid w:val="00325A16"/>
    <w:rsid w:val="00325A2D"/>
    <w:rsid w:val="00325B25"/>
    <w:rsid w:val="00325C11"/>
    <w:rsid w:val="00325C1F"/>
    <w:rsid w:val="00325C4F"/>
    <w:rsid w:val="00325C6D"/>
    <w:rsid w:val="00325D92"/>
    <w:rsid w:val="00325D9B"/>
    <w:rsid w:val="00325E50"/>
    <w:rsid w:val="00325F8D"/>
    <w:rsid w:val="00326008"/>
    <w:rsid w:val="00326010"/>
    <w:rsid w:val="00326135"/>
    <w:rsid w:val="00326140"/>
    <w:rsid w:val="00326174"/>
    <w:rsid w:val="003261E1"/>
    <w:rsid w:val="00326304"/>
    <w:rsid w:val="00326312"/>
    <w:rsid w:val="00326858"/>
    <w:rsid w:val="00326884"/>
    <w:rsid w:val="003268D4"/>
    <w:rsid w:val="003268D5"/>
    <w:rsid w:val="003269E0"/>
    <w:rsid w:val="00326A29"/>
    <w:rsid w:val="00326A9A"/>
    <w:rsid w:val="00326AD3"/>
    <w:rsid w:val="00326B3D"/>
    <w:rsid w:val="00326C17"/>
    <w:rsid w:val="00326CB9"/>
    <w:rsid w:val="00326D02"/>
    <w:rsid w:val="00326D14"/>
    <w:rsid w:val="00326D92"/>
    <w:rsid w:val="00326E2B"/>
    <w:rsid w:val="00326E2D"/>
    <w:rsid w:val="00326E34"/>
    <w:rsid w:val="00326FB5"/>
    <w:rsid w:val="00327199"/>
    <w:rsid w:val="0032741A"/>
    <w:rsid w:val="0032742B"/>
    <w:rsid w:val="00327498"/>
    <w:rsid w:val="0032751D"/>
    <w:rsid w:val="00327520"/>
    <w:rsid w:val="003276C6"/>
    <w:rsid w:val="003276D2"/>
    <w:rsid w:val="0032777A"/>
    <w:rsid w:val="00327838"/>
    <w:rsid w:val="003278D3"/>
    <w:rsid w:val="0032797E"/>
    <w:rsid w:val="00327A0E"/>
    <w:rsid w:val="00327A2D"/>
    <w:rsid w:val="00327A56"/>
    <w:rsid w:val="00327B0F"/>
    <w:rsid w:val="00327BA2"/>
    <w:rsid w:val="00327C15"/>
    <w:rsid w:val="00327C28"/>
    <w:rsid w:val="00327C2A"/>
    <w:rsid w:val="00327CA7"/>
    <w:rsid w:val="00327D12"/>
    <w:rsid w:val="00327DEE"/>
    <w:rsid w:val="00327E0E"/>
    <w:rsid w:val="00327E16"/>
    <w:rsid w:val="00327EFA"/>
    <w:rsid w:val="00327F7E"/>
    <w:rsid w:val="0033011A"/>
    <w:rsid w:val="00330133"/>
    <w:rsid w:val="00330178"/>
    <w:rsid w:val="00330285"/>
    <w:rsid w:val="0033037A"/>
    <w:rsid w:val="0033046B"/>
    <w:rsid w:val="003304F7"/>
    <w:rsid w:val="00330567"/>
    <w:rsid w:val="003305A8"/>
    <w:rsid w:val="00330619"/>
    <w:rsid w:val="0033065A"/>
    <w:rsid w:val="00330670"/>
    <w:rsid w:val="00330689"/>
    <w:rsid w:val="003306DE"/>
    <w:rsid w:val="0033071F"/>
    <w:rsid w:val="0033073E"/>
    <w:rsid w:val="00330740"/>
    <w:rsid w:val="003307AF"/>
    <w:rsid w:val="003307D8"/>
    <w:rsid w:val="003307F8"/>
    <w:rsid w:val="003308C6"/>
    <w:rsid w:val="003308F9"/>
    <w:rsid w:val="00330996"/>
    <w:rsid w:val="00330A30"/>
    <w:rsid w:val="00330AD0"/>
    <w:rsid w:val="00330B6F"/>
    <w:rsid w:val="00330B84"/>
    <w:rsid w:val="00330CB9"/>
    <w:rsid w:val="00330DF2"/>
    <w:rsid w:val="00330EF4"/>
    <w:rsid w:val="00330F1C"/>
    <w:rsid w:val="00331062"/>
    <w:rsid w:val="003310ED"/>
    <w:rsid w:val="0033118B"/>
    <w:rsid w:val="0033121A"/>
    <w:rsid w:val="0033122E"/>
    <w:rsid w:val="0033129D"/>
    <w:rsid w:val="003312F7"/>
    <w:rsid w:val="00331300"/>
    <w:rsid w:val="0033140D"/>
    <w:rsid w:val="00331512"/>
    <w:rsid w:val="0033152E"/>
    <w:rsid w:val="00331535"/>
    <w:rsid w:val="00331550"/>
    <w:rsid w:val="003315EE"/>
    <w:rsid w:val="00331606"/>
    <w:rsid w:val="00331613"/>
    <w:rsid w:val="0033164F"/>
    <w:rsid w:val="00331652"/>
    <w:rsid w:val="00331666"/>
    <w:rsid w:val="003316AF"/>
    <w:rsid w:val="00331742"/>
    <w:rsid w:val="003318D0"/>
    <w:rsid w:val="003318DB"/>
    <w:rsid w:val="003318E4"/>
    <w:rsid w:val="003319BF"/>
    <w:rsid w:val="003319CC"/>
    <w:rsid w:val="00331A98"/>
    <w:rsid w:val="00331B61"/>
    <w:rsid w:val="00331B97"/>
    <w:rsid w:val="00331C1A"/>
    <w:rsid w:val="00331D65"/>
    <w:rsid w:val="00331DB7"/>
    <w:rsid w:val="00331DD7"/>
    <w:rsid w:val="00331DE3"/>
    <w:rsid w:val="00331EF2"/>
    <w:rsid w:val="00331FDD"/>
    <w:rsid w:val="00332036"/>
    <w:rsid w:val="00332108"/>
    <w:rsid w:val="003321B4"/>
    <w:rsid w:val="0033227C"/>
    <w:rsid w:val="003322CF"/>
    <w:rsid w:val="0033230F"/>
    <w:rsid w:val="00332318"/>
    <w:rsid w:val="00332351"/>
    <w:rsid w:val="00332399"/>
    <w:rsid w:val="003323A3"/>
    <w:rsid w:val="0033241C"/>
    <w:rsid w:val="00332515"/>
    <w:rsid w:val="0033268F"/>
    <w:rsid w:val="003326D7"/>
    <w:rsid w:val="0033273F"/>
    <w:rsid w:val="003327AD"/>
    <w:rsid w:val="003328CD"/>
    <w:rsid w:val="003328D4"/>
    <w:rsid w:val="003328ED"/>
    <w:rsid w:val="003329CB"/>
    <w:rsid w:val="003329E3"/>
    <w:rsid w:val="003329F7"/>
    <w:rsid w:val="00332A6D"/>
    <w:rsid w:val="00332A83"/>
    <w:rsid w:val="00332B9D"/>
    <w:rsid w:val="00332BF1"/>
    <w:rsid w:val="00332C64"/>
    <w:rsid w:val="00332D7C"/>
    <w:rsid w:val="00332DF4"/>
    <w:rsid w:val="00332E3D"/>
    <w:rsid w:val="0033312E"/>
    <w:rsid w:val="00333269"/>
    <w:rsid w:val="00333302"/>
    <w:rsid w:val="00333321"/>
    <w:rsid w:val="003333B0"/>
    <w:rsid w:val="00333494"/>
    <w:rsid w:val="003334A6"/>
    <w:rsid w:val="003334D7"/>
    <w:rsid w:val="003334E6"/>
    <w:rsid w:val="0033379C"/>
    <w:rsid w:val="003339DA"/>
    <w:rsid w:val="00333A78"/>
    <w:rsid w:val="00333AF2"/>
    <w:rsid w:val="00333C0A"/>
    <w:rsid w:val="00333D8A"/>
    <w:rsid w:val="00333DC3"/>
    <w:rsid w:val="00333EAD"/>
    <w:rsid w:val="00333F52"/>
    <w:rsid w:val="00333F9C"/>
    <w:rsid w:val="00333FFF"/>
    <w:rsid w:val="00334182"/>
    <w:rsid w:val="003341AB"/>
    <w:rsid w:val="003341EA"/>
    <w:rsid w:val="003342C7"/>
    <w:rsid w:val="003342F7"/>
    <w:rsid w:val="00334317"/>
    <w:rsid w:val="00334380"/>
    <w:rsid w:val="003343D9"/>
    <w:rsid w:val="003343FE"/>
    <w:rsid w:val="0033446F"/>
    <w:rsid w:val="00334512"/>
    <w:rsid w:val="003345B6"/>
    <w:rsid w:val="003347E1"/>
    <w:rsid w:val="003348B2"/>
    <w:rsid w:val="00334930"/>
    <w:rsid w:val="00334977"/>
    <w:rsid w:val="003349B5"/>
    <w:rsid w:val="00334AA6"/>
    <w:rsid w:val="00334AD8"/>
    <w:rsid w:val="00334B55"/>
    <w:rsid w:val="00334C2D"/>
    <w:rsid w:val="00334D20"/>
    <w:rsid w:val="00334DA4"/>
    <w:rsid w:val="00334E05"/>
    <w:rsid w:val="00334EF5"/>
    <w:rsid w:val="00334F29"/>
    <w:rsid w:val="00334F3E"/>
    <w:rsid w:val="00334FF4"/>
    <w:rsid w:val="00334FF9"/>
    <w:rsid w:val="00335029"/>
    <w:rsid w:val="0033503D"/>
    <w:rsid w:val="00335051"/>
    <w:rsid w:val="00335175"/>
    <w:rsid w:val="003351FC"/>
    <w:rsid w:val="00335265"/>
    <w:rsid w:val="003352D7"/>
    <w:rsid w:val="00335351"/>
    <w:rsid w:val="00335449"/>
    <w:rsid w:val="003354D4"/>
    <w:rsid w:val="00335542"/>
    <w:rsid w:val="00335550"/>
    <w:rsid w:val="00335580"/>
    <w:rsid w:val="003355B9"/>
    <w:rsid w:val="00335628"/>
    <w:rsid w:val="00335707"/>
    <w:rsid w:val="003357B5"/>
    <w:rsid w:val="003357B7"/>
    <w:rsid w:val="003357F5"/>
    <w:rsid w:val="00335A23"/>
    <w:rsid w:val="00335A4A"/>
    <w:rsid w:val="00335A98"/>
    <w:rsid w:val="00335AEC"/>
    <w:rsid w:val="00335B26"/>
    <w:rsid w:val="00335D14"/>
    <w:rsid w:val="00335D7D"/>
    <w:rsid w:val="00335DD4"/>
    <w:rsid w:val="00335ED5"/>
    <w:rsid w:val="00335F44"/>
    <w:rsid w:val="00335F48"/>
    <w:rsid w:val="00336015"/>
    <w:rsid w:val="0033604E"/>
    <w:rsid w:val="00336093"/>
    <w:rsid w:val="0033619A"/>
    <w:rsid w:val="00336317"/>
    <w:rsid w:val="003363F0"/>
    <w:rsid w:val="0033645E"/>
    <w:rsid w:val="00336462"/>
    <w:rsid w:val="0033656A"/>
    <w:rsid w:val="003365B7"/>
    <w:rsid w:val="003365F8"/>
    <w:rsid w:val="00336688"/>
    <w:rsid w:val="00336733"/>
    <w:rsid w:val="0033674B"/>
    <w:rsid w:val="00336755"/>
    <w:rsid w:val="00336789"/>
    <w:rsid w:val="00336839"/>
    <w:rsid w:val="00336848"/>
    <w:rsid w:val="0033690C"/>
    <w:rsid w:val="00336923"/>
    <w:rsid w:val="00336954"/>
    <w:rsid w:val="00336956"/>
    <w:rsid w:val="00336AB0"/>
    <w:rsid w:val="00336AE8"/>
    <w:rsid w:val="00336B17"/>
    <w:rsid w:val="00336B22"/>
    <w:rsid w:val="00336B49"/>
    <w:rsid w:val="00336B8B"/>
    <w:rsid w:val="00336C36"/>
    <w:rsid w:val="00336E4B"/>
    <w:rsid w:val="00336E66"/>
    <w:rsid w:val="00336E82"/>
    <w:rsid w:val="00336EA8"/>
    <w:rsid w:val="00336F9C"/>
    <w:rsid w:val="003370C0"/>
    <w:rsid w:val="003371DA"/>
    <w:rsid w:val="003371EC"/>
    <w:rsid w:val="00337276"/>
    <w:rsid w:val="003372B9"/>
    <w:rsid w:val="0033734C"/>
    <w:rsid w:val="00337440"/>
    <w:rsid w:val="00337454"/>
    <w:rsid w:val="0033755F"/>
    <w:rsid w:val="00337582"/>
    <w:rsid w:val="003375AE"/>
    <w:rsid w:val="00337634"/>
    <w:rsid w:val="00337648"/>
    <w:rsid w:val="003376AD"/>
    <w:rsid w:val="003376FD"/>
    <w:rsid w:val="00337761"/>
    <w:rsid w:val="00337862"/>
    <w:rsid w:val="00337865"/>
    <w:rsid w:val="003378A6"/>
    <w:rsid w:val="003379A4"/>
    <w:rsid w:val="003379DC"/>
    <w:rsid w:val="00337A33"/>
    <w:rsid w:val="00337B58"/>
    <w:rsid w:val="00337BFA"/>
    <w:rsid w:val="00337C0A"/>
    <w:rsid w:val="00337C35"/>
    <w:rsid w:val="00337C47"/>
    <w:rsid w:val="00337DCC"/>
    <w:rsid w:val="00337DF6"/>
    <w:rsid w:val="00337E47"/>
    <w:rsid w:val="00337EFE"/>
    <w:rsid w:val="00337F3E"/>
    <w:rsid w:val="00337F57"/>
    <w:rsid w:val="00337F6A"/>
    <w:rsid w:val="00337F7B"/>
    <w:rsid w:val="00337FF8"/>
    <w:rsid w:val="00340093"/>
    <w:rsid w:val="00340393"/>
    <w:rsid w:val="0034039A"/>
    <w:rsid w:val="00340547"/>
    <w:rsid w:val="003405FD"/>
    <w:rsid w:val="0034060C"/>
    <w:rsid w:val="00340632"/>
    <w:rsid w:val="0034068D"/>
    <w:rsid w:val="003406B0"/>
    <w:rsid w:val="0034070E"/>
    <w:rsid w:val="003407B3"/>
    <w:rsid w:val="0034080E"/>
    <w:rsid w:val="003408C0"/>
    <w:rsid w:val="003408F2"/>
    <w:rsid w:val="003409C0"/>
    <w:rsid w:val="00340AA9"/>
    <w:rsid w:val="00340B4C"/>
    <w:rsid w:val="00340CC8"/>
    <w:rsid w:val="00340CE3"/>
    <w:rsid w:val="00340DCC"/>
    <w:rsid w:val="00340E42"/>
    <w:rsid w:val="00340E54"/>
    <w:rsid w:val="00340E8E"/>
    <w:rsid w:val="00340F1E"/>
    <w:rsid w:val="00340FBD"/>
    <w:rsid w:val="00341067"/>
    <w:rsid w:val="003410EF"/>
    <w:rsid w:val="003410F0"/>
    <w:rsid w:val="003411A7"/>
    <w:rsid w:val="003412B2"/>
    <w:rsid w:val="00341429"/>
    <w:rsid w:val="0034145D"/>
    <w:rsid w:val="003414E1"/>
    <w:rsid w:val="003415CE"/>
    <w:rsid w:val="0034163F"/>
    <w:rsid w:val="00341659"/>
    <w:rsid w:val="003416A9"/>
    <w:rsid w:val="00341769"/>
    <w:rsid w:val="003417E2"/>
    <w:rsid w:val="00341818"/>
    <w:rsid w:val="00341863"/>
    <w:rsid w:val="00341943"/>
    <w:rsid w:val="003419F6"/>
    <w:rsid w:val="00341A0D"/>
    <w:rsid w:val="00341BC3"/>
    <w:rsid w:val="00341D5C"/>
    <w:rsid w:val="00341D7B"/>
    <w:rsid w:val="00341DB6"/>
    <w:rsid w:val="00341EE0"/>
    <w:rsid w:val="00341F01"/>
    <w:rsid w:val="00341F06"/>
    <w:rsid w:val="00341F71"/>
    <w:rsid w:val="00341FC5"/>
    <w:rsid w:val="003420B1"/>
    <w:rsid w:val="00342128"/>
    <w:rsid w:val="0034213B"/>
    <w:rsid w:val="0034227F"/>
    <w:rsid w:val="003422DF"/>
    <w:rsid w:val="00342326"/>
    <w:rsid w:val="003423DE"/>
    <w:rsid w:val="00342432"/>
    <w:rsid w:val="00342517"/>
    <w:rsid w:val="00342553"/>
    <w:rsid w:val="003425C4"/>
    <w:rsid w:val="0034279E"/>
    <w:rsid w:val="003427B9"/>
    <w:rsid w:val="003427DB"/>
    <w:rsid w:val="00342852"/>
    <w:rsid w:val="00342911"/>
    <w:rsid w:val="0034299D"/>
    <w:rsid w:val="00342A29"/>
    <w:rsid w:val="00342A48"/>
    <w:rsid w:val="00342A4C"/>
    <w:rsid w:val="00342A64"/>
    <w:rsid w:val="00342AB2"/>
    <w:rsid w:val="00342C93"/>
    <w:rsid w:val="00342CB5"/>
    <w:rsid w:val="00342CCC"/>
    <w:rsid w:val="00342CF8"/>
    <w:rsid w:val="00342D50"/>
    <w:rsid w:val="00342D7F"/>
    <w:rsid w:val="00342DFD"/>
    <w:rsid w:val="00342E74"/>
    <w:rsid w:val="00342E98"/>
    <w:rsid w:val="00342ECA"/>
    <w:rsid w:val="00342EF2"/>
    <w:rsid w:val="00342EFA"/>
    <w:rsid w:val="00342F33"/>
    <w:rsid w:val="00342FD6"/>
    <w:rsid w:val="00343091"/>
    <w:rsid w:val="00343138"/>
    <w:rsid w:val="0034313F"/>
    <w:rsid w:val="0034321E"/>
    <w:rsid w:val="003432E9"/>
    <w:rsid w:val="003433AD"/>
    <w:rsid w:val="003433D9"/>
    <w:rsid w:val="00343526"/>
    <w:rsid w:val="0034354C"/>
    <w:rsid w:val="003436B2"/>
    <w:rsid w:val="003436E7"/>
    <w:rsid w:val="0034386D"/>
    <w:rsid w:val="0034389E"/>
    <w:rsid w:val="003438A7"/>
    <w:rsid w:val="00343A3B"/>
    <w:rsid w:val="00343A41"/>
    <w:rsid w:val="00343AC7"/>
    <w:rsid w:val="00343ADE"/>
    <w:rsid w:val="00343B40"/>
    <w:rsid w:val="00343B54"/>
    <w:rsid w:val="00343B7D"/>
    <w:rsid w:val="00343BAC"/>
    <w:rsid w:val="00343BF4"/>
    <w:rsid w:val="00343C4C"/>
    <w:rsid w:val="00343CFD"/>
    <w:rsid w:val="00343D10"/>
    <w:rsid w:val="00343DAB"/>
    <w:rsid w:val="00343F2C"/>
    <w:rsid w:val="00343F61"/>
    <w:rsid w:val="00344034"/>
    <w:rsid w:val="00344067"/>
    <w:rsid w:val="003440C3"/>
    <w:rsid w:val="00344102"/>
    <w:rsid w:val="0034416A"/>
    <w:rsid w:val="003441EB"/>
    <w:rsid w:val="00344204"/>
    <w:rsid w:val="003442AB"/>
    <w:rsid w:val="003442C4"/>
    <w:rsid w:val="003442FE"/>
    <w:rsid w:val="0034435E"/>
    <w:rsid w:val="0034440F"/>
    <w:rsid w:val="003444B3"/>
    <w:rsid w:val="003444C1"/>
    <w:rsid w:val="0034463B"/>
    <w:rsid w:val="003446CD"/>
    <w:rsid w:val="0034475C"/>
    <w:rsid w:val="00344779"/>
    <w:rsid w:val="003447A2"/>
    <w:rsid w:val="003448A5"/>
    <w:rsid w:val="003448CA"/>
    <w:rsid w:val="003448E5"/>
    <w:rsid w:val="003448F6"/>
    <w:rsid w:val="00344905"/>
    <w:rsid w:val="0034491D"/>
    <w:rsid w:val="00344962"/>
    <w:rsid w:val="00344A91"/>
    <w:rsid w:val="00344A9D"/>
    <w:rsid w:val="00344AC4"/>
    <w:rsid w:val="00344B2B"/>
    <w:rsid w:val="00344B63"/>
    <w:rsid w:val="00344B79"/>
    <w:rsid w:val="00344BB0"/>
    <w:rsid w:val="00344C17"/>
    <w:rsid w:val="00344C6F"/>
    <w:rsid w:val="00344C72"/>
    <w:rsid w:val="00344C73"/>
    <w:rsid w:val="00344C9E"/>
    <w:rsid w:val="00344D13"/>
    <w:rsid w:val="00344F2E"/>
    <w:rsid w:val="00344F3C"/>
    <w:rsid w:val="00344F99"/>
    <w:rsid w:val="00344FD7"/>
    <w:rsid w:val="00345004"/>
    <w:rsid w:val="00345023"/>
    <w:rsid w:val="003450B3"/>
    <w:rsid w:val="00345190"/>
    <w:rsid w:val="0034522B"/>
    <w:rsid w:val="0034525C"/>
    <w:rsid w:val="0034534C"/>
    <w:rsid w:val="003453F0"/>
    <w:rsid w:val="00345428"/>
    <w:rsid w:val="003454A6"/>
    <w:rsid w:val="003454B0"/>
    <w:rsid w:val="003454CF"/>
    <w:rsid w:val="0034554E"/>
    <w:rsid w:val="00345557"/>
    <w:rsid w:val="00345566"/>
    <w:rsid w:val="0034564A"/>
    <w:rsid w:val="00345678"/>
    <w:rsid w:val="003456FB"/>
    <w:rsid w:val="003457A7"/>
    <w:rsid w:val="003457C9"/>
    <w:rsid w:val="00345995"/>
    <w:rsid w:val="00345A2D"/>
    <w:rsid w:val="00345AD5"/>
    <w:rsid w:val="00345B29"/>
    <w:rsid w:val="00345B8E"/>
    <w:rsid w:val="00345BB8"/>
    <w:rsid w:val="00345E39"/>
    <w:rsid w:val="00345EBA"/>
    <w:rsid w:val="00345F1F"/>
    <w:rsid w:val="00345F7C"/>
    <w:rsid w:val="0034604F"/>
    <w:rsid w:val="003462B0"/>
    <w:rsid w:val="003463E0"/>
    <w:rsid w:val="003463E7"/>
    <w:rsid w:val="00346510"/>
    <w:rsid w:val="0034658C"/>
    <w:rsid w:val="00346621"/>
    <w:rsid w:val="003466FA"/>
    <w:rsid w:val="003467D3"/>
    <w:rsid w:val="003467E7"/>
    <w:rsid w:val="0034682C"/>
    <w:rsid w:val="00346877"/>
    <w:rsid w:val="003468AA"/>
    <w:rsid w:val="003468AB"/>
    <w:rsid w:val="00346934"/>
    <w:rsid w:val="003469EE"/>
    <w:rsid w:val="00346A3B"/>
    <w:rsid w:val="00346D30"/>
    <w:rsid w:val="00346D40"/>
    <w:rsid w:val="00346D57"/>
    <w:rsid w:val="00346DE4"/>
    <w:rsid w:val="00346E6E"/>
    <w:rsid w:val="00346E8C"/>
    <w:rsid w:val="00346F0A"/>
    <w:rsid w:val="00346F9A"/>
    <w:rsid w:val="00346FAE"/>
    <w:rsid w:val="00346FFF"/>
    <w:rsid w:val="003470AD"/>
    <w:rsid w:val="003471AD"/>
    <w:rsid w:val="003472ED"/>
    <w:rsid w:val="0034731D"/>
    <w:rsid w:val="00347352"/>
    <w:rsid w:val="0034742D"/>
    <w:rsid w:val="00347446"/>
    <w:rsid w:val="00347488"/>
    <w:rsid w:val="0034753A"/>
    <w:rsid w:val="00347580"/>
    <w:rsid w:val="003475D8"/>
    <w:rsid w:val="003475E0"/>
    <w:rsid w:val="00347760"/>
    <w:rsid w:val="00347782"/>
    <w:rsid w:val="003477AC"/>
    <w:rsid w:val="00347801"/>
    <w:rsid w:val="0034786F"/>
    <w:rsid w:val="003478BF"/>
    <w:rsid w:val="00347941"/>
    <w:rsid w:val="00347942"/>
    <w:rsid w:val="00347998"/>
    <w:rsid w:val="00347B02"/>
    <w:rsid w:val="00347C85"/>
    <w:rsid w:val="00347CEA"/>
    <w:rsid w:val="00347E26"/>
    <w:rsid w:val="00347E3A"/>
    <w:rsid w:val="00347EC9"/>
    <w:rsid w:val="00347EE2"/>
    <w:rsid w:val="00347F30"/>
    <w:rsid w:val="00347F78"/>
    <w:rsid w:val="0035000F"/>
    <w:rsid w:val="00350100"/>
    <w:rsid w:val="00350104"/>
    <w:rsid w:val="00350161"/>
    <w:rsid w:val="00350286"/>
    <w:rsid w:val="003502DE"/>
    <w:rsid w:val="0035036F"/>
    <w:rsid w:val="00350393"/>
    <w:rsid w:val="003503D1"/>
    <w:rsid w:val="00350431"/>
    <w:rsid w:val="00350445"/>
    <w:rsid w:val="003504AC"/>
    <w:rsid w:val="003505E7"/>
    <w:rsid w:val="003506FA"/>
    <w:rsid w:val="00350759"/>
    <w:rsid w:val="0035077B"/>
    <w:rsid w:val="00350880"/>
    <w:rsid w:val="0035089E"/>
    <w:rsid w:val="003508B3"/>
    <w:rsid w:val="003509B6"/>
    <w:rsid w:val="003509F8"/>
    <w:rsid w:val="00350A9C"/>
    <w:rsid w:val="00350AB3"/>
    <w:rsid w:val="00350AC8"/>
    <w:rsid w:val="00350B06"/>
    <w:rsid w:val="00350B6A"/>
    <w:rsid w:val="00350BD7"/>
    <w:rsid w:val="00350BDE"/>
    <w:rsid w:val="00350C07"/>
    <w:rsid w:val="00350C7F"/>
    <w:rsid w:val="00350C90"/>
    <w:rsid w:val="00350CE9"/>
    <w:rsid w:val="00350D4A"/>
    <w:rsid w:val="00350D60"/>
    <w:rsid w:val="00350D87"/>
    <w:rsid w:val="00350DB3"/>
    <w:rsid w:val="00350DB9"/>
    <w:rsid w:val="00350DE0"/>
    <w:rsid w:val="00350E0D"/>
    <w:rsid w:val="00350EB0"/>
    <w:rsid w:val="00350F62"/>
    <w:rsid w:val="00350F87"/>
    <w:rsid w:val="00350FC6"/>
    <w:rsid w:val="00350FFB"/>
    <w:rsid w:val="00351013"/>
    <w:rsid w:val="0035102E"/>
    <w:rsid w:val="00351040"/>
    <w:rsid w:val="00351175"/>
    <w:rsid w:val="003511FB"/>
    <w:rsid w:val="00351224"/>
    <w:rsid w:val="00351288"/>
    <w:rsid w:val="0035148D"/>
    <w:rsid w:val="003514BC"/>
    <w:rsid w:val="003515F2"/>
    <w:rsid w:val="00351605"/>
    <w:rsid w:val="003516BE"/>
    <w:rsid w:val="0035170A"/>
    <w:rsid w:val="00351891"/>
    <w:rsid w:val="00351934"/>
    <w:rsid w:val="0035195A"/>
    <w:rsid w:val="0035197B"/>
    <w:rsid w:val="003519DC"/>
    <w:rsid w:val="00351AD5"/>
    <w:rsid w:val="00351B3C"/>
    <w:rsid w:val="00351B7D"/>
    <w:rsid w:val="00351BAE"/>
    <w:rsid w:val="00351C8E"/>
    <w:rsid w:val="00351C94"/>
    <w:rsid w:val="00351DBC"/>
    <w:rsid w:val="00351F0C"/>
    <w:rsid w:val="00351F4B"/>
    <w:rsid w:val="00351F93"/>
    <w:rsid w:val="00352003"/>
    <w:rsid w:val="00352009"/>
    <w:rsid w:val="003520A2"/>
    <w:rsid w:val="0035211D"/>
    <w:rsid w:val="00352121"/>
    <w:rsid w:val="00352139"/>
    <w:rsid w:val="00352153"/>
    <w:rsid w:val="0035223C"/>
    <w:rsid w:val="003522D1"/>
    <w:rsid w:val="003522E7"/>
    <w:rsid w:val="00352380"/>
    <w:rsid w:val="003523A1"/>
    <w:rsid w:val="003523BB"/>
    <w:rsid w:val="0035243C"/>
    <w:rsid w:val="0035245C"/>
    <w:rsid w:val="00352493"/>
    <w:rsid w:val="003524D8"/>
    <w:rsid w:val="00352510"/>
    <w:rsid w:val="00352560"/>
    <w:rsid w:val="003525CC"/>
    <w:rsid w:val="003526EB"/>
    <w:rsid w:val="0035272C"/>
    <w:rsid w:val="0035276C"/>
    <w:rsid w:val="00352774"/>
    <w:rsid w:val="003527EA"/>
    <w:rsid w:val="003527F0"/>
    <w:rsid w:val="003527F1"/>
    <w:rsid w:val="00352845"/>
    <w:rsid w:val="00352915"/>
    <w:rsid w:val="003529AA"/>
    <w:rsid w:val="00352BBC"/>
    <w:rsid w:val="00352BF7"/>
    <w:rsid w:val="00352C60"/>
    <w:rsid w:val="00352CC6"/>
    <w:rsid w:val="00352CFA"/>
    <w:rsid w:val="00352D76"/>
    <w:rsid w:val="00352E4E"/>
    <w:rsid w:val="00352EE8"/>
    <w:rsid w:val="00352F31"/>
    <w:rsid w:val="0035306F"/>
    <w:rsid w:val="003530A2"/>
    <w:rsid w:val="003530E4"/>
    <w:rsid w:val="00353225"/>
    <w:rsid w:val="0035327D"/>
    <w:rsid w:val="0035329B"/>
    <w:rsid w:val="003532A8"/>
    <w:rsid w:val="0035332E"/>
    <w:rsid w:val="0035333B"/>
    <w:rsid w:val="0035343E"/>
    <w:rsid w:val="00353496"/>
    <w:rsid w:val="003534FC"/>
    <w:rsid w:val="00353592"/>
    <w:rsid w:val="003535DC"/>
    <w:rsid w:val="00353668"/>
    <w:rsid w:val="0035368E"/>
    <w:rsid w:val="003536CC"/>
    <w:rsid w:val="003536ED"/>
    <w:rsid w:val="003536F4"/>
    <w:rsid w:val="00353721"/>
    <w:rsid w:val="00353789"/>
    <w:rsid w:val="00353912"/>
    <w:rsid w:val="0035391B"/>
    <w:rsid w:val="003539AE"/>
    <w:rsid w:val="00353A5A"/>
    <w:rsid w:val="00353A5C"/>
    <w:rsid w:val="00353AB6"/>
    <w:rsid w:val="00353AED"/>
    <w:rsid w:val="00353C58"/>
    <w:rsid w:val="00353C84"/>
    <w:rsid w:val="00353D65"/>
    <w:rsid w:val="00353D7F"/>
    <w:rsid w:val="00353E0D"/>
    <w:rsid w:val="00353E86"/>
    <w:rsid w:val="00353EE6"/>
    <w:rsid w:val="00353FA6"/>
    <w:rsid w:val="00353FC2"/>
    <w:rsid w:val="003540F9"/>
    <w:rsid w:val="0035424D"/>
    <w:rsid w:val="0035426C"/>
    <w:rsid w:val="003542B6"/>
    <w:rsid w:val="00354301"/>
    <w:rsid w:val="0035433C"/>
    <w:rsid w:val="003543D8"/>
    <w:rsid w:val="0035445C"/>
    <w:rsid w:val="00354461"/>
    <w:rsid w:val="00354471"/>
    <w:rsid w:val="00354484"/>
    <w:rsid w:val="00354568"/>
    <w:rsid w:val="0035458C"/>
    <w:rsid w:val="003545A5"/>
    <w:rsid w:val="003546DF"/>
    <w:rsid w:val="0035470E"/>
    <w:rsid w:val="0035474B"/>
    <w:rsid w:val="00354842"/>
    <w:rsid w:val="00354972"/>
    <w:rsid w:val="003549E4"/>
    <w:rsid w:val="00354A03"/>
    <w:rsid w:val="00354BAD"/>
    <w:rsid w:val="00354C0B"/>
    <w:rsid w:val="00354C5F"/>
    <w:rsid w:val="00354D27"/>
    <w:rsid w:val="00354E69"/>
    <w:rsid w:val="00354E6A"/>
    <w:rsid w:val="00354ECD"/>
    <w:rsid w:val="00354F19"/>
    <w:rsid w:val="00355029"/>
    <w:rsid w:val="0035516E"/>
    <w:rsid w:val="0035518D"/>
    <w:rsid w:val="003551BA"/>
    <w:rsid w:val="0035522F"/>
    <w:rsid w:val="0035529A"/>
    <w:rsid w:val="003552C6"/>
    <w:rsid w:val="003552D7"/>
    <w:rsid w:val="00355323"/>
    <w:rsid w:val="00355362"/>
    <w:rsid w:val="003553BD"/>
    <w:rsid w:val="0035542F"/>
    <w:rsid w:val="0035547F"/>
    <w:rsid w:val="00355556"/>
    <w:rsid w:val="003555BE"/>
    <w:rsid w:val="003555DB"/>
    <w:rsid w:val="0035562A"/>
    <w:rsid w:val="003556CB"/>
    <w:rsid w:val="00355713"/>
    <w:rsid w:val="00355752"/>
    <w:rsid w:val="0035576C"/>
    <w:rsid w:val="0035577F"/>
    <w:rsid w:val="00355784"/>
    <w:rsid w:val="003557CF"/>
    <w:rsid w:val="003557E5"/>
    <w:rsid w:val="003558ED"/>
    <w:rsid w:val="0035593C"/>
    <w:rsid w:val="00355A29"/>
    <w:rsid w:val="00355C12"/>
    <w:rsid w:val="00355C70"/>
    <w:rsid w:val="00355D70"/>
    <w:rsid w:val="00355D7A"/>
    <w:rsid w:val="00355E0E"/>
    <w:rsid w:val="00355E7F"/>
    <w:rsid w:val="00355F13"/>
    <w:rsid w:val="00355F43"/>
    <w:rsid w:val="00355FEF"/>
    <w:rsid w:val="00356024"/>
    <w:rsid w:val="00356089"/>
    <w:rsid w:val="003560E0"/>
    <w:rsid w:val="003560F9"/>
    <w:rsid w:val="00356245"/>
    <w:rsid w:val="003562B5"/>
    <w:rsid w:val="003563F7"/>
    <w:rsid w:val="00356556"/>
    <w:rsid w:val="003565AC"/>
    <w:rsid w:val="00356624"/>
    <w:rsid w:val="0035675F"/>
    <w:rsid w:val="003567C8"/>
    <w:rsid w:val="003567E2"/>
    <w:rsid w:val="0035687B"/>
    <w:rsid w:val="00356890"/>
    <w:rsid w:val="0035698F"/>
    <w:rsid w:val="00356A0C"/>
    <w:rsid w:val="00356A4F"/>
    <w:rsid w:val="00356B40"/>
    <w:rsid w:val="00356B54"/>
    <w:rsid w:val="00356BF8"/>
    <w:rsid w:val="00356C1F"/>
    <w:rsid w:val="00356C44"/>
    <w:rsid w:val="00356CB3"/>
    <w:rsid w:val="00356D39"/>
    <w:rsid w:val="00356D7D"/>
    <w:rsid w:val="00356DA2"/>
    <w:rsid w:val="00356EAE"/>
    <w:rsid w:val="00356F5E"/>
    <w:rsid w:val="00356F98"/>
    <w:rsid w:val="00356FCC"/>
    <w:rsid w:val="0035708A"/>
    <w:rsid w:val="00357099"/>
    <w:rsid w:val="00357120"/>
    <w:rsid w:val="003572CB"/>
    <w:rsid w:val="003572E0"/>
    <w:rsid w:val="0035738A"/>
    <w:rsid w:val="00357433"/>
    <w:rsid w:val="0035743B"/>
    <w:rsid w:val="00357457"/>
    <w:rsid w:val="0035746D"/>
    <w:rsid w:val="00357528"/>
    <w:rsid w:val="003576D4"/>
    <w:rsid w:val="00357723"/>
    <w:rsid w:val="003577D1"/>
    <w:rsid w:val="00357809"/>
    <w:rsid w:val="00357817"/>
    <w:rsid w:val="0035781A"/>
    <w:rsid w:val="003578C8"/>
    <w:rsid w:val="003578D6"/>
    <w:rsid w:val="00357944"/>
    <w:rsid w:val="00357A9B"/>
    <w:rsid w:val="00357B02"/>
    <w:rsid w:val="00357BAC"/>
    <w:rsid w:val="00357BC5"/>
    <w:rsid w:val="00357C78"/>
    <w:rsid w:val="00357C79"/>
    <w:rsid w:val="00357D9F"/>
    <w:rsid w:val="00357E35"/>
    <w:rsid w:val="00357E78"/>
    <w:rsid w:val="00360023"/>
    <w:rsid w:val="00360128"/>
    <w:rsid w:val="00360187"/>
    <w:rsid w:val="00360200"/>
    <w:rsid w:val="00360287"/>
    <w:rsid w:val="00360295"/>
    <w:rsid w:val="003602A9"/>
    <w:rsid w:val="00360347"/>
    <w:rsid w:val="003603D5"/>
    <w:rsid w:val="0036043C"/>
    <w:rsid w:val="0036044C"/>
    <w:rsid w:val="00360485"/>
    <w:rsid w:val="0036057F"/>
    <w:rsid w:val="00360581"/>
    <w:rsid w:val="00360603"/>
    <w:rsid w:val="0036076C"/>
    <w:rsid w:val="00360792"/>
    <w:rsid w:val="0036081F"/>
    <w:rsid w:val="0036089C"/>
    <w:rsid w:val="003608A0"/>
    <w:rsid w:val="003608D4"/>
    <w:rsid w:val="00360BD1"/>
    <w:rsid w:val="00360CBE"/>
    <w:rsid w:val="00360CD0"/>
    <w:rsid w:val="00360E3D"/>
    <w:rsid w:val="00360E7B"/>
    <w:rsid w:val="00360E90"/>
    <w:rsid w:val="00360FCE"/>
    <w:rsid w:val="00361040"/>
    <w:rsid w:val="00361072"/>
    <w:rsid w:val="0036109C"/>
    <w:rsid w:val="0036110D"/>
    <w:rsid w:val="003611EB"/>
    <w:rsid w:val="00361207"/>
    <w:rsid w:val="003612BE"/>
    <w:rsid w:val="003612DD"/>
    <w:rsid w:val="003612E9"/>
    <w:rsid w:val="00361322"/>
    <w:rsid w:val="00361397"/>
    <w:rsid w:val="0036152E"/>
    <w:rsid w:val="00361568"/>
    <w:rsid w:val="00361598"/>
    <w:rsid w:val="003616C9"/>
    <w:rsid w:val="003616FB"/>
    <w:rsid w:val="00361915"/>
    <w:rsid w:val="003619DC"/>
    <w:rsid w:val="00361A1B"/>
    <w:rsid w:val="00361A25"/>
    <w:rsid w:val="00361B06"/>
    <w:rsid w:val="00361B96"/>
    <w:rsid w:val="00361BDE"/>
    <w:rsid w:val="00361C9D"/>
    <w:rsid w:val="00361CDB"/>
    <w:rsid w:val="00361D14"/>
    <w:rsid w:val="00361D87"/>
    <w:rsid w:val="00361DE3"/>
    <w:rsid w:val="00361DF4"/>
    <w:rsid w:val="00361E3B"/>
    <w:rsid w:val="00361E4F"/>
    <w:rsid w:val="00361E65"/>
    <w:rsid w:val="00361EBB"/>
    <w:rsid w:val="00361ECE"/>
    <w:rsid w:val="00361F64"/>
    <w:rsid w:val="00361FD9"/>
    <w:rsid w:val="00362045"/>
    <w:rsid w:val="00362068"/>
    <w:rsid w:val="00362160"/>
    <w:rsid w:val="00362189"/>
    <w:rsid w:val="00362361"/>
    <w:rsid w:val="003623A5"/>
    <w:rsid w:val="0036251B"/>
    <w:rsid w:val="00362544"/>
    <w:rsid w:val="0036257F"/>
    <w:rsid w:val="0036266E"/>
    <w:rsid w:val="003628EA"/>
    <w:rsid w:val="003629DC"/>
    <w:rsid w:val="00362A63"/>
    <w:rsid w:val="00362A93"/>
    <w:rsid w:val="00362ABC"/>
    <w:rsid w:val="00362C68"/>
    <w:rsid w:val="00362CC9"/>
    <w:rsid w:val="00362D34"/>
    <w:rsid w:val="00362DAF"/>
    <w:rsid w:val="00362EE7"/>
    <w:rsid w:val="00362F82"/>
    <w:rsid w:val="00362FF3"/>
    <w:rsid w:val="00363016"/>
    <w:rsid w:val="003630C6"/>
    <w:rsid w:val="003630FF"/>
    <w:rsid w:val="0036322B"/>
    <w:rsid w:val="0036326A"/>
    <w:rsid w:val="003632AE"/>
    <w:rsid w:val="00363393"/>
    <w:rsid w:val="003633C0"/>
    <w:rsid w:val="00363597"/>
    <w:rsid w:val="003635ED"/>
    <w:rsid w:val="00363693"/>
    <w:rsid w:val="00363803"/>
    <w:rsid w:val="00363A2B"/>
    <w:rsid w:val="00363B07"/>
    <w:rsid w:val="00363B10"/>
    <w:rsid w:val="00363B53"/>
    <w:rsid w:val="00363BC7"/>
    <w:rsid w:val="00363C2D"/>
    <w:rsid w:val="00363DD7"/>
    <w:rsid w:val="00363EB3"/>
    <w:rsid w:val="00363EC4"/>
    <w:rsid w:val="00363EED"/>
    <w:rsid w:val="003640EC"/>
    <w:rsid w:val="003640F8"/>
    <w:rsid w:val="00364132"/>
    <w:rsid w:val="00364175"/>
    <w:rsid w:val="003641DE"/>
    <w:rsid w:val="003642B9"/>
    <w:rsid w:val="00364392"/>
    <w:rsid w:val="00364464"/>
    <w:rsid w:val="0036447C"/>
    <w:rsid w:val="003645B4"/>
    <w:rsid w:val="003646D5"/>
    <w:rsid w:val="0036478A"/>
    <w:rsid w:val="003647A6"/>
    <w:rsid w:val="00364817"/>
    <w:rsid w:val="00364821"/>
    <w:rsid w:val="00364837"/>
    <w:rsid w:val="003649F0"/>
    <w:rsid w:val="00364D1A"/>
    <w:rsid w:val="00364E64"/>
    <w:rsid w:val="00364E88"/>
    <w:rsid w:val="00364F5E"/>
    <w:rsid w:val="00364F98"/>
    <w:rsid w:val="00365051"/>
    <w:rsid w:val="0036505B"/>
    <w:rsid w:val="00365071"/>
    <w:rsid w:val="00365107"/>
    <w:rsid w:val="0036518B"/>
    <w:rsid w:val="003651D9"/>
    <w:rsid w:val="003651E2"/>
    <w:rsid w:val="00365214"/>
    <w:rsid w:val="003652A7"/>
    <w:rsid w:val="003652D0"/>
    <w:rsid w:val="003652F2"/>
    <w:rsid w:val="00365376"/>
    <w:rsid w:val="003653A0"/>
    <w:rsid w:val="00365468"/>
    <w:rsid w:val="0036548E"/>
    <w:rsid w:val="0036569E"/>
    <w:rsid w:val="003657D6"/>
    <w:rsid w:val="003657FB"/>
    <w:rsid w:val="003658D0"/>
    <w:rsid w:val="00365A23"/>
    <w:rsid w:val="00365A6B"/>
    <w:rsid w:val="00365AE1"/>
    <w:rsid w:val="00365B6A"/>
    <w:rsid w:val="00365D5D"/>
    <w:rsid w:val="00365DF7"/>
    <w:rsid w:val="00365F89"/>
    <w:rsid w:val="00365F92"/>
    <w:rsid w:val="00366007"/>
    <w:rsid w:val="00366009"/>
    <w:rsid w:val="0036603C"/>
    <w:rsid w:val="00366052"/>
    <w:rsid w:val="00366129"/>
    <w:rsid w:val="003661B6"/>
    <w:rsid w:val="0036628A"/>
    <w:rsid w:val="00366292"/>
    <w:rsid w:val="00366293"/>
    <w:rsid w:val="003662AA"/>
    <w:rsid w:val="003662CD"/>
    <w:rsid w:val="00366352"/>
    <w:rsid w:val="00366598"/>
    <w:rsid w:val="003665B5"/>
    <w:rsid w:val="003665F8"/>
    <w:rsid w:val="00366725"/>
    <w:rsid w:val="003667E1"/>
    <w:rsid w:val="003668B6"/>
    <w:rsid w:val="003668CC"/>
    <w:rsid w:val="0036693B"/>
    <w:rsid w:val="00366A64"/>
    <w:rsid w:val="00366B23"/>
    <w:rsid w:val="00366BD1"/>
    <w:rsid w:val="00366BDC"/>
    <w:rsid w:val="00366CA6"/>
    <w:rsid w:val="00366D9C"/>
    <w:rsid w:val="00366E73"/>
    <w:rsid w:val="00366F4F"/>
    <w:rsid w:val="00366F95"/>
    <w:rsid w:val="00366FD2"/>
    <w:rsid w:val="00367045"/>
    <w:rsid w:val="00367118"/>
    <w:rsid w:val="0036714E"/>
    <w:rsid w:val="003671A0"/>
    <w:rsid w:val="00367219"/>
    <w:rsid w:val="00367237"/>
    <w:rsid w:val="00367292"/>
    <w:rsid w:val="003672CF"/>
    <w:rsid w:val="003672D4"/>
    <w:rsid w:val="003672FD"/>
    <w:rsid w:val="0036730C"/>
    <w:rsid w:val="00367463"/>
    <w:rsid w:val="003674EE"/>
    <w:rsid w:val="003674FD"/>
    <w:rsid w:val="00367531"/>
    <w:rsid w:val="0036756B"/>
    <w:rsid w:val="0036757B"/>
    <w:rsid w:val="003675AC"/>
    <w:rsid w:val="003676C1"/>
    <w:rsid w:val="0036771E"/>
    <w:rsid w:val="00367840"/>
    <w:rsid w:val="003678CC"/>
    <w:rsid w:val="003678FC"/>
    <w:rsid w:val="003678FE"/>
    <w:rsid w:val="00367A52"/>
    <w:rsid w:val="00367B2D"/>
    <w:rsid w:val="00367B9E"/>
    <w:rsid w:val="00367BE9"/>
    <w:rsid w:val="00367BFE"/>
    <w:rsid w:val="00367C77"/>
    <w:rsid w:val="00367CAF"/>
    <w:rsid w:val="00367CC3"/>
    <w:rsid w:val="00367DA2"/>
    <w:rsid w:val="00367DD7"/>
    <w:rsid w:val="00367E99"/>
    <w:rsid w:val="00367F16"/>
    <w:rsid w:val="00367F76"/>
    <w:rsid w:val="0036E2DC"/>
    <w:rsid w:val="003700DE"/>
    <w:rsid w:val="003701D3"/>
    <w:rsid w:val="00370420"/>
    <w:rsid w:val="00370468"/>
    <w:rsid w:val="003704F4"/>
    <w:rsid w:val="003705C8"/>
    <w:rsid w:val="0037062F"/>
    <w:rsid w:val="00370650"/>
    <w:rsid w:val="0037065B"/>
    <w:rsid w:val="00370673"/>
    <w:rsid w:val="003706CB"/>
    <w:rsid w:val="003706DC"/>
    <w:rsid w:val="00370721"/>
    <w:rsid w:val="0037074D"/>
    <w:rsid w:val="00370764"/>
    <w:rsid w:val="003707D0"/>
    <w:rsid w:val="003707F9"/>
    <w:rsid w:val="00370822"/>
    <w:rsid w:val="003708AB"/>
    <w:rsid w:val="003708AF"/>
    <w:rsid w:val="003708BD"/>
    <w:rsid w:val="003708F3"/>
    <w:rsid w:val="00370B28"/>
    <w:rsid w:val="00370CB0"/>
    <w:rsid w:val="00370D08"/>
    <w:rsid w:val="00370D79"/>
    <w:rsid w:val="00370D81"/>
    <w:rsid w:val="00370D86"/>
    <w:rsid w:val="00370E66"/>
    <w:rsid w:val="00370EA3"/>
    <w:rsid w:val="00370EDC"/>
    <w:rsid w:val="00370F8B"/>
    <w:rsid w:val="00371084"/>
    <w:rsid w:val="00371087"/>
    <w:rsid w:val="003710E8"/>
    <w:rsid w:val="00371195"/>
    <w:rsid w:val="00371234"/>
    <w:rsid w:val="0037134C"/>
    <w:rsid w:val="003714BA"/>
    <w:rsid w:val="003714E9"/>
    <w:rsid w:val="0037155A"/>
    <w:rsid w:val="003715FB"/>
    <w:rsid w:val="00371679"/>
    <w:rsid w:val="00371763"/>
    <w:rsid w:val="00371807"/>
    <w:rsid w:val="00371832"/>
    <w:rsid w:val="003719B4"/>
    <w:rsid w:val="003719D3"/>
    <w:rsid w:val="003719FB"/>
    <w:rsid w:val="00371B41"/>
    <w:rsid w:val="00371B48"/>
    <w:rsid w:val="00371B8A"/>
    <w:rsid w:val="00371BFC"/>
    <w:rsid w:val="00371DEF"/>
    <w:rsid w:val="00371DF5"/>
    <w:rsid w:val="00371F69"/>
    <w:rsid w:val="00371F91"/>
    <w:rsid w:val="00372012"/>
    <w:rsid w:val="00372072"/>
    <w:rsid w:val="0037209C"/>
    <w:rsid w:val="00372125"/>
    <w:rsid w:val="00372196"/>
    <w:rsid w:val="0037220B"/>
    <w:rsid w:val="0037221F"/>
    <w:rsid w:val="00372260"/>
    <w:rsid w:val="00372274"/>
    <w:rsid w:val="0037228E"/>
    <w:rsid w:val="00372380"/>
    <w:rsid w:val="003724DD"/>
    <w:rsid w:val="00372500"/>
    <w:rsid w:val="00372508"/>
    <w:rsid w:val="0037254F"/>
    <w:rsid w:val="0037259E"/>
    <w:rsid w:val="00372660"/>
    <w:rsid w:val="00372699"/>
    <w:rsid w:val="003727DC"/>
    <w:rsid w:val="003727EE"/>
    <w:rsid w:val="003728AE"/>
    <w:rsid w:val="003728E4"/>
    <w:rsid w:val="00372A53"/>
    <w:rsid w:val="00372A67"/>
    <w:rsid w:val="00372C7E"/>
    <w:rsid w:val="00372E02"/>
    <w:rsid w:val="00372F0C"/>
    <w:rsid w:val="00372F19"/>
    <w:rsid w:val="00372F5E"/>
    <w:rsid w:val="003730A7"/>
    <w:rsid w:val="0037329F"/>
    <w:rsid w:val="003732F3"/>
    <w:rsid w:val="003733B8"/>
    <w:rsid w:val="003733C4"/>
    <w:rsid w:val="00373585"/>
    <w:rsid w:val="0037366B"/>
    <w:rsid w:val="0037379F"/>
    <w:rsid w:val="003737BD"/>
    <w:rsid w:val="003737ED"/>
    <w:rsid w:val="0037380B"/>
    <w:rsid w:val="00373830"/>
    <w:rsid w:val="00373837"/>
    <w:rsid w:val="00373887"/>
    <w:rsid w:val="00373919"/>
    <w:rsid w:val="00373930"/>
    <w:rsid w:val="00373947"/>
    <w:rsid w:val="003739F0"/>
    <w:rsid w:val="00373B37"/>
    <w:rsid w:val="00373B3D"/>
    <w:rsid w:val="00373B61"/>
    <w:rsid w:val="00373B6F"/>
    <w:rsid w:val="00373C8E"/>
    <w:rsid w:val="00373D0B"/>
    <w:rsid w:val="00373D51"/>
    <w:rsid w:val="00373D62"/>
    <w:rsid w:val="00373DC5"/>
    <w:rsid w:val="00373DFE"/>
    <w:rsid w:val="00373E3C"/>
    <w:rsid w:val="00373E60"/>
    <w:rsid w:val="00373FCF"/>
    <w:rsid w:val="00373FF4"/>
    <w:rsid w:val="00374023"/>
    <w:rsid w:val="00374198"/>
    <w:rsid w:val="00374209"/>
    <w:rsid w:val="0037421F"/>
    <w:rsid w:val="00374279"/>
    <w:rsid w:val="0037433D"/>
    <w:rsid w:val="00374387"/>
    <w:rsid w:val="0037441B"/>
    <w:rsid w:val="00374468"/>
    <w:rsid w:val="003744CA"/>
    <w:rsid w:val="00374536"/>
    <w:rsid w:val="00374665"/>
    <w:rsid w:val="00374673"/>
    <w:rsid w:val="00374688"/>
    <w:rsid w:val="00374828"/>
    <w:rsid w:val="00374980"/>
    <w:rsid w:val="00374B11"/>
    <w:rsid w:val="00374B9D"/>
    <w:rsid w:val="00374C18"/>
    <w:rsid w:val="00374DD1"/>
    <w:rsid w:val="00374DFC"/>
    <w:rsid w:val="00374EA8"/>
    <w:rsid w:val="00374FB4"/>
    <w:rsid w:val="00375029"/>
    <w:rsid w:val="003750A3"/>
    <w:rsid w:val="003751E9"/>
    <w:rsid w:val="00375283"/>
    <w:rsid w:val="00375383"/>
    <w:rsid w:val="00375423"/>
    <w:rsid w:val="003754EB"/>
    <w:rsid w:val="003754EE"/>
    <w:rsid w:val="00375506"/>
    <w:rsid w:val="0037551A"/>
    <w:rsid w:val="00375655"/>
    <w:rsid w:val="00375689"/>
    <w:rsid w:val="003756AD"/>
    <w:rsid w:val="0037570D"/>
    <w:rsid w:val="00375886"/>
    <w:rsid w:val="00375AAA"/>
    <w:rsid w:val="00375BB3"/>
    <w:rsid w:val="00375C1C"/>
    <w:rsid w:val="00375CD3"/>
    <w:rsid w:val="00375D2C"/>
    <w:rsid w:val="00375D76"/>
    <w:rsid w:val="00375DEE"/>
    <w:rsid w:val="00375E72"/>
    <w:rsid w:val="00375E7F"/>
    <w:rsid w:val="00376064"/>
    <w:rsid w:val="0037612C"/>
    <w:rsid w:val="003761C0"/>
    <w:rsid w:val="00376267"/>
    <w:rsid w:val="003764CD"/>
    <w:rsid w:val="0037663B"/>
    <w:rsid w:val="003766EC"/>
    <w:rsid w:val="0037674D"/>
    <w:rsid w:val="00376794"/>
    <w:rsid w:val="003767EA"/>
    <w:rsid w:val="0037680D"/>
    <w:rsid w:val="0037684F"/>
    <w:rsid w:val="00376865"/>
    <w:rsid w:val="0037687C"/>
    <w:rsid w:val="003768BF"/>
    <w:rsid w:val="0037693A"/>
    <w:rsid w:val="00376A51"/>
    <w:rsid w:val="00376A6D"/>
    <w:rsid w:val="00376A74"/>
    <w:rsid w:val="00376A7B"/>
    <w:rsid w:val="00376BAE"/>
    <w:rsid w:val="00376CCC"/>
    <w:rsid w:val="00376D13"/>
    <w:rsid w:val="00376DA1"/>
    <w:rsid w:val="00376E72"/>
    <w:rsid w:val="00376F41"/>
    <w:rsid w:val="003770A8"/>
    <w:rsid w:val="003770C7"/>
    <w:rsid w:val="003770CB"/>
    <w:rsid w:val="00377158"/>
    <w:rsid w:val="003771A0"/>
    <w:rsid w:val="00377472"/>
    <w:rsid w:val="00377492"/>
    <w:rsid w:val="003774D8"/>
    <w:rsid w:val="00377663"/>
    <w:rsid w:val="003777FE"/>
    <w:rsid w:val="0037789C"/>
    <w:rsid w:val="003779AC"/>
    <w:rsid w:val="003779BF"/>
    <w:rsid w:val="00377AD2"/>
    <w:rsid w:val="00377AD7"/>
    <w:rsid w:val="00377AE1"/>
    <w:rsid w:val="00377B09"/>
    <w:rsid w:val="00377BD2"/>
    <w:rsid w:val="00377CF0"/>
    <w:rsid w:val="00377D1A"/>
    <w:rsid w:val="00377D59"/>
    <w:rsid w:val="00377DC9"/>
    <w:rsid w:val="00377DCC"/>
    <w:rsid w:val="00377EC2"/>
    <w:rsid w:val="00377EF7"/>
    <w:rsid w:val="00377FB3"/>
    <w:rsid w:val="003802D9"/>
    <w:rsid w:val="00380305"/>
    <w:rsid w:val="00380326"/>
    <w:rsid w:val="00380471"/>
    <w:rsid w:val="003804B1"/>
    <w:rsid w:val="003805DE"/>
    <w:rsid w:val="0038065F"/>
    <w:rsid w:val="00380688"/>
    <w:rsid w:val="003806A1"/>
    <w:rsid w:val="003806BD"/>
    <w:rsid w:val="00380734"/>
    <w:rsid w:val="0038077D"/>
    <w:rsid w:val="00380817"/>
    <w:rsid w:val="003808E7"/>
    <w:rsid w:val="003808F0"/>
    <w:rsid w:val="0038094E"/>
    <w:rsid w:val="0038095F"/>
    <w:rsid w:val="0038098E"/>
    <w:rsid w:val="003809DE"/>
    <w:rsid w:val="003809FF"/>
    <w:rsid w:val="00380A2A"/>
    <w:rsid w:val="00380AE5"/>
    <w:rsid w:val="00380C3A"/>
    <w:rsid w:val="00380C89"/>
    <w:rsid w:val="00380C9A"/>
    <w:rsid w:val="00380D5B"/>
    <w:rsid w:val="00380D8B"/>
    <w:rsid w:val="00380E41"/>
    <w:rsid w:val="00380EDA"/>
    <w:rsid w:val="00380F11"/>
    <w:rsid w:val="00380FDA"/>
    <w:rsid w:val="00380FED"/>
    <w:rsid w:val="0038101D"/>
    <w:rsid w:val="0038108F"/>
    <w:rsid w:val="003810CA"/>
    <w:rsid w:val="003810EF"/>
    <w:rsid w:val="00381115"/>
    <w:rsid w:val="00381192"/>
    <w:rsid w:val="003813C8"/>
    <w:rsid w:val="003813F8"/>
    <w:rsid w:val="003814E3"/>
    <w:rsid w:val="003816ED"/>
    <w:rsid w:val="003817EC"/>
    <w:rsid w:val="003818A9"/>
    <w:rsid w:val="00381953"/>
    <w:rsid w:val="00381958"/>
    <w:rsid w:val="00381980"/>
    <w:rsid w:val="003819A4"/>
    <w:rsid w:val="00381AE3"/>
    <w:rsid w:val="00381AE9"/>
    <w:rsid w:val="00381B52"/>
    <w:rsid w:val="00381C7B"/>
    <w:rsid w:val="00381D0A"/>
    <w:rsid w:val="00381D5D"/>
    <w:rsid w:val="00381DE7"/>
    <w:rsid w:val="00381E08"/>
    <w:rsid w:val="00381F0E"/>
    <w:rsid w:val="00381F18"/>
    <w:rsid w:val="00381F35"/>
    <w:rsid w:val="00381F66"/>
    <w:rsid w:val="00381F8D"/>
    <w:rsid w:val="0038201D"/>
    <w:rsid w:val="00382120"/>
    <w:rsid w:val="00382126"/>
    <w:rsid w:val="003821B4"/>
    <w:rsid w:val="003821CA"/>
    <w:rsid w:val="003823DA"/>
    <w:rsid w:val="00382486"/>
    <w:rsid w:val="003824AE"/>
    <w:rsid w:val="00382538"/>
    <w:rsid w:val="00382742"/>
    <w:rsid w:val="00382A3B"/>
    <w:rsid w:val="00382A43"/>
    <w:rsid w:val="00382AB6"/>
    <w:rsid w:val="00382B0D"/>
    <w:rsid w:val="00382D1E"/>
    <w:rsid w:val="00382D2E"/>
    <w:rsid w:val="00382D60"/>
    <w:rsid w:val="00382D7B"/>
    <w:rsid w:val="00382DB5"/>
    <w:rsid w:val="00382DBE"/>
    <w:rsid w:val="00382DCA"/>
    <w:rsid w:val="00382EAE"/>
    <w:rsid w:val="00382EF5"/>
    <w:rsid w:val="00382F6D"/>
    <w:rsid w:val="00382FFD"/>
    <w:rsid w:val="00383049"/>
    <w:rsid w:val="003830BB"/>
    <w:rsid w:val="00383183"/>
    <w:rsid w:val="00383211"/>
    <w:rsid w:val="003832AD"/>
    <w:rsid w:val="0038340F"/>
    <w:rsid w:val="0038348A"/>
    <w:rsid w:val="003834C6"/>
    <w:rsid w:val="00383613"/>
    <w:rsid w:val="00383686"/>
    <w:rsid w:val="0038378B"/>
    <w:rsid w:val="0038378D"/>
    <w:rsid w:val="00383881"/>
    <w:rsid w:val="0038388D"/>
    <w:rsid w:val="0038389C"/>
    <w:rsid w:val="003838DB"/>
    <w:rsid w:val="00383AD2"/>
    <w:rsid w:val="00383AF1"/>
    <w:rsid w:val="00383B00"/>
    <w:rsid w:val="00383C98"/>
    <w:rsid w:val="00383D28"/>
    <w:rsid w:val="00383DFA"/>
    <w:rsid w:val="00383ED4"/>
    <w:rsid w:val="00383F14"/>
    <w:rsid w:val="003840FE"/>
    <w:rsid w:val="00384323"/>
    <w:rsid w:val="00384332"/>
    <w:rsid w:val="003843DF"/>
    <w:rsid w:val="003845CF"/>
    <w:rsid w:val="003846BC"/>
    <w:rsid w:val="003846E1"/>
    <w:rsid w:val="00384714"/>
    <w:rsid w:val="0038471D"/>
    <w:rsid w:val="00384803"/>
    <w:rsid w:val="0038486B"/>
    <w:rsid w:val="003848D8"/>
    <w:rsid w:val="003848F2"/>
    <w:rsid w:val="00384ACE"/>
    <w:rsid w:val="00384B77"/>
    <w:rsid w:val="00384BF7"/>
    <w:rsid w:val="00384DB9"/>
    <w:rsid w:val="00384E1B"/>
    <w:rsid w:val="00384E1C"/>
    <w:rsid w:val="00384E3E"/>
    <w:rsid w:val="00384F0F"/>
    <w:rsid w:val="0038507A"/>
    <w:rsid w:val="0038509C"/>
    <w:rsid w:val="0038513A"/>
    <w:rsid w:val="003851C4"/>
    <w:rsid w:val="003852E0"/>
    <w:rsid w:val="003852E6"/>
    <w:rsid w:val="00385323"/>
    <w:rsid w:val="003853AC"/>
    <w:rsid w:val="003853F3"/>
    <w:rsid w:val="00385478"/>
    <w:rsid w:val="00385490"/>
    <w:rsid w:val="00385498"/>
    <w:rsid w:val="00385576"/>
    <w:rsid w:val="003855FB"/>
    <w:rsid w:val="00385623"/>
    <w:rsid w:val="0038575D"/>
    <w:rsid w:val="003857BF"/>
    <w:rsid w:val="003857E5"/>
    <w:rsid w:val="003858A6"/>
    <w:rsid w:val="003858FA"/>
    <w:rsid w:val="00385A06"/>
    <w:rsid w:val="00385A16"/>
    <w:rsid w:val="00385A1E"/>
    <w:rsid w:val="00385AAE"/>
    <w:rsid w:val="00385AB4"/>
    <w:rsid w:val="00385AC6"/>
    <w:rsid w:val="00385AE8"/>
    <w:rsid w:val="00385B8B"/>
    <w:rsid w:val="00385DE0"/>
    <w:rsid w:val="00385F34"/>
    <w:rsid w:val="00385FDA"/>
    <w:rsid w:val="00385FE3"/>
    <w:rsid w:val="00386000"/>
    <w:rsid w:val="00386047"/>
    <w:rsid w:val="003860C2"/>
    <w:rsid w:val="0038617F"/>
    <w:rsid w:val="003861C5"/>
    <w:rsid w:val="0038622D"/>
    <w:rsid w:val="00386297"/>
    <w:rsid w:val="003862B5"/>
    <w:rsid w:val="003863C1"/>
    <w:rsid w:val="00386490"/>
    <w:rsid w:val="003864B7"/>
    <w:rsid w:val="00386619"/>
    <w:rsid w:val="0038662E"/>
    <w:rsid w:val="00386641"/>
    <w:rsid w:val="00386690"/>
    <w:rsid w:val="003866AD"/>
    <w:rsid w:val="00386735"/>
    <w:rsid w:val="0038674A"/>
    <w:rsid w:val="00386763"/>
    <w:rsid w:val="0038677F"/>
    <w:rsid w:val="003867CC"/>
    <w:rsid w:val="003867DF"/>
    <w:rsid w:val="003867F2"/>
    <w:rsid w:val="00386850"/>
    <w:rsid w:val="00386858"/>
    <w:rsid w:val="0038686C"/>
    <w:rsid w:val="00386895"/>
    <w:rsid w:val="003868BD"/>
    <w:rsid w:val="003868D7"/>
    <w:rsid w:val="003869E6"/>
    <w:rsid w:val="003869F4"/>
    <w:rsid w:val="00386AAA"/>
    <w:rsid w:val="00386B81"/>
    <w:rsid w:val="00386BE0"/>
    <w:rsid w:val="00386C50"/>
    <w:rsid w:val="00386D2A"/>
    <w:rsid w:val="00386DC9"/>
    <w:rsid w:val="00386E06"/>
    <w:rsid w:val="00386E07"/>
    <w:rsid w:val="00386E0A"/>
    <w:rsid w:val="00386E22"/>
    <w:rsid w:val="00386F79"/>
    <w:rsid w:val="00386FD8"/>
    <w:rsid w:val="0038704D"/>
    <w:rsid w:val="003870A2"/>
    <w:rsid w:val="003870CC"/>
    <w:rsid w:val="003870FD"/>
    <w:rsid w:val="00387180"/>
    <w:rsid w:val="00387182"/>
    <w:rsid w:val="003871C0"/>
    <w:rsid w:val="003872B3"/>
    <w:rsid w:val="0038740E"/>
    <w:rsid w:val="00387596"/>
    <w:rsid w:val="0038772F"/>
    <w:rsid w:val="0038778F"/>
    <w:rsid w:val="00387877"/>
    <w:rsid w:val="003878E1"/>
    <w:rsid w:val="003878F6"/>
    <w:rsid w:val="00387A4C"/>
    <w:rsid w:val="00387C85"/>
    <w:rsid w:val="00387D08"/>
    <w:rsid w:val="00387D0F"/>
    <w:rsid w:val="00387D60"/>
    <w:rsid w:val="00387D61"/>
    <w:rsid w:val="00387D91"/>
    <w:rsid w:val="00387D9B"/>
    <w:rsid w:val="00387DF0"/>
    <w:rsid w:val="00387F03"/>
    <w:rsid w:val="00387F1A"/>
    <w:rsid w:val="00387F56"/>
    <w:rsid w:val="003900A4"/>
    <w:rsid w:val="003900D8"/>
    <w:rsid w:val="00390149"/>
    <w:rsid w:val="003901D5"/>
    <w:rsid w:val="00390252"/>
    <w:rsid w:val="00390360"/>
    <w:rsid w:val="003903AE"/>
    <w:rsid w:val="003903E3"/>
    <w:rsid w:val="0039041F"/>
    <w:rsid w:val="003904AB"/>
    <w:rsid w:val="00390642"/>
    <w:rsid w:val="003906DF"/>
    <w:rsid w:val="0039073A"/>
    <w:rsid w:val="003908B8"/>
    <w:rsid w:val="00390938"/>
    <w:rsid w:val="00390956"/>
    <w:rsid w:val="00390A07"/>
    <w:rsid w:val="00390A23"/>
    <w:rsid w:val="00390B15"/>
    <w:rsid w:val="00390B55"/>
    <w:rsid w:val="00390B7F"/>
    <w:rsid w:val="00390BDB"/>
    <w:rsid w:val="00390C0F"/>
    <w:rsid w:val="00390C24"/>
    <w:rsid w:val="00390CCF"/>
    <w:rsid w:val="00390D09"/>
    <w:rsid w:val="00390E00"/>
    <w:rsid w:val="00390E29"/>
    <w:rsid w:val="0039104A"/>
    <w:rsid w:val="003910ED"/>
    <w:rsid w:val="00391112"/>
    <w:rsid w:val="003911AF"/>
    <w:rsid w:val="00391245"/>
    <w:rsid w:val="003913E0"/>
    <w:rsid w:val="003913FD"/>
    <w:rsid w:val="003914B2"/>
    <w:rsid w:val="00391563"/>
    <w:rsid w:val="0039160B"/>
    <w:rsid w:val="0039170D"/>
    <w:rsid w:val="00391753"/>
    <w:rsid w:val="0039176E"/>
    <w:rsid w:val="00391776"/>
    <w:rsid w:val="00391777"/>
    <w:rsid w:val="0039180D"/>
    <w:rsid w:val="00391851"/>
    <w:rsid w:val="0039188E"/>
    <w:rsid w:val="00391906"/>
    <w:rsid w:val="003919AF"/>
    <w:rsid w:val="003919D9"/>
    <w:rsid w:val="003919E6"/>
    <w:rsid w:val="00391A04"/>
    <w:rsid w:val="00391A75"/>
    <w:rsid w:val="00391AAF"/>
    <w:rsid w:val="00391AC3"/>
    <w:rsid w:val="00391B78"/>
    <w:rsid w:val="00391C37"/>
    <w:rsid w:val="00391C3C"/>
    <w:rsid w:val="00391C46"/>
    <w:rsid w:val="00391CEC"/>
    <w:rsid w:val="00391D94"/>
    <w:rsid w:val="00391E6D"/>
    <w:rsid w:val="00391ED4"/>
    <w:rsid w:val="00391F42"/>
    <w:rsid w:val="0039202C"/>
    <w:rsid w:val="0039202F"/>
    <w:rsid w:val="00392055"/>
    <w:rsid w:val="0039217B"/>
    <w:rsid w:val="00392182"/>
    <w:rsid w:val="003921B4"/>
    <w:rsid w:val="003921F1"/>
    <w:rsid w:val="003921FA"/>
    <w:rsid w:val="00392200"/>
    <w:rsid w:val="00392237"/>
    <w:rsid w:val="00392349"/>
    <w:rsid w:val="0039235A"/>
    <w:rsid w:val="00392369"/>
    <w:rsid w:val="003923ED"/>
    <w:rsid w:val="00392504"/>
    <w:rsid w:val="00392523"/>
    <w:rsid w:val="003925BA"/>
    <w:rsid w:val="00392619"/>
    <w:rsid w:val="00392667"/>
    <w:rsid w:val="003926AC"/>
    <w:rsid w:val="00392736"/>
    <w:rsid w:val="003927D3"/>
    <w:rsid w:val="0039282F"/>
    <w:rsid w:val="003929C8"/>
    <w:rsid w:val="00392A1D"/>
    <w:rsid w:val="00392ADE"/>
    <w:rsid w:val="00392AF4"/>
    <w:rsid w:val="00392B06"/>
    <w:rsid w:val="00392BD2"/>
    <w:rsid w:val="00392BD8"/>
    <w:rsid w:val="00392C96"/>
    <w:rsid w:val="00392CA6"/>
    <w:rsid w:val="00392DC8"/>
    <w:rsid w:val="00392DCC"/>
    <w:rsid w:val="00392E27"/>
    <w:rsid w:val="00392E29"/>
    <w:rsid w:val="00392E96"/>
    <w:rsid w:val="00392F2F"/>
    <w:rsid w:val="00392F93"/>
    <w:rsid w:val="00392FEC"/>
    <w:rsid w:val="0039304A"/>
    <w:rsid w:val="00393087"/>
    <w:rsid w:val="003930E8"/>
    <w:rsid w:val="003931B9"/>
    <w:rsid w:val="00393208"/>
    <w:rsid w:val="0039325B"/>
    <w:rsid w:val="0039337A"/>
    <w:rsid w:val="003934E1"/>
    <w:rsid w:val="00393519"/>
    <w:rsid w:val="0039353F"/>
    <w:rsid w:val="00393694"/>
    <w:rsid w:val="003936E4"/>
    <w:rsid w:val="00393840"/>
    <w:rsid w:val="00393A00"/>
    <w:rsid w:val="00393B7C"/>
    <w:rsid w:val="00393CD6"/>
    <w:rsid w:val="00393D62"/>
    <w:rsid w:val="00393DF3"/>
    <w:rsid w:val="00393E39"/>
    <w:rsid w:val="00393F35"/>
    <w:rsid w:val="00393F5A"/>
    <w:rsid w:val="00394059"/>
    <w:rsid w:val="003940D3"/>
    <w:rsid w:val="003940E4"/>
    <w:rsid w:val="00394129"/>
    <w:rsid w:val="003941BB"/>
    <w:rsid w:val="003942EA"/>
    <w:rsid w:val="00394354"/>
    <w:rsid w:val="003944FF"/>
    <w:rsid w:val="00394576"/>
    <w:rsid w:val="00394603"/>
    <w:rsid w:val="0039465A"/>
    <w:rsid w:val="00394669"/>
    <w:rsid w:val="0039469A"/>
    <w:rsid w:val="0039470B"/>
    <w:rsid w:val="0039476A"/>
    <w:rsid w:val="00394806"/>
    <w:rsid w:val="00394970"/>
    <w:rsid w:val="003949A8"/>
    <w:rsid w:val="003949BC"/>
    <w:rsid w:val="003949DF"/>
    <w:rsid w:val="00394B58"/>
    <w:rsid w:val="00394C74"/>
    <w:rsid w:val="00394E6D"/>
    <w:rsid w:val="00394F05"/>
    <w:rsid w:val="00394F1B"/>
    <w:rsid w:val="00394FD7"/>
    <w:rsid w:val="00394FF7"/>
    <w:rsid w:val="00395027"/>
    <w:rsid w:val="00395063"/>
    <w:rsid w:val="003950F3"/>
    <w:rsid w:val="003951F1"/>
    <w:rsid w:val="00395242"/>
    <w:rsid w:val="0039533A"/>
    <w:rsid w:val="003953DB"/>
    <w:rsid w:val="00395484"/>
    <w:rsid w:val="00395588"/>
    <w:rsid w:val="003955D0"/>
    <w:rsid w:val="00395685"/>
    <w:rsid w:val="0039576D"/>
    <w:rsid w:val="0039578E"/>
    <w:rsid w:val="003957D4"/>
    <w:rsid w:val="0039584E"/>
    <w:rsid w:val="003958F7"/>
    <w:rsid w:val="00395A93"/>
    <w:rsid w:val="00395A9D"/>
    <w:rsid w:val="00395B9B"/>
    <w:rsid w:val="00395BF0"/>
    <w:rsid w:val="00395C3B"/>
    <w:rsid w:val="00395C7B"/>
    <w:rsid w:val="00395E0E"/>
    <w:rsid w:val="00395E92"/>
    <w:rsid w:val="00395EFF"/>
    <w:rsid w:val="00395F0C"/>
    <w:rsid w:val="00395F25"/>
    <w:rsid w:val="0039609A"/>
    <w:rsid w:val="003960B7"/>
    <w:rsid w:val="003961B6"/>
    <w:rsid w:val="003961EA"/>
    <w:rsid w:val="00396200"/>
    <w:rsid w:val="0039621F"/>
    <w:rsid w:val="0039645F"/>
    <w:rsid w:val="003964BF"/>
    <w:rsid w:val="003965E4"/>
    <w:rsid w:val="00396690"/>
    <w:rsid w:val="003966AE"/>
    <w:rsid w:val="003966CC"/>
    <w:rsid w:val="003966E7"/>
    <w:rsid w:val="00396760"/>
    <w:rsid w:val="00396820"/>
    <w:rsid w:val="0039689A"/>
    <w:rsid w:val="003969C1"/>
    <w:rsid w:val="003969DC"/>
    <w:rsid w:val="00396A10"/>
    <w:rsid w:val="00396A77"/>
    <w:rsid w:val="00396AEE"/>
    <w:rsid w:val="00396B71"/>
    <w:rsid w:val="00396BA4"/>
    <w:rsid w:val="00396BCA"/>
    <w:rsid w:val="00396D9A"/>
    <w:rsid w:val="00396DB2"/>
    <w:rsid w:val="00396DB5"/>
    <w:rsid w:val="00396DB8"/>
    <w:rsid w:val="00396E13"/>
    <w:rsid w:val="00396F01"/>
    <w:rsid w:val="00396F04"/>
    <w:rsid w:val="00396F28"/>
    <w:rsid w:val="00396F4C"/>
    <w:rsid w:val="00396FC2"/>
    <w:rsid w:val="00397043"/>
    <w:rsid w:val="0039709E"/>
    <w:rsid w:val="003971A4"/>
    <w:rsid w:val="003971A8"/>
    <w:rsid w:val="00397249"/>
    <w:rsid w:val="003973AD"/>
    <w:rsid w:val="003973E2"/>
    <w:rsid w:val="003975C0"/>
    <w:rsid w:val="0039761B"/>
    <w:rsid w:val="0039770F"/>
    <w:rsid w:val="00397765"/>
    <w:rsid w:val="00397797"/>
    <w:rsid w:val="003977F7"/>
    <w:rsid w:val="00397844"/>
    <w:rsid w:val="0039785F"/>
    <w:rsid w:val="003978BD"/>
    <w:rsid w:val="003979D6"/>
    <w:rsid w:val="00397B23"/>
    <w:rsid w:val="00397B3A"/>
    <w:rsid w:val="00397B7A"/>
    <w:rsid w:val="00397B7E"/>
    <w:rsid w:val="00397BB0"/>
    <w:rsid w:val="00397BB5"/>
    <w:rsid w:val="00397C6C"/>
    <w:rsid w:val="00397D69"/>
    <w:rsid w:val="00397E10"/>
    <w:rsid w:val="00397F44"/>
    <w:rsid w:val="00397F59"/>
    <w:rsid w:val="003A004F"/>
    <w:rsid w:val="003A0089"/>
    <w:rsid w:val="003A00E3"/>
    <w:rsid w:val="003A0114"/>
    <w:rsid w:val="003A0141"/>
    <w:rsid w:val="003A014C"/>
    <w:rsid w:val="003A018E"/>
    <w:rsid w:val="003A0192"/>
    <w:rsid w:val="003A01AD"/>
    <w:rsid w:val="003A01C4"/>
    <w:rsid w:val="003A026D"/>
    <w:rsid w:val="003A0272"/>
    <w:rsid w:val="003A0292"/>
    <w:rsid w:val="003A03E7"/>
    <w:rsid w:val="003A057E"/>
    <w:rsid w:val="003A0743"/>
    <w:rsid w:val="003A0750"/>
    <w:rsid w:val="003A07C9"/>
    <w:rsid w:val="003A07D8"/>
    <w:rsid w:val="003A085A"/>
    <w:rsid w:val="003A09EA"/>
    <w:rsid w:val="003A0A32"/>
    <w:rsid w:val="003A0A81"/>
    <w:rsid w:val="003A0A84"/>
    <w:rsid w:val="003A0A95"/>
    <w:rsid w:val="003A0AAD"/>
    <w:rsid w:val="003A0B24"/>
    <w:rsid w:val="003A0BC1"/>
    <w:rsid w:val="003A0C48"/>
    <w:rsid w:val="003A0C8A"/>
    <w:rsid w:val="003A0D7A"/>
    <w:rsid w:val="003A0E58"/>
    <w:rsid w:val="003A0F28"/>
    <w:rsid w:val="003A0F35"/>
    <w:rsid w:val="003A0F6A"/>
    <w:rsid w:val="003A10A8"/>
    <w:rsid w:val="003A10BB"/>
    <w:rsid w:val="003A1132"/>
    <w:rsid w:val="003A115B"/>
    <w:rsid w:val="003A1230"/>
    <w:rsid w:val="003A128F"/>
    <w:rsid w:val="003A12CE"/>
    <w:rsid w:val="003A1306"/>
    <w:rsid w:val="003A1336"/>
    <w:rsid w:val="003A13E8"/>
    <w:rsid w:val="003A14C8"/>
    <w:rsid w:val="003A14C9"/>
    <w:rsid w:val="003A1510"/>
    <w:rsid w:val="003A1572"/>
    <w:rsid w:val="003A1622"/>
    <w:rsid w:val="003A16F4"/>
    <w:rsid w:val="003A171D"/>
    <w:rsid w:val="003A177B"/>
    <w:rsid w:val="003A19B8"/>
    <w:rsid w:val="003A19BC"/>
    <w:rsid w:val="003A1C3B"/>
    <w:rsid w:val="003A1C57"/>
    <w:rsid w:val="003A1CDA"/>
    <w:rsid w:val="003A1CEC"/>
    <w:rsid w:val="003A1E1D"/>
    <w:rsid w:val="003A1ED5"/>
    <w:rsid w:val="003A1F12"/>
    <w:rsid w:val="003A1FB6"/>
    <w:rsid w:val="003A1FF1"/>
    <w:rsid w:val="003A20D5"/>
    <w:rsid w:val="003A2106"/>
    <w:rsid w:val="003A215C"/>
    <w:rsid w:val="003A21C1"/>
    <w:rsid w:val="003A22E8"/>
    <w:rsid w:val="003A2365"/>
    <w:rsid w:val="003A2368"/>
    <w:rsid w:val="003A23AD"/>
    <w:rsid w:val="003A23D9"/>
    <w:rsid w:val="003A240A"/>
    <w:rsid w:val="003A24C5"/>
    <w:rsid w:val="003A259D"/>
    <w:rsid w:val="003A26B8"/>
    <w:rsid w:val="003A2736"/>
    <w:rsid w:val="003A2880"/>
    <w:rsid w:val="003A2896"/>
    <w:rsid w:val="003A28AD"/>
    <w:rsid w:val="003A28C8"/>
    <w:rsid w:val="003A2A2F"/>
    <w:rsid w:val="003A2A4F"/>
    <w:rsid w:val="003A2A78"/>
    <w:rsid w:val="003A2CCD"/>
    <w:rsid w:val="003A2D59"/>
    <w:rsid w:val="003A2E48"/>
    <w:rsid w:val="003A2E4B"/>
    <w:rsid w:val="003A2EA8"/>
    <w:rsid w:val="003A2F55"/>
    <w:rsid w:val="003A2F83"/>
    <w:rsid w:val="003A2FED"/>
    <w:rsid w:val="003A2FF0"/>
    <w:rsid w:val="003A30C8"/>
    <w:rsid w:val="003A313D"/>
    <w:rsid w:val="003A3186"/>
    <w:rsid w:val="003A3229"/>
    <w:rsid w:val="003A3381"/>
    <w:rsid w:val="003A3418"/>
    <w:rsid w:val="003A3460"/>
    <w:rsid w:val="003A34FF"/>
    <w:rsid w:val="003A3547"/>
    <w:rsid w:val="003A3549"/>
    <w:rsid w:val="003A3555"/>
    <w:rsid w:val="003A3574"/>
    <w:rsid w:val="003A35E2"/>
    <w:rsid w:val="003A37D6"/>
    <w:rsid w:val="003A393B"/>
    <w:rsid w:val="003A3A1F"/>
    <w:rsid w:val="003A3A3A"/>
    <w:rsid w:val="003A3A6D"/>
    <w:rsid w:val="003A3AAA"/>
    <w:rsid w:val="003A3B77"/>
    <w:rsid w:val="003A3BBE"/>
    <w:rsid w:val="003A3BF4"/>
    <w:rsid w:val="003A3C87"/>
    <w:rsid w:val="003A3D25"/>
    <w:rsid w:val="003A3E54"/>
    <w:rsid w:val="003A3ECF"/>
    <w:rsid w:val="003A3EF0"/>
    <w:rsid w:val="003A3F0A"/>
    <w:rsid w:val="003A3FFB"/>
    <w:rsid w:val="003A4023"/>
    <w:rsid w:val="003A4072"/>
    <w:rsid w:val="003A40E4"/>
    <w:rsid w:val="003A4108"/>
    <w:rsid w:val="003A41CC"/>
    <w:rsid w:val="003A4239"/>
    <w:rsid w:val="003A4273"/>
    <w:rsid w:val="003A42A3"/>
    <w:rsid w:val="003A4368"/>
    <w:rsid w:val="003A44C7"/>
    <w:rsid w:val="003A45AE"/>
    <w:rsid w:val="003A45FF"/>
    <w:rsid w:val="003A4609"/>
    <w:rsid w:val="003A4663"/>
    <w:rsid w:val="003A470E"/>
    <w:rsid w:val="003A477E"/>
    <w:rsid w:val="003A47AB"/>
    <w:rsid w:val="003A47E2"/>
    <w:rsid w:val="003A4839"/>
    <w:rsid w:val="003A48A3"/>
    <w:rsid w:val="003A4930"/>
    <w:rsid w:val="003A49EC"/>
    <w:rsid w:val="003A4A01"/>
    <w:rsid w:val="003A4A99"/>
    <w:rsid w:val="003A4C02"/>
    <w:rsid w:val="003A4C10"/>
    <w:rsid w:val="003A4CE8"/>
    <w:rsid w:val="003A4D6B"/>
    <w:rsid w:val="003A4DAE"/>
    <w:rsid w:val="003A4E1B"/>
    <w:rsid w:val="003A4E40"/>
    <w:rsid w:val="003A4E48"/>
    <w:rsid w:val="003A4E4D"/>
    <w:rsid w:val="003A4EA3"/>
    <w:rsid w:val="003A4ED9"/>
    <w:rsid w:val="003A4F36"/>
    <w:rsid w:val="003A4F6D"/>
    <w:rsid w:val="003A4F74"/>
    <w:rsid w:val="003A501C"/>
    <w:rsid w:val="003A507C"/>
    <w:rsid w:val="003A5172"/>
    <w:rsid w:val="003A51AD"/>
    <w:rsid w:val="003A5328"/>
    <w:rsid w:val="003A534E"/>
    <w:rsid w:val="003A5466"/>
    <w:rsid w:val="003A5488"/>
    <w:rsid w:val="003A54BD"/>
    <w:rsid w:val="003A55FF"/>
    <w:rsid w:val="003A570E"/>
    <w:rsid w:val="003A5785"/>
    <w:rsid w:val="003A5852"/>
    <w:rsid w:val="003A58B3"/>
    <w:rsid w:val="003A58ED"/>
    <w:rsid w:val="003A597D"/>
    <w:rsid w:val="003A598A"/>
    <w:rsid w:val="003A5A5E"/>
    <w:rsid w:val="003A5B36"/>
    <w:rsid w:val="003A5B5B"/>
    <w:rsid w:val="003A5B86"/>
    <w:rsid w:val="003A5BE6"/>
    <w:rsid w:val="003A5C9F"/>
    <w:rsid w:val="003A5D8C"/>
    <w:rsid w:val="003A5DBF"/>
    <w:rsid w:val="003A5E58"/>
    <w:rsid w:val="003A5EC4"/>
    <w:rsid w:val="003A5EF0"/>
    <w:rsid w:val="003A5F79"/>
    <w:rsid w:val="003A5F90"/>
    <w:rsid w:val="003A600E"/>
    <w:rsid w:val="003A6084"/>
    <w:rsid w:val="003A60CC"/>
    <w:rsid w:val="003A6168"/>
    <w:rsid w:val="003A636B"/>
    <w:rsid w:val="003A647F"/>
    <w:rsid w:val="003A64ED"/>
    <w:rsid w:val="003A6519"/>
    <w:rsid w:val="003A6577"/>
    <w:rsid w:val="003A6593"/>
    <w:rsid w:val="003A6671"/>
    <w:rsid w:val="003A6760"/>
    <w:rsid w:val="003A67AA"/>
    <w:rsid w:val="003A67FC"/>
    <w:rsid w:val="003A681F"/>
    <w:rsid w:val="003A6851"/>
    <w:rsid w:val="003A68BB"/>
    <w:rsid w:val="003A69DD"/>
    <w:rsid w:val="003A6A89"/>
    <w:rsid w:val="003A6B12"/>
    <w:rsid w:val="003A6C31"/>
    <w:rsid w:val="003A6C3D"/>
    <w:rsid w:val="003A6C7A"/>
    <w:rsid w:val="003A6CB8"/>
    <w:rsid w:val="003A6D28"/>
    <w:rsid w:val="003A6E98"/>
    <w:rsid w:val="003A6ED6"/>
    <w:rsid w:val="003A6F0E"/>
    <w:rsid w:val="003A6FC1"/>
    <w:rsid w:val="003A70EB"/>
    <w:rsid w:val="003A7138"/>
    <w:rsid w:val="003A716D"/>
    <w:rsid w:val="003A71D3"/>
    <w:rsid w:val="003A723C"/>
    <w:rsid w:val="003A7270"/>
    <w:rsid w:val="003A72CA"/>
    <w:rsid w:val="003A7404"/>
    <w:rsid w:val="003A7488"/>
    <w:rsid w:val="003A7505"/>
    <w:rsid w:val="003A750A"/>
    <w:rsid w:val="003A757D"/>
    <w:rsid w:val="003A765F"/>
    <w:rsid w:val="003A77FC"/>
    <w:rsid w:val="003A780E"/>
    <w:rsid w:val="003A7871"/>
    <w:rsid w:val="003A78D5"/>
    <w:rsid w:val="003A79B1"/>
    <w:rsid w:val="003A7B6A"/>
    <w:rsid w:val="003A7C0B"/>
    <w:rsid w:val="003A7C2E"/>
    <w:rsid w:val="003A7CFD"/>
    <w:rsid w:val="003A7D9D"/>
    <w:rsid w:val="003A7E0C"/>
    <w:rsid w:val="003A7E67"/>
    <w:rsid w:val="003A7E6B"/>
    <w:rsid w:val="003A7F2B"/>
    <w:rsid w:val="003B0036"/>
    <w:rsid w:val="003B0037"/>
    <w:rsid w:val="003B005B"/>
    <w:rsid w:val="003B00AB"/>
    <w:rsid w:val="003B0199"/>
    <w:rsid w:val="003B023F"/>
    <w:rsid w:val="003B024C"/>
    <w:rsid w:val="003B0370"/>
    <w:rsid w:val="003B0424"/>
    <w:rsid w:val="003B04E4"/>
    <w:rsid w:val="003B0620"/>
    <w:rsid w:val="003B0655"/>
    <w:rsid w:val="003B071A"/>
    <w:rsid w:val="003B07D9"/>
    <w:rsid w:val="003B0812"/>
    <w:rsid w:val="003B0899"/>
    <w:rsid w:val="003B092D"/>
    <w:rsid w:val="003B0957"/>
    <w:rsid w:val="003B095B"/>
    <w:rsid w:val="003B09BA"/>
    <w:rsid w:val="003B0A4E"/>
    <w:rsid w:val="003B0B28"/>
    <w:rsid w:val="003B0C48"/>
    <w:rsid w:val="003B0CCD"/>
    <w:rsid w:val="003B0E1D"/>
    <w:rsid w:val="003B0EB2"/>
    <w:rsid w:val="003B0EEC"/>
    <w:rsid w:val="003B0F6E"/>
    <w:rsid w:val="003B0F86"/>
    <w:rsid w:val="003B0F89"/>
    <w:rsid w:val="003B1008"/>
    <w:rsid w:val="003B1211"/>
    <w:rsid w:val="003B126B"/>
    <w:rsid w:val="003B126C"/>
    <w:rsid w:val="003B1273"/>
    <w:rsid w:val="003B1351"/>
    <w:rsid w:val="003B13BC"/>
    <w:rsid w:val="003B13D8"/>
    <w:rsid w:val="003B1425"/>
    <w:rsid w:val="003B1526"/>
    <w:rsid w:val="003B1577"/>
    <w:rsid w:val="003B16C5"/>
    <w:rsid w:val="003B1788"/>
    <w:rsid w:val="003B17C2"/>
    <w:rsid w:val="003B1868"/>
    <w:rsid w:val="003B1963"/>
    <w:rsid w:val="003B1A92"/>
    <w:rsid w:val="003B1ADF"/>
    <w:rsid w:val="003B1AED"/>
    <w:rsid w:val="003B1BA2"/>
    <w:rsid w:val="003B1C35"/>
    <w:rsid w:val="003B1D63"/>
    <w:rsid w:val="003B1E2C"/>
    <w:rsid w:val="003B1E5E"/>
    <w:rsid w:val="003B209F"/>
    <w:rsid w:val="003B21A5"/>
    <w:rsid w:val="003B21BA"/>
    <w:rsid w:val="003B21FF"/>
    <w:rsid w:val="003B24BE"/>
    <w:rsid w:val="003B265F"/>
    <w:rsid w:val="003B26A2"/>
    <w:rsid w:val="003B2781"/>
    <w:rsid w:val="003B27BE"/>
    <w:rsid w:val="003B27DB"/>
    <w:rsid w:val="003B27F1"/>
    <w:rsid w:val="003B2847"/>
    <w:rsid w:val="003B2863"/>
    <w:rsid w:val="003B29D7"/>
    <w:rsid w:val="003B2B21"/>
    <w:rsid w:val="003B2BEB"/>
    <w:rsid w:val="003B2CBB"/>
    <w:rsid w:val="003B2D26"/>
    <w:rsid w:val="003B2F0B"/>
    <w:rsid w:val="003B2FC3"/>
    <w:rsid w:val="003B3087"/>
    <w:rsid w:val="003B30B9"/>
    <w:rsid w:val="003B3130"/>
    <w:rsid w:val="003B31B9"/>
    <w:rsid w:val="003B31FF"/>
    <w:rsid w:val="003B3298"/>
    <w:rsid w:val="003B329E"/>
    <w:rsid w:val="003B32B9"/>
    <w:rsid w:val="003B3341"/>
    <w:rsid w:val="003B33D0"/>
    <w:rsid w:val="003B33EE"/>
    <w:rsid w:val="003B33F0"/>
    <w:rsid w:val="003B3413"/>
    <w:rsid w:val="003B361A"/>
    <w:rsid w:val="003B362E"/>
    <w:rsid w:val="003B3631"/>
    <w:rsid w:val="003B3700"/>
    <w:rsid w:val="003B3788"/>
    <w:rsid w:val="003B37C2"/>
    <w:rsid w:val="003B3803"/>
    <w:rsid w:val="003B3919"/>
    <w:rsid w:val="003B395A"/>
    <w:rsid w:val="003B3980"/>
    <w:rsid w:val="003B3A3A"/>
    <w:rsid w:val="003B3A60"/>
    <w:rsid w:val="003B3A9C"/>
    <w:rsid w:val="003B3B41"/>
    <w:rsid w:val="003B3D17"/>
    <w:rsid w:val="003B3EB6"/>
    <w:rsid w:val="003B3F0B"/>
    <w:rsid w:val="003B3F61"/>
    <w:rsid w:val="003B404E"/>
    <w:rsid w:val="003B40A2"/>
    <w:rsid w:val="003B40F0"/>
    <w:rsid w:val="003B41B1"/>
    <w:rsid w:val="003B41BE"/>
    <w:rsid w:val="003B4219"/>
    <w:rsid w:val="003B42C8"/>
    <w:rsid w:val="003B438B"/>
    <w:rsid w:val="003B43D9"/>
    <w:rsid w:val="003B43F3"/>
    <w:rsid w:val="003B4451"/>
    <w:rsid w:val="003B4467"/>
    <w:rsid w:val="003B448E"/>
    <w:rsid w:val="003B44B1"/>
    <w:rsid w:val="003B44BB"/>
    <w:rsid w:val="003B44FB"/>
    <w:rsid w:val="003B4514"/>
    <w:rsid w:val="003B451A"/>
    <w:rsid w:val="003B4615"/>
    <w:rsid w:val="003B466D"/>
    <w:rsid w:val="003B47A0"/>
    <w:rsid w:val="003B47C2"/>
    <w:rsid w:val="003B4813"/>
    <w:rsid w:val="003B481E"/>
    <w:rsid w:val="003B489A"/>
    <w:rsid w:val="003B494E"/>
    <w:rsid w:val="003B49E8"/>
    <w:rsid w:val="003B4B55"/>
    <w:rsid w:val="003B4B78"/>
    <w:rsid w:val="003B4C9F"/>
    <w:rsid w:val="003B4CFF"/>
    <w:rsid w:val="003B4D71"/>
    <w:rsid w:val="003B4DB6"/>
    <w:rsid w:val="003B4E3B"/>
    <w:rsid w:val="003B4F59"/>
    <w:rsid w:val="003B4FE7"/>
    <w:rsid w:val="003B4FEC"/>
    <w:rsid w:val="003B5049"/>
    <w:rsid w:val="003B5248"/>
    <w:rsid w:val="003B52BD"/>
    <w:rsid w:val="003B52D4"/>
    <w:rsid w:val="003B52EF"/>
    <w:rsid w:val="003B5409"/>
    <w:rsid w:val="003B5452"/>
    <w:rsid w:val="003B54B1"/>
    <w:rsid w:val="003B5500"/>
    <w:rsid w:val="003B5526"/>
    <w:rsid w:val="003B5548"/>
    <w:rsid w:val="003B55D4"/>
    <w:rsid w:val="003B55F4"/>
    <w:rsid w:val="003B561F"/>
    <w:rsid w:val="003B57CA"/>
    <w:rsid w:val="003B5872"/>
    <w:rsid w:val="003B591F"/>
    <w:rsid w:val="003B5933"/>
    <w:rsid w:val="003B5970"/>
    <w:rsid w:val="003B59B3"/>
    <w:rsid w:val="003B59ED"/>
    <w:rsid w:val="003B5A3A"/>
    <w:rsid w:val="003B5BB7"/>
    <w:rsid w:val="003B5C12"/>
    <w:rsid w:val="003B5C13"/>
    <w:rsid w:val="003B5C46"/>
    <w:rsid w:val="003B5C94"/>
    <w:rsid w:val="003B5CE0"/>
    <w:rsid w:val="003B5CEB"/>
    <w:rsid w:val="003B5DA4"/>
    <w:rsid w:val="003B5DAC"/>
    <w:rsid w:val="003B5E52"/>
    <w:rsid w:val="003B5E7A"/>
    <w:rsid w:val="003B60E7"/>
    <w:rsid w:val="003B6318"/>
    <w:rsid w:val="003B63F0"/>
    <w:rsid w:val="003B64BE"/>
    <w:rsid w:val="003B6533"/>
    <w:rsid w:val="003B65ED"/>
    <w:rsid w:val="003B667B"/>
    <w:rsid w:val="003B6723"/>
    <w:rsid w:val="003B6771"/>
    <w:rsid w:val="003B67BA"/>
    <w:rsid w:val="003B682C"/>
    <w:rsid w:val="003B6878"/>
    <w:rsid w:val="003B698D"/>
    <w:rsid w:val="003B6998"/>
    <w:rsid w:val="003B69BC"/>
    <w:rsid w:val="003B6A19"/>
    <w:rsid w:val="003B6B48"/>
    <w:rsid w:val="003B6B55"/>
    <w:rsid w:val="003B6BEA"/>
    <w:rsid w:val="003B6C98"/>
    <w:rsid w:val="003B6D4A"/>
    <w:rsid w:val="003B6D7C"/>
    <w:rsid w:val="003B6DE1"/>
    <w:rsid w:val="003B6E0A"/>
    <w:rsid w:val="003B6EA6"/>
    <w:rsid w:val="003B7175"/>
    <w:rsid w:val="003B719B"/>
    <w:rsid w:val="003B7239"/>
    <w:rsid w:val="003B7362"/>
    <w:rsid w:val="003B7396"/>
    <w:rsid w:val="003B73A7"/>
    <w:rsid w:val="003B73F2"/>
    <w:rsid w:val="003B7419"/>
    <w:rsid w:val="003B74B6"/>
    <w:rsid w:val="003B75F6"/>
    <w:rsid w:val="003B7610"/>
    <w:rsid w:val="003B7651"/>
    <w:rsid w:val="003B766F"/>
    <w:rsid w:val="003B7704"/>
    <w:rsid w:val="003B7728"/>
    <w:rsid w:val="003B7742"/>
    <w:rsid w:val="003B77D7"/>
    <w:rsid w:val="003B7870"/>
    <w:rsid w:val="003B7888"/>
    <w:rsid w:val="003B78B1"/>
    <w:rsid w:val="003B78D8"/>
    <w:rsid w:val="003B7AAD"/>
    <w:rsid w:val="003B7ADF"/>
    <w:rsid w:val="003B7B14"/>
    <w:rsid w:val="003B7B58"/>
    <w:rsid w:val="003B7BBC"/>
    <w:rsid w:val="003B7BF9"/>
    <w:rsid w:val="003B7C24"/>
    <w:rsid w:val="003B7D28"/>
    <w:rsid w:val="003B7E37"/>
    <w:rsid w:val="003B7E41"/>
    <w:rsid w:val="003B7F4D"/>
    <w:rsid w:val="003C0093"/>
    <w:rsid w:val="003C0111"/>
    <w:rsid w:val="003C0218"/>
    <w:rsid w:val="003C0270"/>
    <w:rsid w:val="003C0291"/>
    <w:rsid w:val="003C02D5"/>
    <w:rsid w:val="003C030F"/>
    <w:rsid w:val="003C03E8"/>
    <w:rsid w:val="003C04BD"/>
    <w:rsid w:val="003C04E2"/>
    <w:rsid w:val="003C0741"/>
    <w:rsid w:val="003C0789"/>
    <w:rsid w:val="003C0902"/>
    <w:rsid w:val="003C0A40"/>
    <w:rsid w:val="003C0A8A"/>
    <w:rsid w:val="003C0DA5"/>
    <w:rsid w:val="003C0ED6"/>
    <w:rsid w:val="003C0ED7"/>
    <w:rsid w:val="003C0FBF"/>
    <w:rsid w:val="003C103A"/>
    <w:rsid w:val="003C1139"/>
    <w:rsid w:val="003C1292"/>
    <w:rsid w:val="003C135B"/>
    <w:rsid w:val="003C146C"/>
    <w:rsid w:val="003C14E6"/>
    <w:rsid w:val="003C1505"/>
    <w:rsid w:val="003C1684"/>
    <w:rsid w:val="003C17FD"/>
    <w:rsid w:val="003C187D"/>
    <w:rsid w:val="003C19E7"/>
    <w:rsid w:val="003C1AB1"/>
    <w:rsid w:val="003C1B17"/>
    <w:rsid w:val="003C1B7E"/>
    <w:rsid w:val="003C1BA8"/>
    <w:rsid w:val="003C1CD0"/>
    <w:rsid w:val="003C1CEE"/>
    <w:rsid w:val="003C1D85"/>
    <w:rsid w:val="003C1F62"/>
    <w:rsid w:val="003C1F80"/>
    <w:rsid w:val="003C2088"/>
    <w:rsid w:val="003C210D"/>
    <w:rsid w:val="003C2119"/>
    <w:rsid w:val="003C2143"/>
    <w:rsid w:val="003C21AB"/>
    <w:rsid w:val="003C21CC"/>
    <w:rsid w:val="003C21FB"/>
    <w:rsid w:val="003C2201"/>
    <w:rsid w:val="003C2245"/>
    <w:rsid w:val="003C2488"/>
    <w:rsid w:val="003C24A9"/>
    <w:rsid w:val="003C24AF"/>
    <w:rsid w:val="003C24B4"/>
    <w:rsid w:val="003C25A3"/>
    <w:rsid w:val="003C25B1"/>
    <w:rsid w:val="003C25BE"/>
    <w:rsid w:val="003C2627"/>
    <w:rsid w:val="003C276E"/>
    <w:rsid w:val="003C290B"/>
    <w:rsid w:val="003C29A5"/>
    <w:rsid w:val="003C29CD"/>
    <w:rsid w:val="003C2BEF"/>
    <w:rsid w:val="003C2BFB"/>
    <w:rsid w:val="003C2C12"/>
    <w:rsid w:val="003C2C35"/>
    <w:rsid w:val="003C2C4C"/>
    <w:rsid w:val="003C2D9E"/>
    <w:rsid w:val="003C2DEB"/>
    <w:rsid w:val="003C2F3E"/>
    <w:rsid w:val="003C2F77"/>
    <w:rsid w:val="003C2F94"/>
    <w:rsid w:val="003C2FBF"/>
    <w:rsid w:val="003C2FD8"/>
    <w:rsid w:val="003C3005"/>
    <w:rsid w:val="003C3014"/>
    <w:rsid w:val="003C302C"/>
    <w:rsid w:val="003C30D8"/>
    <w:rsid w:val="003C3131"/>
    <w:rsid w:val="003C316A"/>
    <w:rsid w:val="003C31B9"/>
    <w:rsid w:val="003C31BD"/>
    <w:rsid w:val="003C32F7"/>
    <w:rsid w:val="003C33DB"/>
    <w:rsid w:val="003C33E7"/>
    <w:rsid w:val="003C3409"/>
    <w:rsid w:val="003C342A"/>
    <w:rsid w:val="003C3521"/>
    <w:rsid w:val="003C35AB"/>
    <w:rsid w:val="003C36DB"/>
    <w:rsid w:val="003C36E3"/>
    <w:rsid w:val="003C371A"/>
    <w:rsid w:val="003C37A6"/>
    <w:rsid w:val="003C37DF"/>
    <w:rsid w:val="003C3A98"/>
    <w:rsid w:val="003C3B79"/>
    <w:rsid w:val="003C3C41"/>
    <w:rsid w:val="003C3C60"/>
    <w:rsid w:val="003C3C70"/>
    <w:rsid w:val="003C3C93"/>
    <w:rsid w:val="003C3CA5"/>
    <w:rsid w:val="003C3CB3"/>
    <w:rsid w:val="003C3D85"/>
    <w:rsid w:val="003C3DE3"/>
    <w:rsid w:val="003C3E2D"/>
    <w:rsid w:val="003C3E87"/>
    <w:rsid w:val="003C3EBE"/>
    <w:rsid w:val="003C3ECE"/>
    <w:rsid w:val="003C3EEE"/>
    <w:rsid w:val="003C3F72"/>
    <w:rsid w:val="003C4035"/>
    <w:rsid w:val="003C4105"/>
    <w:rsid w:val="003C416F"/>
    <w:rsid w:val="003C418B"/>
    <w:rsid w:val="003C420D"/>
    <w:rsid w:val="003C423F"/>
    <w:rsid w:val="003C428A"/>
    <w:rsid w:val="003C4295"/>
    <w:rsid w:val="003C4376"/>
    <w:rsid w:val="003C4380"/>
    <w:rsid w:val="003C43C4"/>
    <w:rsid w:val="003C43E8"/>
    <w:rsid w:val="003C44D0"/>
    <w:rsid w:val="003C4575"/>
    <w:rsid w:val="003C4692"/>
    <w:rsid w:val="003C4694"/>
    <w:rsid w:val="003C46EF"/>
    <w:rsid w:val="003C4762"/>
    <w:rsid w:val="003C47FB"/>
    <w:rsid w:val="003C4800"/>
    <w:rsid w:val="003C4809"/>
    <w:rsid w:val="003C4819"/>
    <w:rsid w:val="003C48CA"/>
    <w:rsid w:val="003C4993"/>
    <w:rsid w:val="003C4A17"/>
    <w:rsid w:val="003C4A72"/>
    <w:rsid w:val="003C4B54"/>
    <w:rsid w:val="003C4BB0"/>
    <w:rsid w:val="003C4C36"/>
    <w:rsid w:val="003C4C50"/>
    <w:rsid w:val="003C4C83"/>
    <w:rsid w:val="003C4C85"/>
    <w:rsid w:val="003C4CD0"/>
    <w:rsid w:val="003C4CD5"/>
    <w:rsid w:val="003C4CEA"/>
    <w:rsid w:val="003C4D63"/>
    <w:rsid w:val="003C4DA0"/>
    <w:rsid w:val="003C4E36"/>
    <w:rsid w:val="003C4F3C"/>
    <w:rsid w:val="003C4FFC"/>
    <w:rsid w:val="003C510C"/>
    <w:rsid w:val="003C5148"/>
    <w:rsid w:val="003C5258"/>
    <w:rsid w:val="003C52EA"/>
    <w:rsid w:val="003C55F5"/>
    <w:rsid w:val="003C565C"/>
    <w:rsid w:val="003C5785"/>
    <w:rsid w:val="003C582B"/>
    <w:rsid w:val="003C585E"/>
    <w:rsid w:val="003C58E7"/>
    <w:rsid w:val="003C591D"/>
    <w:rsid w:val="003C59C6"/>
    <w:rsid w:val="003C59FE"/>
    <w:rsid w:val="003C5A1C"/>
    <w:rsid w:val="003C5A90"/>
    <w:rsid w:val="003C5ACD"/>
    <w:rsid w:val="003C5AD1"/>
    <w:rsid w:val="003C5AE4"/>
    <w:rsid w:val="003C5AF4"/>
    <w:rsid w:val="003C5BC9"/>
    <w:rsid w:val="003C5CBC"/>
    <w:rsid w:val="003C5CEB"/>
    <w:rsid w:val="003C5CEE"/>
    <w:rsid w:val="003C5DF4"/>
    <w:rsid w:val="003C5E28"/>
    <w:rsid w:val="003C5E36"/>
    <w:rsid w:val="003C5E53"/>
    <w:rsid w:val="003C6000"/>
    <w:rsid w:val="003C6011"/>
    <w:rsid w:val="003C60EE"/>
    <w:rsid w:val="003C611D"/>
    <w:rsid w:val="003C6140"/>
    <w:rsid w:val="003C61D9"/>
    <w:rsid w:val="003C6202"/>
    <w:rsid w:val="003C6218"/>
    <w:rsid w:val="003C6278"/>
    <w:rsid w:val="003C62C6"/>
    <w:rsid w:val="003C62ED"/>
    <w:rsid w:val="003C62F9"/>
    <w:rsid w:val="003C6336"/>
    <w:rsid w:val="003C6395"/>
    <w:rsid w:val="003C63CB"/>
    <w:rsid w:val="003C6410"/>
    <w:rsid w:val="003C649B"/>
    <w:rsid w:val="003C64D6"/>
    <w:rsid w:val="003C6533"/>
    <w:rsid w:val="003C65EE"/>
    <w:rsid w:val="003C6608"/>
    <w:rsid w:val="003C666D"/>
    <w:rsid w:val="003C66C9"/>
    <w:rsid w:val="003C67D9"/>
    <w:rsid w:val="003C67EA"/>
    <w:rsid w:val="003C67F9"/>
    <w:rsid w:val="003C68C3"/>
    <w:rsid w:val="003C68D0"/>
    <w:rsid w:val="003C6A10"/>
    <w:rsid w:val="003C6A6F"/>
    <w:rsid w:val="003C6C21"/>
    <w:rsid w:val="003C6CC5"/>
    <w:rsid w:val="003C6CD1"/>
    <w:rsid w:val="003C6CD3"/>
    <w:rsid w:val="003C6E3F"/>
    <w:rsid w:val="003C6E49"/>
    <w:rsid w:val="003C6E4C"/>
    <w:rsid w:val="003C6F6A"/>
    <w:rsid w:val="003C6FAE"/>
    <w:rsid w:val="003C70CF"/>
    <w:rsid w:val="003C716D"/>
    <w:rsid w:val="003C721D"/>
    <w:rsid w:val="003C722E"/>
    <w:rsid w:val="003C7245"/>
    <w:rsid w:val="003C7294"/>
    <w:rsid w:val="003C72EB"/>
    <w:rsid w:val="003C7346"/>
    <w:rsid w:val="003C7364"/>
    <w:rsid w:val="003C73AE"/>
    <w:rsid w:val="003C73F8"/>
    <w:rsid w:val="003C7433"/>
    <w:rsid w:val="003C756D"/>
    <w:rsid w:val="003C7597"/>
    <w:rsid w:val="003C7607"/>
    <w:rsid w:val="003C7649"/>
    <w:rsid w:val="003C7674"/>
    <w:rsid w:val="003C76CF"/>
    <w:rsid w:val="003C775A"/>
    <w:rsid w:val="003C77E2"/>
    <w:rsid w:val="003C7955"/>
    <w:rsid w:val="003C7964"/>
    <w:rsid w:val="003C7A2F"/>
    <w:rsid w:val="003C7A71"/>
    <w:rsid w:val="003C7ABD"/>
    <w:rsid w:val="003C7AF8"/>
    <w:rsid w:val="003C7BDA"/>
    <w:rsid w:val="003C7C63"/>
    <w:rsid w:val="003C7CCB"/>
    <w:rsid w:val="003C7CE3"/>
    <w:rsid w:val="003C7DA3"/>
    <w:rsid w:val="003C7E32"/>
    <w:rsid w:val="003C7E3A"/>
    <w:rsid w:val="003C7F2F"/>
    <w:rsid w:val="003D007C"/>
    <w:rsid w:val="003D00BA"/>
    <w:rsid w:val="003D0102"/>
    <w:rsid w:val="003D023A"/>
    <w:rsid w:val="003D0256"/>
    <w:rsid w:val="003D0278"/>
    <w:rsid w:val="003D035E"/>
    <w:rsid w:val="003D0461"/>
    <w:rsid w:val="003D0491"/>
    <w:rsid w:val="003D04E7"/>
    <w:rsid w:val="003D04EB"/>
    <w:rsid w:val="003D0506"/>
    <w:rsid w:val="003D0507"/>
    <w:rsid w:val="003D05AC"/>
    <w:rsid w:val="003D0610"/>
    <w:rsid w:val="003D06AF"/>
    <w:rsid w:val="003D071A"/>
    <w:rsid w:val="003D071D"/>
    <w:rsid w:val="003D0742"/>
    <w:rsid w:val="003D077E"/>
    <w:rsid w:val="003D08E4"/>
    <w:rsid w:val="003D0921"/>
    <w:rsid w:val="003D09A0"/>
    <w:rsid w:val="003D0A0B"/>
    <w:rsid w:val="003D0A11"/>
    <w:rsid w:val="003D0A3D"/>
    <w:rsid w:val="003D0B00"/>
    <w:rsid w:val="003D0D09"/>
    <w:rsid w:val="003D0DC6"/>
    <w:rsid w:val="003D0E69"/>
    <w:rsid w:val="003D0EC0"/>
    <w:rsid w:val="003D0EE7"/>
    <w:rsid w:val="003D102D"/>
    <w:rsid w:val="003D1073"/>
    <w:rsid w:val="003D11C0"/>
    <w:rsid w:val="003D1230"/>
    <w:rsid w:val="003D12F2"/>
    <w:rsid w:val="003D13FE"/>
    <w:rsid w:val="003D1508"/>
    <w:rsid w:val="003D15D2"/>
    <w:rsid w:val="003D15FA"/>
    <w:rsid w:val="003D17AB"/>
    <w:rsid w:val="003D17CE"/>
    <w:rsid w:val="003D1883"/>
    <w:rsid w:val="003D1945"/>
    <w:rsid w:val="003D195A"/>
    <w:rsid w:val="003D1968"/>
    <w:rsid w:val="003D19D2"/>
    <w:rsid w:val="003D19E1"/>
    <w:rsid w:val="003D19FD"/>
    <w:rsid w:val="003D1A44"/>
    <w:rsid w:val="003D1AEB"/>
    <w:rsid w:val="003D1B35"/>
    <w:rsid w:val="003D1CB7"/>
    <w:rsid w:val="003D1CC6"/>
    <w:rsid w:val="003D1E7C"/>
    <w:rsid w:val="003D1F9C"/>
    <w:rsid w:val="003D202C"/>
    <w:rsid w:val="003D214B"/>
    <w:rsid w:val="003D21B3"/>
    <w:rsid w:val="003D21D0"/>
    <w:rsid w:val="003D21E0"/>
    <w:rsid w:val="003D21EB"/>
    <w:rsid w:val="003D2227"/>
    <w:rsid w:val="003D2318"/>
    <w:rsid w:val="003D2352"/>
    <w:rsid w:val="003D23B3"/>
    <w:rsid w:val="003D2402"/>
    <w:rsid w:val="003D2532"/>
    <w:rsid w:val="003D257F"/>
    <w:rsid w:val="003D25D1"/>
    <w:rsid w:val="003D25DF"/>
    <w:rsid w:val="003D26EF"/>
    <w:rsid w:val="003D26FC"/>
    <w:rsid w:val="003D2741"/>
    <w:rsid w:val="003D2771"/>
    <w:rsid w:val="003D2788"/>
    <w:rsid w:val="003D283B"/>
    <w:rsid w:val="003D28F7"/>
    <w:rsid w:val="003D2966"/>
    <w:rsid w:val="003D296A"/>
    <w:rsid w:val="003D29B1"/>
    <w:rsid w:val="003D29B4"/>
    <w:rsid w:val="003D29D7"/>
    <w:rsid w:val="003D29DE"/>
    <w:rsid w:val="003D2A77"/>
    <w:rsid w:val="003D2B9F"/>
    <w:rsid w:val="003D2C6A"/>
    <w:rsid w:val="003D2C9E"/>
    <w:rsid w:val="003D2CC1"/>
    <w:rsid w:val="003D2D5A"/>
    <w:rsid w:val="003D2D88"/>
    <w:rsid w:val="003D2D8B"/>
    <w:rsid w:val="003D2DC0"/>
    <w:rsid w:val="003D2DEC"/>
    <w:rsid w:val="003D2E61"/>
    <w:rsid w:val="003D2F2A"/>
    <w:rsid w:val="003D2F9A"/>
    <w:rsid w:val="003D304F"/>
    <w:rsid w:val="003D32FC"/>
    <w:rsid w:val="003D33BC"/>
    <w:rsid w:val="003D3421"/>
    <w:rsid w:val="003D3448"/>
    <w:rsid w:val="003D3449"/>
    <w:rsid w:val="003D3615"/>
    <w:rsid w:val="003D3682"/>
    <w:rsid w:val="003D36A4"/>
    <w:rsid w:val="003D36CF"/>
    <w:rsid w:val="003D3826"/>
    <w:rsid w:val="003D39B9"/>
    <w:rsid w:val="003D3ACA"/>
    <w:rsid w:val="003D3B8B"/>
    <w:rsid w:val="003D3C7F"/>
    <w:rsid w:val="003D3D02"/>
    <w:rsid w:val="003D3D91"/>
    <w:rsid w:val="003D3DE9"/>
    <w:rsid w:val="003D3F70"/>
    <w:rsid w:val="003D3FB1"/>
    <w:rsid w:val="003D400B"/>
    <w:rsid w:val="003D4050"/>
    <w:rsid w:val="003D406C"/>
    <w:rsid w:val="003D413A"/>
    <w:rsid w:val="003D4196"/>
    <w:rsid w:val="003D41A3"/>
    <w:rsid w:val="003D424B"/>
    <w:rsid w:val="003D430F"/>
    <w:rsid w:val="003D431F"/>
    <w:rsid w:val="003D433B"/>
    <w:rsid w:val="003D43A1"/>
    <w:rsid w:val="003D444A"/>
    <w:rsid w:val="003D44A2"/>
    <w:rsid w:val="003D455C"/>
    <w:rsid w:val="003D4568"/>
    <w:rsid w:val="003D4603"/>
    <w:rsid w:val="003D469D"/>
    <w:rsid w:val="003D476C"/>
    <w:rsid w:val="003D47ED"/>
    <w:rsid w:val="003D481E"/>
    <w:rsid w:val="003D486F"/>
    <w:rsid w:val="003D49A9"/>
    <w:rsid w:val="003D4A2A"/>
    <w:rsid w:val="003D4A8C"/>
    <w:rsid w:val="003D4B41"/>
    <w:rsid w:val="003D4BB6"/>
    <w:rsid w:val="003D4D20"/>
    <w:rsid w:val="003D4DCC"/>
    <w:rsid w:val="003D4E48"/>
    <w:rsid w:val="003D4E57"/>
    <w:rsid w:val="003D4E94"/>
    <w:rsid w:val="003D506F"/>
    <w:rsid w:val="003D5103"/>
    <w:rsid w:val="003D5118"/>
    <w:rsid w:val="003D51BA"/>
    <w:rsid w:val="003D5261"/>
    <w:rsid w:val="003D52AD"/>
    <w:rsid w:val="003D5323"/>
    <w:rsid w:val="003D537A"/>
    <w:rsid w:val="003D5383"/>
    <w:rsid w:val="003D5458"/>
    <w:rsid w:val="003D54A6"/>
    <w:rsid w:val="003D54F4"/>
    <w:rsid w:val="003D55CE"/>
    <w:rsid w:val="003D5619"/>
    <w:rsid w:val="003D5699"/>
    <w:rsid w:val="003D57CB"/>
    <w:rsid w:val="003D5885"/>
    <w:rsid w:val="003D591A"/>
    <w:rsid w:val="003D5980"/>
    <w:rsid w:val="003D5990"/>
    <w:rsid w:val="003D5B6D"/>
    <w:rsid w:val="003D5BA3"/>
    <w:rsid w:val="003D5BF9"/>
    <w:rsid w:val="003D5C50"/>
    <w:rsid w:val="003D5D0E"/>
    <w:rsid w:val="003D5D92"/>
    <w:rsid w:val="003D5DA4"/>
    <w:rsid w:val="003D5DA9"/>
    <w:rsid w:val="003D5DBA"/>
    <w:rsid w:val="003D5E0F"/>
    <w:rsid w:val="003D5E3F"/>
    <w:rsid w:val="003D5E6A"/>
    <w:rsid w:val="003D5E77"/>
    <w:rsid w:val="003D5F39"/>
    <w:rsid w:val="003D5F3E"/>
    <w:rsid w:val="003D604C"/>
    <w:rsid w:val="003D607D"/>
    <w:rsid w:val="003D60D5"/>
    <w:rsid w:val="003D6231"/>
    <w:rsid w:val="003D6300"/>
    <w:rsid w:val="003D6349"/>
    <w:rsid w:val="003D635D"/>
    <w:rsid w:val="003D63EE"/>
    <w:rsid w:val="003D6400"/>
    <w:rsid w:val="003D6488"/>
    <w:rsid w:val="003D64FF"/>
    <w:rsid w:val="003D6533"/>
    <w:rsid w:val="003D6558"/>
    <w:rsid w:val="003D657C"/>
    <w:rsid w:val="003D66F9"/>
    <w:rsid w:val="003D6734"/>
    <w:rsid w:val="003D67A2"/>
    <w:rsid w:val="003D6817"/>
    <w:rsid w:val="003D6825"/>
    <w:rsid w:val="003D688A"/>
    <w:rsid w:val="003D6896"/>
    <w:rsid w:val="003D6992"/>
    <w:rsid w:val="003D69AB"/>
    <w:rsid w:val="003D6A8D"/>
    <w:rsid w:val="003D6BA1"/>
    <w:rsid w:val="003D6BD4"/>
    <w:rsid w:val="003D6BE2"/>
    <w:rsid w:val="003D6C3E"/>
    <w:rsid w:val="003D6D12"/>
    <w:rsid w:val="003D6DAA"/>
    <w:rsid w:val="003D6DB2"/>
    <w:rsid w:val="003D6DC0"/>
    <w:rsid w:val="003D6E90"/>
    <w:rsid w:val="003D6EDF"/>
    <w:rsid w:val="003D6F5F"/>
    <w:rsid w:val="003D6FA1"/>
    <w:rsid w:val="003D708D"/>
    <w:rsid w:val="003D70BF"/>
    <w:rsid w:val="003D7136"/>
    <w:rsid w:val="003D71DE"/>
    <w:rsid w:val="003D724B"/>
    <w:rsid w:val="003D730E"/>
    <w:rsid w:val="003D73A0"/>
    <w:rsid w:val="003D7481"/>
    <w:rsid w:val="003D7564"/>
    <w:rsid w:val="003D75F3"/>
    <w:rsid w:val="003D76D7"/>
    <w:rsid w:val="003D7704"/>
    <w:rsid w:val="003D77A3"/>
    <w:rsid w:val="003D782E"/>
    <w:rsid w:val="003D78A2"/>
    <w:rsid w:val="003D78D7"/>
    <w:rsid w:val="003D7946"/>
    <w:rsid w:val="003D7948"/>
    <w:rsid w:val="003D7A4E"/>
    <w:rsid w:val="003D7B2A"/>
    <w:rsid w:val="003D7B90"/>
    <w:rsid w:val="003D7CB8"/>
    <w:rsid w:val="003D7CFD"/>
    <w:rsid w:val="003D7D18"/>
    <w:rsid w:val="003D7D66"/>
    <w:rsid w:val="003D7E38"/>
    <w:rsid w:val="003D7E4C"/>
    <w:rsid w:val="003D7E50"/>
    <w:rsid w:val="003D7E5B"/>
    <w:rsid w:val="003D7E8A"/>
    <w:rsid w:val="003D7F77"/>
    <w:rsid w:val="003D7F88"/>
    <w:rsid w:val="003E0108"/>
    <w:rsid w:val="003E013D"/>
    <w:rsid w:val="003E019F"/>
    <w:rsid w:val="003E020B"/>
    <w:rsid w:val="003E0268"/>
    <w:rsid w:val="003E027F"/>
    <w:rsid w:val="003E0342"/>
    <w:rsid w:val="003E04C7"/>
    <w:rsid w:val="003E0583"/>
    <w:rsid w:val="003E0605"/>
    <w:rsid w:val="003E063C"/>
    <w:rsid w:val="003E0692"/>
    <w:rsid w:val="003E069A"/>
    <w:rsid w:val="003E0705"/>
    <w:rsid w:val="003E0711"/>
    <w:rsid w:val="003E0893"/>
    <w:rsid w:val="003E090A"/>
    <w:rsid w:val="003E0950"/>
    <w:rsid w:val="003E0985"/>
    <w:rsid w:val="003E09CB"/>
    <w:rsid w:val="003E0B27"/>
    <w:rsid w:val="003E0B44"/>
    <w:rsid w:val="003E0BC4"/>
    <w:rsid w:val="003E0BE7"/>
    <w:rsid w:val="003E0CD0"/>
    <w:rsid w:val="003E0CE3"/>
    <w:rsid w:val="003E0CF8"/>
    <w:rsid w:val="003E0D34"/>
    <w:rsid w:val="003E0DBE"/>
    <w:rsid w:val="003E0E5C"/>
    <w:rsid w:val="003E0F29"/>
    <w:rsid w:val="003E10B3"/>
    <w:rsid w:val="003E10B9"/>
    <w:rsid w:val="003E10D3"/>
    <w:rsid w:val="003E11A1"/>
    <w:rsid w:val="003E1255"/>
    <w:rsid w:val="003E1312"/>
    <w:rsid w:val="003E137D"/>
    <w:rsid w:val="003E14A7"/>
    <w:rsid w:val="003E1557"/>
    <w:rsid w:val="003E157E"/>
    <w:rsid w:val="003E15DE"/>
    <w:rsid w:val="003E15E0"/>
    <w:rsid w:val="003E163D"/>
    <w:rsid w:val="003E1661"/>
    <w:rsid w:val="003E16E5"/>
    <w:rsid w:val="003E1740"/>
    <w:rsid w:val="003E1754"/>
    <w:rsid w:val="003E1765"/>
    <w:rsid w:val="003E1772"/>
    <w:rsid w:val="003E18A8"/>
    <w:rsid w:val="003E18B9"/>
    <w:rsid w:val="003E1909"/>
    <w:rsid w:val="003E19B6"/>
    <w:rsid w:val="003E19D4"/>
    <w:rsid w:val="003E19EB"/>
    <w:rsid w:val="003E1AE2"/>
    <w:rsid w:val="003E1B18"/>
    <w:rsid w:val="003E1B33"/>
    <w:rsid w:val="003E1B51"/>
    <w:rsid w:val="003E1B9D"/>
    <w:rsid w:val="003E1BE6"/>
    <w:rsid w:val="003E1C28"/>
    <w:rsid w:val="003E1D0E"/>
    <w:rsid w:val="003E1D68"/>
    <w:rsid w:val="003E1D9C"/>
    <w:rsid w:val="003E1DFA"/>
    <w:rsid w:val="003E1E14"/>
    <w:rsid w:val="003E1ECC"/>
    <w:rsid w:val="003E1F33"/>
    <w:rsid w:val="003E1FC1"/>
    <w:rsid w:val="003E2001"/>
    <w:rsid w:val="003E2095"/>
    <w:rsid w:val="003E20D6"/>
    <w:rsid w:val="003E2144"/>
    <w:rsid w:val="003E217D"/>
    <w:rsid w:val="003E21C9"/>
    <w:rsid w:val="003E21EA"/>
    <w:rsid w:val="003E21EB"/>
    <w:rsid w:val="003E2239"/>
    <w:rsid w:val="003E2282"/>
    <w:rsid w:val="003E2346"/>
    <w:rsid w:val="003E2669"/>
    <w:rsid w:val="003E26DC"/>
    <w:rsid w:val="003E26DD"/>
    <w:rsid w:val="003E26E0"/>
    <w:rsid w:val="003E2707"/>
    <w:rsid w:val="003E270A"/>
    <w:rsid w:val="003E2784"/>
    <w:rsid w:val="003E2791"/>
    <w:rsid w:val="003E27D2"/>
    <w:rsid w:val="003E2808"/>
    <w:rsid w:val="003E28B2"/>
    <w:rsid w:val="003E29CB"/>
    <w:rsid w:val="003E2A58"/>
    <w:rsid w:val="003E2A98"/>
    <w:rsid w:val="003E2B4C"/>
    <w:rsid w:val="003E2BC3"/>
    <w:rsid w:val="003E2CA8"/>
    <w:rsid w:val="003E2D80"/>
    <w:rsid w:val="003E2EB5"/>
    <w:rsid w:val="003E2F00"/>
    <w:rsid w:val="003E2F73"/>
    <w:rsid w:val="003E3011"/>
    <w:rsid w:val="003E3084"/>
    <w:rsid w:val="003E3094"/>
    <w:rsid w:val="003E3095"/>
    <w:rsid w:val="003E30DE"/>
    <w:rsid w:val="003E319A"/>
    <w:rsid w:val="003E31D0"/>
    <w:rsid w:val="003E3219"/>
    <w:rsid w:val="003E322D"/>
    <w:rsid w:val="003E333C"/>
    <w:rsid w:val="003E33DB"/>
    <w:rsid w:val="003E3436"/>
    <w:rsid w:val="003E3444"/>
    <w:rsid w:val="003E3518"/>
    <w:rsid w:val="003E3527"/>
    <w:rsid w:val="003E352E"/>
    <w:rsid w:val="003E35CB"/>
    <w:rsid w:val="003E3709"/>
    <w:rsid w:val="003E3817"/>
    <w:rsid w:val="003E382F"/>
    <w:rsid w:val="003E39DA"/>
    <w:rsid w:val="003E39E9"/>
    <w:rsid w:val="003E3A7B"/>
    <w:rsid w:val="003E3B2E"/>
    <w:rsid w:val="003E3C0D"/>
    <w:rsid w:val="003E3C50"/>
    <w:rsid w:val="003E3C9C"/>
    <w:rsid w:val="003E3D4A"/>
    <w:rsid w:val="003E3D52"/>
    <w:rsid w:val="003E3DAA"/>
    <w:rsid w:val="003E3E19"/>
    <w:rsid w:val="003E3E37"/>
    <w:rsid w:val="003E3ECE"/>
    <w:rsid w:val="003E3F24"/>
    <w:rsid w:val="003E3F4A"/>
    <w:rsid w:val="003E3FE1"/>
    <w:rsid w:val="003E3FFD"/>
    <w:rsid w:val="003E40A7"/>
    <w:rsid w:val="003E40B5"/>
    <w:rsid w:val="003E40D9"/>
    <w:rsid w:val="003E412E"/>
    <w:rsid w:val="003E4479"/>
    <w:rsid w:val="003E4489"/>
    <w:rsid w:val="003E45C2"/>
    <w:rsid w:val="003E4636"/>
    <w:rsid w:val="003E46C3"/>
    <w:rsid w:val="003E4742"/>
    <w:rsid w:val="003E4776"/>
    <w:rsid w:val="003E477B"/>
    <w:rsid w:val="003E4794"/>
    <w:rsid w:val="003E47C8"/>
    <w:rsid w:val="003E4895"/>
    <w:rsid w:val="003E49A0"/>
    <w:rsid w:val="003E4B2E"/>
    <w:rsid w:val="003E4D87"/>
    <w:rsid w:val="003E4DAA"/>
    <w:rsid w:val="003E4DE5"/>
    <w:rsid w:val="003E4EF0"/>
    <w:rsid w:val="003E4F28"/>
    <w:rsid w:val="003E4F57"/>
    <w:rsid w:val="003E4FA6"/>
    <w:rsid w:val="003E4FF3"/>
    <w:rsid w:val="003E5012"/>
    <w:rsid w:val="003E5017"/>
    <w:rsid w:val="003E5079"/>
    <w:rsid w:val="003E50A8"/>
    <w:rsid w:val="003E50DD"/>
    <w:rsid w:val="003E50ED"/>
    <w:rsid w:val="003E514B"/>
    <w:rsid w:val="003E514C"/>
    <w:rsid w:val="003E51B8"/>
    <w:rsid w:val="003E51C3"/>
    <w:rsid w:val="003E528F"/>
    <w:rsid w:val="003E5298"/>
    <w:rsid w:val="003E52AF"/>
    <w:rsid w:val="003E534B"/>
    <w:rsid w:val="003E5350"/>
    <w:rsid w:val="003E5385"/>
    <w:rsid w:val="003E53BF"/>
    <w:rsid w:val="003E546B"/>
    <w:rsid w:val="003E54BD"/>
    <w:rsid w:val="003E56C1"/>
    <w:rsid w:val="003E5756"/>
    <w:rsid w:val="003E57B4"/>
    <w:rsid w:val="003E5836"/>
    <w:rsid w:val="003E58A8"/>
    <w:rsid w:val="003E58E4"/>
    <w:rsid w:val="003E5945"/>
    <w:rsid w:val="003E59B7"/>
    <w:rsid w:val="003E5B28"/>
    <w:rsid w:val="003E5CBC"/>
    <w:rsid w:val="003E5CC2"/>
    <w:rsid w:val="003E5D0A"/>
    <w:rsid w:val="003E5E70"/>
    <w:rsid w:val="003E5F2E"/>
    <w:rsid w:val="003E5F38"/>
    <w:rsid w:val="003E5FAD"/>
    <w:rsid w:val="003E5FDE"/>
    <w:rsid w:val="003E5FEB"/>
    <w:rsid w:val="003E5FF9"/>
    <w:rsid w:val="003E609C"/>
    <w:rsid w:val="003E611E"/>
    <w:rsid w:val="003E61E1"/>
    <w:rsid w:val="003E6231"/>
    <w:rsid w:val="003E6250"/>
    <w:rsid w:val="003E6263"/>
    <w:rsid w:val="003E62F0"/>
    <w:rsid w:val="003E6326"/>
    <w:rsid w:val="003E6370"/>
    <w:rsid w:val="003E63A8"/>
    <w:rsid w:val="003E6451"/>
    <w:rsid w:val="003E64C1"/>
    <w:rsid w:val="003E652C"/>
    <w:rsid w:val="003E65A1"/>
    <w:rsid w:val="003E65D7"/>
    <w:rsid w:val="003E673E"/>
    <w:rsid w:val="003E6744"/>
    <w:rsid w:val="003E67CD"/>
    <w:rsid w:val="003E6802"/>
    <w:rsid w:val="003E6825"/>
    <w:rsid w:val="003E6883"/>
    <w:rsid w:val="003E6895"/>
    <w:rsid w:val="003E6963"/>
    <w:rsid w:val="003E697C"/>
    <w:rsid w:val="003E69C4"/>
    <w:rsid w:val="003E69FF"/>
    <w:rsid w:val="003E6B39"/>
    <w:rsid w:val="003E6B59"/>
    <w:rsid w:val="003E6BD8"/>
    <w:rsid w:val="003E6C31"/>
    <w:rsid w:val="003E6C34"/>
    <w:rsid w:val="003E6CB0"/>
    <w:rsid w:val="003E6EA7"/>
    <w:rsid w:val="003E6F68"/>
    <w:rsid w:val="003E6F77"/>
    <w:rsid w:val="003E6FAC"/>
    <w:rsid w:val="003E70AA"/>
    <w:rsid w:val="003E70B3"/>
    <w:rsid w:val="003E71A0"/>
    <w:rsid w:val="003E72C5"/>
    <w:rsid w:val="003E73B9"/>
    <w:rsid w:val="003E73CB"/>
    <w:rsid w:val="003E7460"/>
    <w:rsid w:val="003E7486"/>
    <w:rsid w:val="003E75B7"/>
    <w:rsid w:val="003E7632"/>
    <w:rsid w:val="003E763B"/>
    <w:rsid w:val="003E7782"/>
    <w:rsid w:val="003E77F8"/>
    <w:rsid w:val="003E786D"/>
    <w:rsid w:val="003E78E5"/>
    <w:rsid w:val="003E79DC"/>
    <w:rsid w:val="003E7A91"/>
    <w:rsid w:val="003E7AF8"/>
    <w:rsid w:val="003E7B96"/>
    <w:rsid w:val="003E7C1F"/>
    <w:rsid w:val="003E7C33"/>
    <w:rsid w:val="003E7C50"/>
    <w:rsid w:val="003E7DD6"/>
    <w:rsid w:val="003E7EFC"/>
    <w:rsid w:val="003E7FF1"/>
    <w:rsid w:val="003F002D"/>
    <w:rsid w:val="003F0107"/>
    <w:rsid w:val="003F01FA"/>
    <w:rsid w:val="003F020F"/>
    <w:rsid w:val="003F0225"/>
    <w:rsid w:val="003F0239"/>
    <w:rsid w:val="003F0257"/>
    <w:rsid w:val="003F035A"/>
    <w:rsid w:val="003F0449"/>
    <w:rsid w:val="003F04A8"/>
    <w:rsid w:val="003F04F1"/>
    <w:rsid w:val="003F051B"/>
    <w:rsid w:val="003F05E4"/>
    <w:rsid w:val="003F0624"/>
    <w:rsid w:val="003F0793"/>
    <w:rsid w:val="003F091E"/>
    <w:rsid w:val="003F09DE"/>
    <w:rsid w:val="003F09EE"/>
    <w:rsid w:val="003F0A61"/>
    <w:rsid w:val="003F0B3B"/>
    <w:rsid w:val="003F0BB1"/>
    <w:rsid w:val="003F0BF7"/>
    <w:rsid w:val="003F0BF8"/>
    <w:rsid w:val="003F0C42"/>
    <w:rsid w:val="003F0C56"/>
    <w:rsid w:val="003F0D08"/>
    <w:rsid w:val="003F0D66"/>
    <w:rsid w:val="003F0D6A"/>
    <w:rsid w:val="003F0DB0"/>
    <w:rsid w:val="003F0DFC"/>
    <w:rsid w:val="003F0E15"/>
    <w:rsid w:val="003F0EB0"/>
    <w:rsid w:val="003F0F59"/>
    <w:rsid w:val="003F10DA"/>
    <w:rsid w:val="003F1186"/>
    <w:rsid w:val="003F1198"/>
    <w:rsid w:val="003F11A0"/>
    <w:rsid w:val="003F11DE"/>
    <w:rsid w:val="003F12F1"/>
    <w:rsid w:val="003F12F9"/>
    <w:rsid w:val="003F1406"/>
    <w:rsid w:val="003F142F"/>
    <w:rsid w:val="003F1582"/>
    <w:rsid w:val="003F158D"/>
    <w:rsid w:val="003F15A7"/>
    <w:rsid w:val="003F15C8"/>
    <w:rsid w:val="003F1659"/>
    <w:rsid w:val="003F16B6"/>
    <w:rsid w:val="003F17B3"/>
    <w:rsid w:val="003F18ED"/>
    <w:rsid w:val="003F1958"/>
    <w:rsid w:val="003F1A39"/>
    <w:rsid w:val="003F1BD5"/>
    <w:rsid w:val="003F1C06"/>
    <w:rsid w:val="003F1C62"/>
    <w:rsid w:val="003F1CA9"/>
    <w:rsid w:val="003F1CFE"/>
    <w:rsid w:val="003F1D3D"/>
    <w:rsid w:val="003F1D44"/>
    <w:rsid w:val="003F1D4D"/>
    <w:rsid w:val="003F1D63"/>
    <w:rsid w:val="003F1DFE"/>
    <w:rsid w:val="003F1E23"/>
    <w:rsid w:val="003F1E93"/>
    <w:rsid w:val="003F1F96"/>
    <w:rsid w:val="003F1FBA"/>
    <w:rsid w:val="003F1FDF"/>
    <w:rsid w:val="003F208E"/>
    <w:rsid w:val="003F20CB"/>
    <w:rsid w:val="003F2102"/>
    <w:rsid w:val="003F21B6"/>
    <w:rsid w:val="003F21B9"/>
    <w:rsid w:val="003F21EF"/>
    <w:rsid w:val="003F21F4"/>
    <w:rsid w:val="003F23D8"/>
    <w:rsid w:val="003F242B"/>
    <w:rsid w:val="003F245C"/>
    <w:rsid w:val="003F24E1"/>
    <w:rsid w:val="003F255E"/>
    <w:rsid w:val="003F25AA"/>
    <w:rsid w:val="003F2618"/>
    <w:rsid w:val="003F2672"/>
    <w:rsid w:val="003F271F"/>
    <w:rsid w:val="003F2742"/>
    <w:rsid w:val="003F27DD"/>
    <w:rsid w:val="003F2856"/>
    <w:rsid w:val="003F2867"/>
    <w:rsid w:val="003F28B5"/>
    <w:rsid w:val="003F29BE"/>
    <w:rsid w:val="003F2ABB"/>
    <w:rsid w:val="003F2B3A"/>
    <w:rsid w:val="003F2B3C"/>
    <w:rsid w:val="003F2C18"/>
    <w:rsid w:val="003F2C71"/>
    <w:rsid w:val="003F2D86"/>
    <w:rsid w:val="003F2EB3"/>
    <w:rsid w:val="003F2EF5"/>
    <w:rsid w:val="003F2F80"/>
    <w:rsid w:val="003F2FD7"/>
    <w:rsid w:val="003F304D"/>
    <w:rsid w:val="003F311E"/>
    <w:rsid w:val="003F313C"/>
    <w:rsid w:val="003F3198"/>
    <w:rsid w:val="003F319C"/>
    <w:rsid w:val="003F31DB"/>
    <w:rsid w:val="003F3334"/>
    <w:rsid w:val="003F339B"/>
    <w:rsid w:val="003F33C6"/>
    <w:rsid w:val="003F3410"/>
    <w:rsid w:val="003F342D"/>
    <w:rsid w:val="003F347B"/>
    <w:rsid w:val="003F3493"/>
    <w:rsid w:val="003F35AA"/>
    <w:rsid w:val="003F35FD"/>
    <w:rsid w:val="003F3666"/>
    <w:rsid w:val="003F36DB"/>
    <w:rsid w:val="003F36E3"/>
    <w:rsid w:val="003F36E8"/>
    <w:rsid w:val="003F3717"/>
    <w:rsid w:val="003F3818"/>
    <w:rsid w:val="003F3900"/>
    <w:rsid w:val="003F3995"/>
    <w:rsid w:val="003F39B9"/>
    <w:rsid w:val="003F39BF"/>
    <w:rsid w:val="003F3A37"/>
    <w:rsid w:val="003F3AE8"/>
    <w:rsid w:val="003F3AF7"/>
    <w:rsid w:val="003F3B32"/>
    <w:rsid w:val="003F3BA5"/>
    <w:rsid w:val="003F3C42"/>
    <w:rsid w:val="003F3DAB"/>
    <w:rsid w:val="003F3E84"/>
    <w:rsid w:val="003F3E96"/>
    <w:rsid w:val="003F3EAA"/>
    <w:rsid w:val="003F3F65"/>
    <w:rsid w:val="003F3FB3"/>
    <w:rsid w:val="003F3FE3"/>
    <w:rsid w:val="003F41A2"/>
    <w:rsid w:val="003F4215"/>
    <w:rsid w:val="003F4414"/>
    <w:rsid w:val="003F44C4"/>
    <w:rsid w:val="003F45F7"/>
    <w:rsid w:val="003F465A"/>
    <w:rsid w:val="003F474D"/>
    <w:rsid w:val="003F485A"/>
    <w:rsid w:val="003F4A8A"/>
    <w:rsid w:val="003F4ABB"/>
    <w:rsid w:val="003F4AC5"/>
    <w:rsid w:val="003F4B2E"/>
    <w:rsid w:val="003F4B7A"/>
    <w:rsid w:val="003F4BB9"/>
    <w:rsid w:val="003F4BDD"/>
    <w:rsid w:val="003F4C17"/>
    <w:rsid w:val="003F4D79"/>
    <w:rsid w:val="003F4E2C"/>
    <w:rsid w:val="003F4EF1"/>
    <w:rsid w:val="003F4F50"/>
    <w:rsid w:val="003F5069"/>
    <w:rsid w:val="003F510D"/>
    <w:rsid w:val="003F51BF"/>
    <w:rsid w:val="003F520B"/>
    <w:rsid w:val="003F5280"/>
    <w:rsid w:val="003F528B"/>
    <w:rsid w:val="003F52AA"/>
    <w:rsid w:val="003F5447"/>
    <w:rsid w:val="003F5463"/>
    <w:rsid w:val="003F5620"/>
    <w:rsid w:val="003F56DD"/>
    <w:rsid w:val="003F5700"/>
    <w:rsid w:val="003F5727"/>
    <w:rsid w:val="003F5770"/>
    <w:rsid w:val="003F5844"/>
    <w:rsid w:val="003F5881"/>
    <w:rsid w:val="003F58A6"/>
    <w:rsid w:val="003F58C2"/>
    <w:rsid w:val="003F5939"/>
    <w:rsid w:val="003F5980"/>
    <w:rsid w:val="003F5981"/>
    <w:rsid w:val="003F59B4"/>
    <w:rsid w:val="003F59FA"/>
    <w:rsid w:val="003F5A19"/>
    <w:rsid w:val="003F5ABC"/>
    <w:rsid w:val="003F5B1B"/>
    <w:rsid w:val="003F5B69"/>
    <w:rsid w:val="003F5BD1"/>
    <w:rsid w:val="003F5BD2"/>
    <w:rsid w:val="003F5C5D"/>
    <w:rsid w:val="003F5C69"/>
    <w:rsid w:val="003F5D11"/>
    <w:rsid w:val="003F5D70"/>
    <w:rsid w:val="003F5F7D"/>
    <w:rsid w:val="003F605B"/>
    <w:rsid w:val="003F6276"/>
    <w:rsid w:val="003F6319"/>
    <w:rsid w:val="003F63B4"/>
    <w:rsid w:val="003F6448"/>
    <w:rsid w:val="003F6524"/>
    <w:rsid w:val="003F6584"/>
    <w:rsid w:val="003F664F"/>
    <w:rsid w:val="003F66A9"/>
    <w:rsid w:val="003F6719"/>
    <w:rsid w:val="003F6800"/>
    <w:rsid w:val="003F683F"/>
    <w:rsid w:val="003F6869"/>
    <w:rsid w:val="003F6928"/>
    <w:rsid w:val="003F6A10"/>
    <w:rsid w:val="003F6A8E"/>
    <w:rsid w:val="003F6AA4"/>
    <w:rsid w:val="003F6BE4"/>
    <w:rsid w:val="003F6BF9"/>
    <w:rsid w:val="003F6C38"/>
    <w:rsid w:val="003F6DD2"/>
    <w:rsid w:val="003F6E0B"/>
    <w:rsid w:val="003F6ECF"/>
    <w:rsid w:val="003F6F07"/>
    <w:rsid w:val="003F6F40"/>
    <w:rsid w:val="003F6FC9"/>
    <w:rsid w:val="003F7186"/>
    <w:rsid w:val="003F7196"/>
    <w:rsid w:val="003F71C9"/>
    <w:rsid w:val="003F7262"/>
    <w:rsid w:val="003F7332"/>
    <w:rsid w:val="003F74AF"/>
    <w:rsid w:val="003F7564"/>
    <w:rsid w:val="003F756E"/>
    <w:rsid w:val="003F75D5"/>
    <w:rsid w:val="003F761F"/>
    <w:rsid w:val="003F765C"/>
    <w:rsid w:val="003F7675"/>
    <w:rsid w:val="003F768F"/>
    <w:rsid w:val="003F7754"/>
    <w:rsid w:val="003F775F"/>
    <w:rsid w:val="003F77AD"/>
    <w:rsid w:val="003F780F"/>
    <w:rsid w:val="003F7890"/>
    <w:rsid w:val="003F794E"/>
    <w:rsid w:val="003F799D"/>
    <w:rsid w:val="003F7A53"/>
    <w:rsid w:val="003F7A71"/>
    <w:rsid w:val="003F7A9C"/>
    <w:rsid w:val="003F7C5B"/>
    <w:rsid w:val="003F7CAB"/>
    <w:rsid w:val="003F7CB3"/>
    <w:rsid w:val="003F7E17"/>
    <w:rsid w:val="003F7E6F"/>
    <w:rsid w:val="003F7F3C"/>
    <w:rsid w:val="003F7FB9"/>
    <w:rsid w:val="003FFBE3"/>
    <w:rsid w:val="004001BE"/>
    <w:rsid w:val="0040023B"/>
    <w:rsid w:val="00400260"/>
    <w:rsid w:val="00400302"/>
    <w:rsid w:val="00400307"/>
    <w:rsid w:val="00400395"/>
    <w:rsid w:val="004003DF"/>
    <w:rsid w:val="00400462"/>
    <w:rsid w:val="004004AF"/>
    <w:rsid w:val="00400506"/>
    <w:rsid w:val="00400538"/>
    <w:rsid w:val="004005F3"/>
    <w:rsid w:val="00400624"/>
    <w:rsid w:val="00400640"/>
    <w:rsid w:val="0040066E"/>
    <w:rsid w:val="00400696"/>
    <w:rsid w:val="00400788"/>
    <w:rsid w:val="0040078E"/>
    <w:rsid w:val="0040084D"/>
    <w:rsid w:val="00400856"/>
    <w:rsid w:val="004008BA"/>
    <w:rsid w:val="004008C0"/>
    <w:rsid w:val="00400903"/>
    <w:rsid w:val="00400928"/>
    <w:rsid w:val="004009E0"/>
    <w:rsid w:val="00400B44"/>
    <w:rsid w:val="00400BB3"/>
    <w:rsid w:val="00400BC3"/>
    <w:rsid w:val="00400CA1"/>
    <w:rsid w:val="00400DF8"/>
    <w:rsid w:val="00400EBF"/>
    <w:rsid w:val="0040107D"/>
    <w:rsid w:val="00401082"/>
    <w:rsid w:val="00401088"/>
    <w:rsid w:val="00401090"/>
    <w:rsid w:val="00401148"/>
    <w:rsid w:val="004012B3"/>
    <w:rsid w:val="004012DE"/>
    <w:rsid w:val="0040148A"/>
    <w:rsid w:val="0040156D"/>
    <w:rsid w:val="00401716"/>
    <w:rsid w:val="00401749"/>
    <w:rsid w:val="00401753"/>
    <w:rsid w:val="00401886"/>
    <w:rsid w:val="004018DE"/>
    <w:rsid w:val="004018F7"/>
    <w:rsid w:val="004019B5"/>
    <w:rsid w:val="00401A27"/>
    <w:rsid w:val="00401A2B"/>
    <w:rsid w:val="00401B23"/>
    <w:rsid w:val="00401B4E"/>
    <w:rsid w:val="00401C83"/>
    <w:rsid w:val="00401D35"/>
    <w:rsid w:val="00401DAC"/>
    <w:rsid w:val="00401EEA"/>
    <w:rsid w:val="00401EEE"/>
    <w:rsid w:val="00401FA6"/>
    <w:rsid w:val="00401FAE"/>
    <w:rsid w:val="004020B7"/>
    <w:rsid w:val="004020FB"/>
    <w:rsid w:val="00402125"/>
    <w:rsid w:val="0040217B"/>
    <w:rsid w:val="0040219B"/>
    <w:rsid w:val="004021B9"/>
    <w:rsid w:val="00402253"/>
    <w:rsid w:val="00402289"/>
    <w:rsid w:val="0040234A"/>
    <w:rsid w:val="0040235D"/>
    <w:rsid w:val="00402448"/>
    <w:rsid w:val="0040246B"/>
    <w:rsid w:val="00402558"/>
    <w:rsid w:val="004025DA"/>
    <w:rsid w:val="00402695"/>
    <w:rsid w:val="0040275F"/>
    <w:rsid w:val="00402777"/>
    <w:rsid w:val="0040277C"/>
    <w:rsid w:val="004027A3"/>
    <w:rsid w:val="00402851"/>
    <w:rsid w:val="004028AD"/>
    <w:rsid w:val="00402960"/>
    <w:rsid w:val="00402973"/>
    <w:rsid w:val="00402980"/>
    <w:rsid w:val="004029A5"/>
    <w:rsid w:val="00402A5C"/>
    <w:rsid w:val="00402B4E"/>
    <w:rsid w:val="00402BBD"/>
    <w:rsid w:val="00402BC1"/>
    <w:rsid w:val="00402CFA"/>
    <w:rsid w:val="00402DD8"/>
    <w:rsid w:val="00402EBB"/>
    <w:rsid w:val="00402F48"/>
    <w:rsid w:val="00402F90"/>
    <w:rsid w:val="00402F95"/>
    <w:rsid w:val="00403011"/>
    <w:rsid w:val="00403093"/>
    <w:rsid w:val="0040329B"/>
    <w:rsid w:val="004032BC"/>
    <w:rsid w:val="004032D7"/>
    <w:rsid w:val="00403344"/>
    <w:rsid w:val="004033A2"/>
    <w:rsid w:val="004034E2"/>
    <w:rsid w:val="004035E6"/>
    <w:rsid w:val="004035FC"/>
    <w:rsid w:val="00403610"/>
    <w:rsid w:val="00403667"/>
    <w:rsid w:val="0040373A"/>
    <w:rsid w:val="00403782"/>
    <w:rsid w:val="004039A2"/>
    <w:rsid w:val="004039A8"/>
    <w:rsid w:val="004039F2"/>
    <w:rsid w:val="004039F3"/>
    <w:rsid w:val="00403A45"/>
    <w:rsid w:val="00403A78"/>
    <w:rsid w:val="00403B1A"/>
    <w:rsid w:val="00403B9B"/>
    <w:rsid w:val="00403BB8"/>
    <w:rsid w:val="00403C33"/>
    <w:rsid w:val="00403C73"/>
    <w:rsid w:val="00403CAE"/>
    <w:rsid w:val="00403D29"/>
    <w:rsid w:val="00403E13"/>
    <w:rsid w:val="00403E86"/>
    <w:rsid w:val="00403EAA"/>
    <w:rsid w:val="00403F2F"/>
    <w:rsid w:val="00403FC0"/>
    <w:rsid w:val="0040408E"/>
    <w:rsid w:val="00404091"/>
    <w:rsid w:val="004041AE"/>
    <w:rsid w:val="00404272"/>
    <w:rsid w:val="0040433C"/>
    <w:rsid w:val="004043A4"/>
    <w:rsid w:val="004043C9"/>
    <w:rsid w:val="00404417"/>
    <w:rsid w:val="004044BF"/>
    <w:rsid w:val="0040457E"/>
    <w:rsid w:val="0040458E"/>
    <w:rsid w:val="004045DA"/>
    <w:rsid w:val="004046FA"/>
    <w:rsid w:val="0040471E"/>
    <w:rsid w:val="004047E2"/>
    <w:rsid w:val="0040484E"/>
    <w:rsid w:val="0040487F"/>
    <w:rsid w:val="004048D2"/>
    <w:rsid w:val="00404978"/>
    <w:rsid w:val="0040498E"/>
    <w:rsid w:val="00404997"/>
    <w:rsid w:val="00404A01"/>
    <w:rsid w:val="00404A7A"/>
    <w:rsid w:val="00404BC4"/>
    <w:rsid w:val="00404C21"/>
    <w:rsid w:val="00404CCC"/>
    <w:rsid w:val="00404CD7"/>
    <w:rsid w:val="00404D1C"/>
    <w:rsid w:val="00404DAC"/>
    <w:rsid w:val="00404DCE"/>
    <w:rsid w:val="00404E1E"/>
    <w:rsid w:val="00404E7E"/>
    <w:rsid w:val="00404EBA"/>
    <w:rsid w:val="00404EFF"/>
    <w:rsid w:val="00404F06"/>
    <w:rsid w:val="00404F0D"/>
    <w:rsid w:val="00404FC4"/>
    <w:rsid w:val="00405090"/>
    <w:rsid w:val="004051E0"/>
    <w:rsid w:val="004051E7"/>
    <w:rsid w:val="004051F9"/>
    <w:rsid w:val="004052A7"/>
    <w:rsid w:val="00405392"/>
    <w:rsid w:val="004054E0"/>
    <w:rsid w:val="0040554E"/>
    <w:rsid w:val="00405638"/>
    <w:rsid w:val="00405644"/>
    <w:rsid w:val="00405647"/>
    <w:rsid w:val="004056B6"/>
    <w:rsid w:val="004056D3"/>
    <w:rsid w:val="00405785"/>
    <w:rsid w:val="004057CA"/>
    <w:rsid w:val="004057F1"/>
    <w:rsid w:val="004058CF"/>
    <w:rsid w:val="00405957"/>
    <w:rsid w:val="00405975"/>
    <w:rsid w:val="00405A54"/>
    <w:rsid w:val="00405ADF"/>
    <w:rsid w:val="00405C3E"/>
    <w:rsid w:val="00405F48"/>
    <w:rsid w:val="00405F8A"/>
    <w:rsid w:val="004060C3"/>
    <w:rsid w:val="004060DD"/>
    <w:rsid w:val="00406109"/>
    <w:rsid w:val="004061F4"/>
    <w:rsid w:val="00406359"/>
    <w:rsid w:val="004063D7"/>
    <w:rsid w:val="0040641A"/>
    <w:rsid w:val="00406521"/>
    <w:rsid w:val="00406526"/>
    <w:rsid w:val="00406584"/>
    <w:rsid w:val="004065DD"/>
    <w:rsid w:val="00406723"/>
    <w:rsid w:val="0040672C"/>
    <w:rsid w:val="00406793"/>
    <w:rsid w:val="00406873"/>
    <w:rsid w:val="004069A7"/>
    <w:rsid w:val="004069B0"/>
    <w:rsid w:val="00406C6A"/>
    <w:rsid w:val="00406C93"/>
    <w:rsid w:val="00406D89"/>
    <w:rsid w:val="00406DFE"/>
    <w:rsid w:val="00406F02"/>
    <w:rsid w:val="00406FC4"/>
    <w:rsid w:val="00407067"/>
    <w:rsid w:val="00407167"/>
    <w:rsid w:val="004072E1"/>
    <w:rsid w:val="00407414"/>
    <w:rsid w:val="004074BC"/>
    <w:rsid w:val="0040762B"/>
    <w:rsid w:val="00407711"/>
    <w:rsid w:val="00407716"/>
    <w:rsid w:val="0040772F"/>
    <w:rsid w:val="004077E2"/>
    <w:rsid w:val="0040789A"/>
    <w:rsid w:val="00407918"/>
    <w:rsid w:val="00407920"/>
    <w:rsid w:val="0040797D"/>
    <w:rsid w:val="00407985"/>
    <w:rsid w:val="00407A0B"/>
    <w:rsid w:val="00407A28"/>
    <w:rsid w:val="00407A8C"/>
    <w:rsid w:val="00407B35"/>
    <w:rsid w:val="00407B39"/>
    <w:rsid w:val="00407B7D"/>
    <w:rsid w:val="00407BC5"/>
    <w:rsid w:val="00407C52"/>
    <w:rsid w:val="00407CA0"/>
    <w:rsid w:val="00407CEB"/>
    <w:rsid w:val="00407D1F"/>
    <w:rsid w:val="00407D82"/>
    <w:rsid w:val="00407DD5"/>
    <w:rsid w:val="00407EA1"/>
    <w:rsid w:val="00407EBA"/>
    <w:rsid w:val="00407F22"/>
    <w:rsid w:val="00407FB7"/>
    <w:rsid w:val="0041001B"/>
    <w:rsid w:val="00410078"/>
    <w:rsid w:val="004100EC"/>
    <w:rsid w:val="004101B3"/>
    <w:rsid w:val="004101D5"/>
    <w:rsid w:val="004101FA"/>
    <w:rsid w:val="00410201"/>
    <w:rsid w:val="0041020C"/>
    <w:rsid w:val="004103BE"/>
    <w:rsid w:val="004103C4"/>
    <w:rsid w:val="004103F1"/>
    <w:rsid w:val="00410408"/>
    <w:rsid w:val="0041048F"/>
    <w:rsid w:val="004104DD"/>
    <w:rsid w:val="00410511"/>
    <w:rsid w:val="00410560"/>
    <w:rsid w:val="00410649"/>
    <w:rsid w:val="004106AF"/>
    <w:rsid w:val="00410733"/>
    <w:rsid w:val="004107D4"/>
    <w:rsid w:val="004107DE"/>
    <w:rsid w:val="00410819"/>
    <w:rsid w:val="0041081E"/>
    <w:rsid w:val="00410899"/>
    <w:rsid w:val="004109BE"/>
    <w:rsid w:val="00410A29"/>
    <w:rsid w:val="00410A58"/>
    <w:rsid w:val="00410ABE"/>
    <w:rsid w:val="00410B24"/>
    <w:rsid w:val="00410B37"/>
    <w:rsid w:val="00410B3C"/>
    <w:rsid w:val="00410B80"/>
    <w:rsid w:val="00410BF6"/>
    <w:rsid w:val="00410D56"/>
    <w:rsid w:val="00410DA1"/>
    <w:rsid w:val="00410DB0"/>
    <w:rsid w:val="00410DC3"/>
    <w:rsid w:val="00410ECA"/>
    <w:rsid w:val="00410FDC"/>
    <w:rsid w:val="00410FE0"/>
    <w:rsid w:val="0041101F"/>
    <w:rsid w:val="00411081"/>
    <w:rsid w:val="0041108B"/>
    <w:rsid w:val="00411141"/>
    <w:rsid w:val="004111A6"/>
    <w:rsid w:val="004111FC"/>
    <w:rsid w:val="004112A8"/>
    <w:rsid w:val="004112EA"/>
    <w:rsid w:val="0041135C"/>
    <w:rsid w:val="00411365"/>
    <w:rsid w:val="0041141C"/>
    <w:rsid w:val="0041150E"/>
    <w:rsid w:val="00411538"/>
    <w:rsid w:val="00411818"/>
    <w:rsid w:val="0041199E"/>
    <w:rsid w:val="00411A91"/>
    <w:rsid w:val="00411A95"/>
    <w:rsid w:val="00411AE3"/>
    <w:rsid w:val="00411B50"/>
    <w:rsid w:val="00411B79"/>
    <w:rsid w:val="00411C36"/>
    <w:rsid w:val="00411CC8"/>
    <w:rsid w:val="00411D4B"/>
    <w:rsid w:val="00411E46"/>
    <w:rsid w:val="00411F2C"/>
    <w:rsid w:val="00411F72"/>
    <w:rsid w:val="00412064"/>
    <w:rsid w:val="0041207C"/>
    <w:rsid w:val="004123BC"/>
    <w:rsid w:val="004123C0"/>
    <w:rsid w:val="00412410"/>
    <w:rsid w:val="00412451"/>
    <w:rsid w:val="004124AB"/>
    <w:rsid w:val="0041250E"/>
    <w:rsid w:val="004125A1"/>
    <w:rsid w:val="0041271C"/>
    <w:rsid w:val="004127C7"/>
    <w:rsid w:val="00412924"/>
    <w:rsid w:val="00412960"/>
    <w:rsid w:val="004129EA"/>
    <w:rsid w:val="00412A05"/>
    <w:rsid w:val="00412A30"/>
    <w:rsid w:val="00412AD9"/>
    <w:rsid w:val="00412B03"/>
    <w:rsid w:val="00412B64"/>
    <w:rsid w:val="00412B8A"/>
    <w:rsid w:val="00412C6F"/>
    <w:rsid w:val="00412C99"/>
    <w:rsid w:val="00412DA4"/>
    <w:rsid w:val="00412E66"/>
    <w:rsid w:val="00412F64"/>
    <w:rsid w:val="00412FB5"/>
    <w:rsid w:val="00412FE0"/>
    <w:rsid w:val="00413016"/>
    <w:rsid w:val="00413061"/>
    <w:rsid w:val="004130C0"/>
    <w:rsid w:val="004130CF"/>
    <w:rsid w:val="004130E0"/>
    <w:rsid w:val="004131A2"/>
    <w:rsid w:val="004131A3"/>
    <w:rsid w:val="00413236"/>
    <w:rsid w:val="00413271"/>
    <w:rsid w:val="0041327F"/>
    <w:rsid w:val="004132BB"/>
    <w:rsid w:val="004132F7"/>
    <w:rsid w:val="00413317"/>
    <w:rsid w:val="004133EE"/>
    <w:rsid w:val="0041351D"/>
    <w:rsid w:val="00413637"/>
    <w:rsid w:val="0041364A"/>
    <w:rsid w:val="004136B5"/>
    <w:rsid w:val="0041378E"/>
    <w:rsid w:val="004137F1"/>
    <w:rsid w:val="00413817"/>
    <w:rsid w:val="004138DF"/>
    <w:rsid w:val="0041399D"/>
    <w:rsid w:val="00413A9C"/>
    <w:rsid w:val="00413B07"/>
    <w:rsid w:val="00413C2A"/>
    <w:rsid w:val="00413C51"/>
    <w:rsid w:val="00413C5F"/>
    <w:rsid w:val="00413C8B"/>
    <w:rsid w:val="00413D6F"/>
    <w:rsid w:val="00413EA3"/>
    <w:rsid w:val="00413EE4"/>
    <w:rsid w:val="00413F13"/>
    <w:rsid w:val="00413F6E"/>
    <w:rsid w:val="00413F91"/>
    <w:rsid w:val="00413FE5"/>
    <w:rsid w:val="0041400A"/>
    <w:rsid w:val="004140E0"/>
    <w:rsid w:val="00414102"/>
    <w:rsid w:val="004141F5"/>
    <w:rsid w:val="00414207"/>
    <w:rsid w:val="0041427B"/>
    <w:rsid w:val="00414282"/>
    <w:rsid w:val="00414310"/>
    <w:rsid w:val="00414315"/>
    <w:rsid w:val="00414339"/>
    <w:rsid w:val="004143EE"/>
    <w:rsid w:val="004144BD"/>
    <w:rsid w:val="004144C2"/>
    <w:rsid w:val="00414596"/>
    <w:rsid w:val="004145A8"/>
    <w:rsid w:val="004146C2"/>
    <w:rsid w:val="00414712"/>
    <w:rsid w:val="0041477E"/>
    <w:rsid w:val="00414800"/>
    <w:rsid w:val="0041484D"/>
    <w:rsid w:val="00414877"/>
    <w:rsid w:val="004148C8"/>
    <w:rsid w:val="00414924"/>
    <w:rsid w:val="00414943"/>
    <w:rsid w:val="00414A25"/>
    <w:rsid w:val="00414BFA"/>
    <w:rsid w:val="00414C4A"/>
    <w:rsid w:val="00414C89"/>
    <w:rsid w:val="00414DA3"/>
    <w:rsid w:val="00414F25"/>
    <w:rsid w:val="00414F3D"/>
    <w:rsid w:val="00415004"/>
    <w:rsid w:val="00415045"/>
    <w:rsid w:val="004150B6"/>
    <w:rsid w:val="004150B9"/>
    <w:rsid w:val="00415197"/>
    <w:rsid w:val="0041523F"/>
    <w:rsid w:val="004153E9"/>
    <w:rsid w:val="0041541B"/>
    <w:rsid w:val="00415446"/>
    <w:rsid w:val="0041544D"/>
    <w:rsid w:val="004154CB"/>
    <w:rsid w:val="00415710"/>
    <w:rsid w:val="0041571A"/>
    <w:rsid w:val="00415722"/>
    <w:rsid w:val="00415727"/>
    <w:rsid w:val="0041573C"/>
    <w:rsid w:val="004157C2"/>
    <w:rsid w:val="004157DB"/>
    <w:rsid w:val="004158CE"/>
    <w:rsid w:val="004158D1"/>
    <w:rsid w:val="00415948"/>
    <w:rsid w:val="00415ABF"/>
    <w:rsid w:val="00415B46"/>
    <w:rsid w:val="00415B76"/>
    <w:rsid w:val="00415BAE"/>
    <w:rsid w:val="00415C2D"/>
    <w:rsid w:val="00415C7B"/>
    <w:rsid w:val="00415CAC"/>
    <w:rsid w:val="00415CE0"/>
    <w:rsid w:val="00415CEB"/>
    <w:rsid w:val="00415D02"/>
    <w:rsid w:val="00415DFE"/>
    <w:rsid w:val="00415E13"/>
    <w:rsid w:val="00415F19"/>
    <w:rsid w:val="00415F59"/>
    <w:rsid w:val="00416066"/>
    <w:rsid w:val="00416093"/>
    <w:rsid w:val="004160AE"/>
    <w:rsid w:val="0041614A"/>
    <w:rsid w:val="004161D9"/>
    <w:rsid w:val="004161ED"/>
    <w:rsid w:val="00416234"/>
    <w:rsid w:val="00416266"/>
    <w:rsid w:val="0041628E"/>
    <w:rsid w:val="004163D7"/>
    <w:rsid w:val="004163E8"/>
    <w:rsid w:val="00416440"/>
    <w:rsid w:val="00416451"/>
    <w:rsid w:val="0041646D"/>
    <w:rsid w:val="004164A5"/>
    <w:rsid w:val="004164FF"/>
    <w:rsid w:val="00416590"/>
    <w:rsid w:val="00416689"/>
    <w:rsid w:val="004166B8"/>
    <w:rsid w:val="0041675E"/>
    <w:rsid w:val="00416762"/>
    <w:rsid w:val="00416888"/>
    <w:rsid w:val="0041699E"/>
    <w:rsid w:val="004169CA"/>
    <w:rsid w:val="00416A0D"/>
    <w:rsid w:val="00416A74"/>
    <w:rsid w:val="00416BED"/>
    <w:rsid w:val="00416C39"/>
    <w:rsid w:val="00416CCC"/>
    <w:rsid w:val="00416D00"/>
    <w:rsid w:val="00416D96"/>
    <w:rsid w:val="00416D9A"/>
    <w:rsid w:val="00416E55"/>
    <w:rsid w:val="00416EC6"/>
    <w:rsid w:val="00416F71"/>
    <w:rsid w:val="004171DB"/>
    <w:rsid w:val="004172A1"/>
    <w:rsid w:val="004173B6"/>
    <w:rsid w:val="004175AA"/>
    <w:rsid w:val="004175D4"/>
    <w:rsid w:val="004175F6"/>
    <w:rsid w:val="00417611"/>
    <w:rsid w:val="00417616"/>
    <w:rsid w:val="0041766B"/>
    <w:rsid w:val="004176A0"/>
    <w:rsid w:val="004176AB"/>
    <w:rsid w:val="004176B1"/>
    <w:rsid w:val="00417726"/>
    <w:rsid w:val="0041778D"/>
    <w:rsid w:val="00417892"/>
    <w:rsid w:val="004179E2"/>
    <w:rsid w:val="00417A79"/>
    <w:rsid w:val="00417BFB"/>
    <w:rsid w:val="00417C4B"/>
    <w:rsid w:val="00417C6B"/>
    <w:rsid w:val="00417D25"/>
    <w:rsid w:val="00417DA2"/>
    <w:rsid w:val="00417EE0"/>
    <w:rsid w:val="00417F03"/>
    <w:rsid w:val="00417F46"/>
    <w:rsid w:val="00417F57"/>
    <w:rsid w:val="00417FAC"/>
    <w:rsid w:val="00420028"/>
    <w:rsid w:val="00420037"/>
    <w:rsid w:val="0042008D"/>
    <w:rsid w:val="00420098"/>
    <w:rsid w:val="0042013A"/>
    <w:rsid w:val="004201B7"/>
    <w:rsid w:val="004201C2"/>
    <w:rsid w:val="00420273"/>
    <w:rsid w:val="004203F7"/>
    <w:rsid w:val="00420407"/>
    <w:rsid w:val="00420458"/>
    <w:rsid w:val="004204A8"/>
    <w:rsid w:val="004204B3"/>
    <w:rsid w:val="004204FC"/>
    <w:rsid w:val="0042052A"/>
    <w:rsid w:val="00420660"/>
    <w:rsid w:val="0042077A"/>
    <w:rsid w:val="0042093C"/>
    <w:rsid w:val="00420964"/>
    <w:rsid w:val="0042099A"/>
    <w:rsid w:val="0042099D"/>
    <w:rsid w:val="00420AB5"/>
    <w:rsid w:val="00420BD2"/>
    <w:rsid w:val="00420C21"/>
    <w:rsid w:val="00420C5D"/>
    <w:rsid w:val="00420CB0"/>
    <w:rsid w:val="00420CF1"/>
    <w:rsid w:val="00420CF6"/>
    <w:rsid w:val="00420D21"/>
    <w:rsid w:val="00420D42"/>
    <w:rsid w:val="00420D63"/>
    <w:rsid w:val="00420DC5"/>
    <w:rsid w:val="00420DEE"/>
    <w:rsid w:val="00420F08"/>
    <w:rsid w:val="00420F3E"/>
    <w:rsid w:val="004212AC"/>
    <w:rsid w:val="00421358"/>
    <w:rsid w:val="00421454"/>
    <w:rsid w:val="00421556"/>
    <w:rsid w:val="00421620"/>
    <w:rsid w:val="00421692"/>
    <w:rsid w:val="0042175C"/>
    <w:rsid w:val="0042186C"/>
    <w:rsid w:val="00421955"/>
    <w:rsid w:val="00421A3F"/>
    <w:rsid w:val="00421AB4"/>
    <w:rsid w:val="00421B38"/>
    <w:rsid w:val="00421B62"/>
    <w:rsid w:val="00421BAD"/>
    <w:rsid w:val="00421BC6"/>
    <w:rsid w:val="00421BD2"/>
    <w:rsid w:val="00421C17"/>
    <w:rsid w:val="00421CA8"/>
    <w:rsid w:val="00421CB6"/>
    <w:rsid w:val="00421DB3"/>
    <w:rsid w:val="00421E3E"/>
    <w:rsid w:val="00421E5A"/>
    <w:rsid w:val="00421E62"/>
    <w:rsid w:val="00421E90"/>
    <w:rsid w:val="00421F87"/>
    <w:rsid w:val="00422039"/>
    <w:rsid w:val="004220CA"/>
    <w:rsid w:val="00422111"/>
    <w:rsid w:val="004221BF"/>
    <w:rsid w:val="00422281"/>
    <w:rsid w:val="0042228D"/>
    <w:rsid w:val="004222D9"/>
    <w:rsid w:val="00422342"/>
    <w:rsid w:val="00422378"/>
    <w:rsid w:val="0042244F"/>
    <w:rsid w:val="0042245D"/>
    <w:rsid w:val="0042248C"/>
    <w:rsid w:val="0042249F"/>
    <w:rsid w:val="004224AA"/>
    <w:rsid w:val="004224CB"/>
    <w:rsid w:val="004224D1"/>
    <w:rsid w:val="004224DF"/>
    <w:rsid w:val="004225D8"/>
    <w:rsid w:val="0042260F"/>
    <w:rsid w:val="00422834"/>
    <w:rsid w:val="004229C3"/>
    <w:rsid w:val="00422BF6"/>
    <w:rsid w:val="00422D1E"/>
    <w:rsid w:val="00422E4F"/>
    <w:rsid w:val="00422F47"/>
    <w:rsid w:val="0042304F"/>
    <w:rsid w:val="00423054"/>
    <w:rsid w:val="00423064"/>
    <w:rsid w:val="004230F0"/>
    <w:rsid w:val="00423101"/>
    <w:rsid w:val="00423162"/>
    <w:rsid w:val="00423176"/>
    <w:rsid w:val="0042335C"/>
    <w:rsid w:val="004233A0"/>
    <w:rsid w:val="00423484"/>
    <w:rsid w:val="0042349D"/>
    <w:rsid w:val="0042349F"/>
    <w:rsid w:val="004235FE"/>
    <w:rsid w:val="004236AD"/>
    <w:rsid w:val="004237FE"/>
    <w:rsid w:val="0042383A"/>
    <w:rsid w:val="00423892"/>
    <w:rsid w:val="004238DD"/>
    <w:rsid w:val="004238FA"/>
    <w:rsid w:val="00423976"/>
    <w:rsid w:val="004239AF"/>
    <w:rsid w:val="00423A70"/>
    <w:rsid w:val="00423AB4"/>
    <w:rsid w:val="00423B50"/>
    <w:rsid w:val="00423B7D"/>
    <w:rsid w:val="00423CB4"/>
    <w:rsid w:val="00423D0E"/>
    <w:rsid w:val="00423D27"/>
    <w:rsid w:val="00423D54"/>
    <w:rsid w:val="00423D9D"/>
    <w:rsid w:val="00423E04"/>
    <w:rsid w:val="00423E8F"/>
    <w:rsid w:val="00423EAE"/>
    <w:rsid w:val="00423EC7"/>
    <w:rsid w:val="00423ECD"/>
    <w:rsid w:val="00423F08"/>
    <w:rsid w:val="00423F32"/>
    <w:rsid w:val="00423F48"/>
    <w:rsid w:val="004240B0"/>
    <w:rsid w:val="004240B9"/>
    <w:rsid w:val="004240F0"/>
    <w:rsid w:val="00424201"/>
    <w:rsid w:val="0042422F"/>
    <w:rsid w:val="0042424F"/>
    <w:rsid w:val="0042426B"/>
    <w:rsid w:val="004242B5"/>
    <w:rsid w:val="004243AC"/>
    <w:rsid w:val="004243BF"/>
    <w:rsid w:val="004244AB"/>
    <w:rsid w:val="0042452A"/>
    <w:rsid w:val="00424587"/>
    <w:rsid w:val="0042461F"/>
    <w:rsid w:val="0042462D"/>
    <w:rsid w:val="004247A7"/>
    <w:rsid w:val="004247EA"/>
    <w:rsid w:val="0042480C"/>
    <w:rsid w:val="0042482A"/>
    <w:rsid w:val="004248A1"/>
    <w:rsid w:val="00424954"/>
    <w:rsid w:val="004249D5"/>
    <w:rsid w:val="00424B64"/>
    <w:rsid w:val="00424BDC"/>
    <w:rsid w:val="00424D71"/>
    <w:rsid w:val="00424E2F"/>
    <w:rsid w:val="00424E3F"/>
    <w:rsid w:val="00424EB1"/>
    <w:rsid w:val="00424F32"/>
    <w:rsid w:val="004250BC"/>
    <w:rsid w:val="004250CB"/>
    <w:rsid w:val="0042514C"/>
    <w:rsid w:val="0042518A"/>
    <w:rsid w:val="0042520E"/>
    <w:rsid w:val="00425213"/>
    <w:rsid w:val="0042524C"/>
    <w:rsid w:val="00425280"/>
    <w:rsid w:val="0042542E"/>
    <w:rsid w:val="004254F5"/>
    <w:rsid w:val="00425503"/>
    <w:rsid w:val="004255EC"/>
    <w:rsid w:val="004255F6"/>
    <w:rsid w:val="0042579E"/>
    <w:rsid w:val="004258B2"/>
    <w:rsid w:val="004258F5"/>
    <w:rsid w:val="00425989"/>
    <w:rsid w:val="00425B14"/>
    <w:rsid w:val="00425D10"/>
    <w:rsid w:val="00425DBC"/>
    <w:rsid w:val="00425E2D"/>
    <w:rsid w:val="00425E70"/>
    <w:rsid w:val="00425E99"/>
    <w:rsid w:val="00425F18"/>
    <w:rsid w:val="00425F27"/>
    <w:rsid w:val="00425F40"/>
    <w:rsid w:val="00426023"/>
    <w:rsid w:val="004260F0"/>
    <w:rsid w:val="00426114"/>
    <w:rsid w:val="0042618E"/>
    <w:rsid w:val="004261DC"/>
    <w:rsid w:val="004262AF"/>
    <w:rsid w:val="004262D0"/>
    <w:rsid w:val="004262E9"/>
    <w:rsid w:val="00426437"/>
    <w:rsid w:val="0042646E"/>
    <w:rsid w:val="00426525"/>
    <w:rsid w:val="004265FA"/>
    <w:rsid w:val="00426639"/>
    <w:rsid w:val="00426673"/>
    <w:rsid w:val="0042668E"/>
    <w:rsid w:val="0042672F"/>
    <w:rsid w:val="00426765"/>
    <w:rsid w:val="00426789"/>
    <w:rsid w:val="004267BE"/>
    <w:rsid w:val="0042686C"/>
    <w:rsid w:val="004268BB"/>
    <w:rsid w:val="0042691B"/>
    <w:rsid w:val="0042696A"/>
    <w:rsid w:val="00426A26"/>
    <w:rsid w:val="00426A33"/>
    <w:rsid w:val="00426A77"/>
    <w:rsid w:val="00426A8A"/>
    <w:rsid w:val="00426ADB"/>
    <w:rsid w:val="00426AFE"/>
    <w:rsid w:val="00426B8B"/>
    <w:rsid w:val="00426C01"/>
    <w:rsid w:val="00426C44"/>
    <w:rsid w:val="00426CC7"/>
    <w:rsid w:val="00426D18"/>
    <w:rsid w:val="00426D91"/>
    <w:rsid w:val="00426DE3"/>
    <w:rsid w:val="00426E08"/>
    <w:rsid w:val="00426F08"/>
    <w:rsid w:val="00426F2C"/>
    <w:rsid w:val="00426FF8"/>
    <w:rsid w:val="00427154"/>
    <w:rsid w:val="0042718B"/>
    <w:rsid w:val="00427199"/>
    <w:rsid w:val="004271CC"/>
    <w:rsid w:val="004271F8"/>
    <w:rsid w:val="00427272"/>
    <w:rsid w:val="004272F1"/>
    <w:rsid w:val="0042730B"/>
    <w:rsid w:val="00427359"/>
    <w:rsid w:val="00427398"/>
    <w:rsid w:val="0042756D"/>
    <w:rsid w:val="004275B1"/>
    <w:rsid w:val="0042761F"/>
    <w:rsid w:val="004276A0"/>
    <w:rsid w:val="00427702"/>
    <w:rsid w:val="0042770D"/>
    <w:rsid w:val="00427863"/>
    <w:rsid w:val="0042794E"/>
    <w:rsid w:val="00427AA5"/>
    <w:rsid w:val="00427AFC"/>
    <w:rsid w:val="00427B19"/>
    <w:rsid w:val="00427BB6"/>
    <w:rsid w:val="00427BC4"/>
    <w:rsid w:val="00427C36"/>
    <w:rsid w:val="00427C69"/>
    <w:rsid w:val="00427CAA"/>
    <w:rsid w:val="00427D65"/>
    <w:rsid w:val="00427E40"/>
    <w:rsid w:val="00427E56"/>
    <w:rsid w:val="00427EDB"/>
    <w:rsid w:val="00427EE2"/>
    <w:rsid w:val="00427F3D"/>
    <w:rsid w:val="00430004"/>
    <w:rsid w:val="0043005B"/>
    <w:rsid w:val="004300A5"/>
    <w:rsid w:val="004300B9"/>
    <w:rsid w:val="004300EF"/>
    <w:rsid w:val="00430137"/>
    <w:rsid w:val="00430142"/>
    <w:rsid w:val="004301D1"/>
    <w:rsid w:val="0043023A"/>
    <w:rsid w:val="004303B9"/>
    <w:rsid w:val="00430607"/>
    <w:rsid w:val="00430696"/>
    <w:rsid w:val="004306EB"/>
    <w:rsid w:val="0043071A"/>
    <w:rsid w:val="00430760"/>
    <w:rsid w:val="004307AB"/>
    <w:rsid w:val="004307D0"/>
    <w:rsid w:val="00430859"/>
    <w:rsid w:val="0043087C"/>
    <w:rsid w:val="00430961"/>
    <w:rsid w:val="004309C7"/>
    <w:rsid w:val="004309CF"/>
    <w:rsid w:val="00430A21"/>
    <w:rsid w:val="00430B14"/>
    <w:rsid w:val="00430B2A"/>
    <w:rsid w:val="00430B51"/>
    <w:rsid w:val="00430BF5"/>
    <w:rsid w:val="00430C3A"/>
    <w:rsid w:val="00430D55"/>
    <w:rsid w:val="00430D56"/>
    <w:rsid w:val="00430E5E"/>
    <w:rsid w:val="00430F7E"/>
    <w:rsid w:val="00431057"/>
    <w:rsid w:val="00431179"/>
    <w:rsid w:val="0043134C"/>
    <w:rsid w:val="00431447"/>
    <w:rsid w:val="00431557"/>
    <w:rsid w:val="00431590"/>
    <w:rsid w:val="0043163F"/>
    <w:rsid w:val="00431691"/>
    <w:rsid w:val="004316B8"/>
    <w:rsid w:val="004316C4"/>
    <w:rsid w:val="0043174C"/>
    <w:rsid w:val="00431755"/>
    <w:rsid w:val="00431778"/>
    <w:rsid w:val="004317BE"/>
    <w:rsid w:val="004317F4"/>
    <w:rsid w:val="00431807"/>
    <w:rsid w:val="0043183D"/>
    <w:rsid w:val="00431969"/>
    <w:rsid w:val="00431A1C"/>
    <w:rsid w:val="00431A2E"/>
    <w:rsid w:val="00431B2E"/>
    <w:rsid w:val="00431B43"/>
    <w:rsid w:val="00431B69"/>
    <w:rsid w:val="00431B78"/>
    <w:rsid w:val="00431BF0"/>
    <w:rsid w:val="00431C2E"/>
    <w:rsid w:val="00431CC9"/>
    <w:rsid w:val="00431D0D"/>
    <w:rsid w:val="00431D8D"/>
    <w:rsid w:val="00431D97"/>
    <w:rsid w:val="00431E4B"/>
    <w:rsid w:val="00431F51"/>
    <w:rsid w:val="00431FAF"/>
    <w:rsid w:val="004320AF"/>
    <w:rsid w:val="0043210A"/>
    <w:rsid w:val="00432132"/>
    <w:rsid w:val="0043214A"/>
    <w:rsid w:val="00432158"/>
    <w:rsid w:val="004322BD"/>
    <w:rsid w:val="00432320"/>
    <w:rsid w:val="00432329"/>
    <w:rsid w:val="00432376"/>
    <w:rsid w:val="00432421"/>
    <w:rsid w:val="00432487"/>
    <w:rsid w:val="0043252A"/>
    <w:rsid w:val="00432855"/>
    <w:rsid w:val="0043289F"/>
    <w:rsid w:val="00432A22"/>
    <w:rsid w:val="00432AB4"/>
    <w:rsid w:val="00432AE8"/>
    <w:rsid w:val="00432B06"/>
    <w:rsid w:val="00432BF8"/>
    <w:rsid w:val="00432CD9"/>
    <w:rsid w:val="00432D3F"/>
    <w:rsid w:val="00432D93"/>
    <w:rsid w:val="00432DA5"/>
    <w:rsid w:val="00432DC9"/>
    <w:rsid w:val="00432F2F"/>
    <w:rsid w:val="00432F5A"/>
    <w:rsid w:val="00432FA6"/>
    <w:rsid w:val="004330B2"/>
    <w:rsid w:val="004330D9"/>
    <w:rsid w:val="004332B3"/>
    <w:rsid w:val="004332E2"/>
    <w:rsid w:val="00433387"/>
    <w:rsid w:val="00433449"/>
    <w:rsid w:val="00433503"/>
    <w:rsid w:val="004335A9"/>
    <w:rsid w:val="0043364D"/>
    <w:rsid w:val="004336B1"/>
    <w:rsid w:val="004336B6"/>
    <w:rsid w:val="004336D0"/>
    <w:rsid w:val="00433704"/>
    <w:rsid w:val="0043376D"/>
    <w:rsid w:val="00433775"/>
    <w:rsid w:val="0043380F"/>
    <w:rsid w:val="00433840"/>
    <w:rsid w:val="00433870"/>
    <w:rsid w:val="00433953"/>
    <w:rsid w:val="0043396A"/>
    <w:rsid w:val="004339CF"/>
    <w:rsid w:val="00433AFD"/>
    <w:rsid w:val="00433BDF"/>
    <w:rsid w:val="00433C91"/>
    <w:rsid w:val="00433C94"/>
    <w:rsid w:val="00433D0D"/>
    <w:rsid w:val="00433D5E"/>
    <w:rsid w:val="00433DAD"/>
    <w:rsid w:val="00433E2A"/>
    <w:rsid w:val="00433E85"/>
    <w:rsid w:val="00433F2D"/>
    <w:rsid w:val="00433FA9"/>
    <w:rsid w:val="0043406B"/>
    <w:rsid w:val="0043412F"/>
    <w:rsid w:val="0043414B"/>
    <w:rsid w:val="0043414C"/>
    <w:rsid w:val="00434156"/>
    <w:rsid w:val="00434163"/>
    <w:rsid w:val="0043418E"/>
    <w:rsid w:val="004342A9"/>
    <w:rsid w:val="004343AD"/>
    <w:rsid w:val="0043441E"/>
    <w:rsid w:val="004344B7"/>
    <w:rsid w:val="00434607"/>
    <w:rsid w:val="0043465F"/>
    <w:rsid w:val="00434688"/>
    <w:rsid w:val="004346D2"/>
    <w:rsid w:val="00434703"/>
    <w:rsid w:val="004347E7"/>
    <w:rsid w:val="004348F2"/>
    <w:rsid w:val="00434A55"/>
    <w:rsid w:val="00434B0F"/>
    <w:rsid w:val="00434BE5"/>
    <w:rsid w:val="00434C61"/>
    <w:rsid w:val="00434CAE"/>
    <w:rsid w:val="00434DAB"/>
    <w:rsid w:val="00434E3C"/>
    <w:rsid w:val="00434F05"/>
    <w:rsid w:val="00434FA7"/>
    <w:rsid w:val="00435016"/>
    <w:rsid w:val="00435067"/>
    <w:rsid w:val="004350A0"/>
    <w:rsid w:val="004350BB"/>
    <w:rsid w:val="00435112"/>
    <w:rsid w:val="004352E6"/>
    <w:rsid w:val="004353E5"/>
    <w:rsid w:val="00435407"/>
    <w:rsid w:val="00435472"/>
    <w:rsid w:val="0043549B"/>
    <w:rsid w:val="00435557"/>
    <w:rsid w:val="00435569"/>
    <w:rsid w:val="004355ED"/>
    <w:rsid w:val="00435638"/>
    <w:rsid w:val="004356B5"/>
    <w:rsid w:val="004356EA"/>
    <w:rsid w:val="004357DE"/>
    <w:rsid w:val="00435815"/>
    <w:rsid w:val="004359B4"/>
    <w:rsid w:val="00435A30"/>
    <w:rsid w:val="00435B21"/>
    <w:rsid w:val="00435BAF"/>
    <w:rsid w:val="00435BE5"/>
    <w:rsid w:val="00435C14"/>
    <w:rsid w:val="00435C34"/>
    <w:rsid w:val="00435DE4"/>
    <w:rsid w:val="00435E09"/>
    <w:rsid w:val="00435E8C"/>
    <w:rsid w:val="00435EA5"/>
    <w:rsid w:val="00435FED"/>
    <w:rsid w:val="0043605F"/>
    <w:rsid w:val="0043608D"/>
    <w:rsid w:val="0043611E"/>
    <w:rsid w:val="004361B5"/>
    <w:rsid w:val="004361C5"/>
    <w:rsid w:val="00436313"/>
    <w:rsid w:val="00436343"/>
    <w:rsid w:val="004363A3"/>
    <w:rsid w:val="004364A4"/>
    <w:rsid w:val="004364CF"/>
    <w:rsid w:val="004364F6"/>
    <w:rsid w:val="00436528"/>
    <w:rsid w:val="004365E6"/>
    <w:rsid w:val="00436615"/>
    <w:rsid w:val="00436716"/>
    <w:rsid w:val="00436755"/>
    <w:rsid w:val="004367A3"/>
    <w:rsid w:val="004367B2"/>
    <w:rsid w:val="00436852"/>
    <w:rsid w:val="0043686B"/>
    <w:rsid w:val="0043687D"/>
    <w:rsid w:val="004369A1"/>
    <w:rsid w:val="00436AB6"/>
    <w:rsid w:val="00436AE4"/>
    <w:rsid w:val="00436B1E"/>
    <w:rsid w:val="00436C98"/>
    <w:rsid w:val="00436C9C"/>
    <w:rsid w:val="00436DCE"/>
    <w:rsid w:val="00436DF3"/>
    <w:rsid w:val="00436ED2"/>
    <w:rsid w:val="0043709D"/>
    <w:rsid w:val="004370C6"/>
    <w:rsid w:val="004370D5"/>
    <w:rsid w:val="0043730B"/>
    <w:rsid w:val="0043730E"/>
    <w:rsid w:val="00437352"/>
    <w:rsid w:val="004373EF"/>
    <w:rsid w:val="00437459"/>
    <w:rsid w:val="004374D1"/>
    <w:rsid w:val="004376A2"/>
    <w:rsid w:val="00437856"/>
    <w:rsid w:val="004378D5"/>
    <w:rsid w:val="004378E9"/>
    <w:rsid w:val="00437908"/>
    <w:rsid w:val="00437A14"/>
    <w:rsid w:val="00437A74"/>
    <w:rsid w:val="00437AA4"/>
    <w:rsid w:val="00437C84"/>
    <w:rsid w:val="00437C96"/>
    <w:rsid w:val="00437CE6"/>
    <w:rsid w:val="00437D71"/>
    <w:rsid w:val="00437DAB"/>
    <w:rsid w:val="00437DC9"/>
    <w:rsid w:val="00437E38"/>
    <w:rsid w:val="00437F3F"/>
    <w:rsid w:val="004400AE"/>
    <w:rsid w:val="004400D4"/>
    <w:rsid w:val="00440124"/>
    <w:rsid w:val="004401C0"/>
    <w:rsid w:val="004401F1"/>
    <w:rsid w:val="00440214"/>
    <w:rsid w:val="004402F2"/>
    <w:rsid w:val="0044039D"/>
    <w:rsid w:val="00440433"/>
    <w:rsid w:val="00440551"/>
    <w:rsid w:val="0044057E"/>
    <w:rsid w:val="00440642"/>
    <w:rsid w:val="00440796"/>
    <w:rsid w:val="0044086B"/>
    <w:rsid w:val="0044093C"/>
    <w:rsid w:val="00440AA3"/>
    <w:rsid w:val="00440C16"/>
    <w:rsid w:val="00440D97"/>
    <w:rsid w:val="00441172"/>
    <w:rsid w:val="0044123A"/>
    <w:rsid w:val="004412A1"/>
    <w:rsid w:val="0044134B"/>
    <w:rsid w:val="00441426"/>
    <w:rsid w:val="0044143C"/>
    <w:rsid w:val="0044151B"/>
    <w:rsid w:val="0044153E"/>
    <w:rsid w:val="00441585"/>
    <w:rsid w:val="004415A9"/>
    <w:rsid w:val="004415D8"/>
    <w:rsid w:val="004415F9"/>
    <w:rsid w:val="0044172C"/>
    <w:rsid w:val="0044172E"/>
    <w:rsid w:val="0044177E"/>
    <w:rsid w:val="00441799"/>
    <w:rsid w:val="004417B6"/>
    <w:rsid w:val="00441918"/>
    <w:rsid w:val="0044192E"/>
    <w:rsid w:val="00441A27"/>
    <w:rsid w:val="00441A96"/>
    <w:rsid w:val="00441B98"/>
    <w:rsid w:val="00441BBC"/>
    <w:rsid w:val="00441CC3"/>
    <w:rsid w:val="00441D58"/>
    <w:rsid w:val="00441E63"/>
    <w:rsid w:val="00441F8F"/>
    <w:rsid w:val="0044209D"/>
    <w:rsid w:val="0044225A"/>
    <w:rsid w:val="004423C4"/>
    <w:rsid w:val="004423F9"/>
    <w:rsid w:val="00442469"/>
    <w:rsid w:val="004424C1"/>
    <w:rsid w:val="00442602"/>
    <w:rsid w:val="0044264A"/>
    <w:rsid w:val="00442665"/>
    <w:rsid w:val="0044267B"/>
    <w:rsid w:val="00442699"/>
    <w:rsid w:val="00442729"/>
    <w:rsid w:val="00442754"/>
    <w:rsid w:val="00442756"/>
    <w:rsid w:val="00442782"/>
    <w:rsid w:val="0044282D"/>
    <w:rsid w:val="00442942"/>
    <w:rsid w:val="0044295C"/>
    <w:rsid w:val="004429D7"/>
    <w:rsid w:val="004429D9"/>
    <w:rsid w:val="00442A90"/>
    <w:rsid w:val="00442AA3"/>
    <w:rsid w:val="00442AB0"/>
    <w:rsid w:val="00442B10"/>
    <w:rsid w:val="00442B28"/>
    <w:rsid w:val="00442B7C"/>
    <w:rsid w:val="00442C3E"/>
    <w:rsid w:val="00442E1F"/>
    <w:rsid w:val="00442EED"/>
    <w:rsid w:val="00443036"/>
    <w:rsid w:val="004431AC"/>
    <w:rsid w:val="00443349"/>
    <w:rsid w:val="00443395"/>
    <w:rsid w:val="004433F8"/>
    <w:rsid w:val="004434A8"/>
    <w:rsid w:val="0044351D"/>
    <w:rsid w:val="0044353F"/>
    <w:rsid w:val="0044357B"/>
    <w:rsid w:val="004435AD"/>
    <w:rsid w:val="004435BE"/>
    <w:rsid w:val="004435F1"/>
    <w:rsid w:val="00443698"/>
    <w:rsid w:val="00443833"/>
    <w:rsid w:val="004438DA"/>
    <w:rsid w:val="00443919"/>
    <w:rsid w:val="004439B8"/>
    <w:rsid w:val="00443A4C"/>
    <w:rsid w:val="00443A8A"/>
    <w:rsid w:val="00443B9A"/>
    <w:rsid w:val="00443BCD"/>
    <w:rsid w:val="00443C9E"/>
    <w:rsid w:val="00443D42"/>
    <w:rsid w:val="00443E69"/>
    <w:rsid w:val="00443E89"/>
    <w:rsid w:val="00443FD3"/>
    <w:rsid w:val="0044409A"/>
    <w:rsid w:val="004440B0"/>
    <w:rsid w:val="00444239"/>
    <w:rsid w:val="004443E0"/>
    <w:rsid w:val="004444AA"/>
    <w:rsid w:val="004445D0"/>
    <w:rsid w:val="004445D1"/>
    <w:rsid w:val="00444637"/>
    <w:rsid w:val="00444772"/>
    <w:rsid w:val="00444796"/>
    <w:rsid w:val="0044486C"/>
    <w:rsid w:val="00444885"/>
    <w:rsid w:val="004448A4"/>
    <w:rsid w:val="0044497A"/>
    <w:rsid w:val="00444A63"/>
    <w:rsid w:val="00444A73"/>
    <w:rsid w:val="00444AE9"/>
    <w:rsid w:val="00444B5D"/>
    <w:rsid w:val="00444C87"/>
    <w:rsid w:val="00444CCB"/>
    <w:rsid w:val="00444D72"/>
    <w:rsid w:val="00444D7E"/>
    <w:rsid w:val="00444F0E"/>
    <w:rsid w:val="00444F2B"/>
    <w:rsid w:val="00444F56"/>
    <w:rsid w:val="00444FE2"/>
    <w:rsid w:val="00444FF6"/>
    <w:rsid w:val="0044507B"/>
    <w:rsid w:val="004450AE"/>
    <w:rsid w:val="0044511E"/>
    <w:rsid w:val="0044517B"/>
    <w:rsid w:val="004451D7"/>
    <w:rsid w:val="00445265"/>
    <w:rsid w:val="00445353"/>
    <w:rsid w:val="00445383"/>
    <w:rsid w:val="004453DA"/>
    <w:rsid w:val="00445404"/>
    <w:rsid w:val="0044548E"/>
    <w:rsid w:val="00445596"/>
    <w:rsid w:val="0044567F"/>
    <w:rsid w:val="004456AA"/>
    <w:rsid w:val="004457A0"/>
    <w:rsid w:val="004457AD"/>
    <w:rsid w:val="00445803"/>
    <w:rsid w:val="00445827"/>
    <w:rsid w:val="00445959"/>
    <w:rsid w:val="004459C3"/>
    <w:rsid w:val="00445AE4"/>
    <w:rsid w:val="00445BE8"/>
    <w:rsid w:val="00445C5A"/>
    <w:rsid w:val="00445C71"/>
    <w:rsid w:val="00445C96"/>
    <w:rsid w:val="00445CF8"/>
    <w:rsid w:val="00445D1E"/>
    <w:rsid w:val="00445E07"/>
    <w:rsid w:val="00445E7E"/>
    <w:rsid w:val="00445E91"/>
    <w:rsid w:val="00445EDF"/>
    <w:rsid w:val="00445F82"/>
    <w:rsid w:val="00445F9C"/>
    <w:rsid w:val="00445FBA"/>
    <w:rsid w:val="00445FDF"/>
    <w:rsid w:val="00445FF5"/>
    <w:rsid w:val="0044609D"/>
    <w:rsid w:val="004460D6"/>
    <w:rsid w:val="004460DD"/>
    <w:rsid w:val="0044615B"/>
    <w:rsid w:val="00446193"/>
    <w:rsid w:val="00446276"/>
    <w:rsid w:val="00446293"/>
    <w:rsid w:val="004462A1"/>
    <w:rsid w:val="0044633B"/>
    <w:rsid w:val="00446340"/>
    <w:rsid w:val="00446374"/>
    <w:rsid w:val="004463EB"/>
    <w:rsid w:val="004464F1"/>
    <w:rsid w:val="004465B7"/>
    <w:rsid w:val="004467AD"/>
    <w:rsid w:val="004467C1"/>
    <w:rsid w:val="004467EC"/>
    <w:rsid w:val="00446993"/>
    <w:rsid w:val="004469C9"/>
    <w:rsid w:val="004469F9"/>
    <w:rsid w:val="00446AF5"/>
    <w:rsid w:val="00446B1C"/>
    <w:rsid w:val="00446B69"/>
    <w:rsid w:val="00446C3A"/>
    <w:rsid w:val="00446CA9"/>
    <w:rsid w:val="00446CE7"/>
    <w:rsid w:val="00446CF4"/>
    <w:rsid w:val="00446D35"/>
    <w:rsid w:val="00446D4F"/>
    <w:rsid w:val="00446D50"/>
    <w:rsid w:val="00446D9A"/>
    <w:rsid w:val="00446DC6"/>
    <w:rsid w:val="00446E49"/>
    <w:rsid w:val="00446EAB"/>
    <w:rsid w:val="00446F31"/>
    <w:rsid w:val="00446FD8"/>
    <w:rsid w:val="0044705E"/>
    <w:rsid w:val="0044706A"/>
    <w:rsid w:val="004470EA"/>
    <w:rsid w:val="0044715B"/>
    <w:rsid w:val="004472C0"/>
    <w:rsid w:val="004473C8"/>
    <w:rsid w:val="004474AB"/>
    <w:rsid w:val="00447518"/>
    <w:rsid w:val="0044751D"/>
    <w:rsid w:val="004475F9"/>
    <w:rsid w:val="00447618"/>
    <w:rsid w:val="0044764B"/>
    <w:rsid w:val="0044765F"/>
    <w:rsid w:val="00447671"/>
    <w:rsid w:val="004476FF"/>
    <w:rsid w:val="0044771E"/>
    <w:rsid w:val="0044775C"/>
    <w:rsid w:val="0044778D"/>
    <w:rsid w:val="0044782A"/>
    <w:rsid w:val="00447837"/>
    <w:rsid w:val="00447A6B"/>
    <w:rsid w:val="00447B3C"/>
    <w:rsid w:val="00447C0E"/>
    <w:rsid w:val="00447C9C"/>
    <w:rsid w:val="00447CF5"/>
    <w:rsid w:val="00447D35"/>
    <w:rsid w:val="00447DA4"/>
    <w:rsid w:val="00447E52"/>
    <w:rsid w:val="00447EA2"/>
    <w:rsid w:val="00447ED4"/>
    <w:rsid w:val="00447EDA"/>
    <w:rsid w:val="00447F6E"/>
    <w:rsid w:val="00447F81"/>
    <w:rsid w:val="00447FC0"/>
    <w:rsid w:val="00447FC9"/>
    <w:rsid w:val="00450171"/>
    <w:rsid w:val="004501A8"/>
    <w:rsid w:val="0045029D"/>
    <w:rsid w:val="004502D6"/>
    <w:rsid w:val="004502E6"/>
    <w:rsid w:val="00450383"/>
    <w:rsid w:val="004503E0"/>
    <w:rsid w:val="00450403"/>
    <w:rsid w:val="00450409"/>
    <w:rsid w:val="004504E8"/>
    <w:rsid w:val="004504F4"/>
    <w:rsid w:val="0045050C"/>
    <w:rsid w:val="0045052A"/>
    <w:rsid w:val="004505DA"/>
    <w:rsid w:val="004505EC"/>
    <w:rsid w:val="0045062A"/>
    <w:rsid w:val="00450633"/>
    <w:rsid w:val="0045065B"/>
    <w:rsid w:val="00450719"/>
    <w:rsid w:val="0045076B"/>
    <w:rsid w:val="00450815"/>
    <w:rsid w:val="00450A10"/>
    <w:rsid w:val="00450B0B"/>
    <w:rsid w:val="00450B66"/>
    <w:rsid w:val="00450BB8"/>
    <w:rsid w:val="00450BF1"/>
    <w:rsid w:val="00450C40"/>
    <w:rsid w:val="00450C7B"/>
    <w:rsid w:val="00450C97"/>
    <w:rsid w:val="00450CA8"/>
    <w:rsid w:val="00450CBB"/>
    <w:rsid w:val="00450CDB"/>
    <w:rsid w:val="00450D4D"/>
    <w:rsid w:val="00450D83"/>
    <w:rsid w:val="00450DBB"/>
    <w:rsid w:val="00450EF4"/>
    <w:rsid w:val="00450F12"/>
    <w:rsid w:val="0045102D"/>
    <w:rsid w:val="004510C0"/>
    <w:rsid w:val="004511E1"/>
    <w:rsid w:val="0045137D"/>
    <w:rsid w:val="004513D5"/>
    <w:rsid w:val="0045140D"/>
    <w:rsid w:val="004514AC"/>
    <w:rsid w:val="00451541"/>
    <w:rsid w:val="004515B0"/>
    <w:rsid w:val="004515D4"/>
    <w:rsid w:val="00451606"/>
    <w:rsid w:val="004516A9"/>
    <w:rsid w:val="00451716"/>
    <w:rsid w:val="004517D0"/>
    <w:rsid w:val="004518A7"/>
    <w:rsid w:val="004518D8"/>
    <w:rsid w:val="00451B76"/>
    <w:rsid w:val="00451B7A"/>
    <w:rsid w:val="00451C10"/>
    <w:rsid w:val="00451C7C"/>
    <w:rsid w:val="00451D11"/>
    <w:rsid w:val="00451E74"/>
    <w:rsid w:val="00451EE6"/>
    <w:rsid w:val="00452016"/>
    <w:rsid w:val="0045203A"/>
    <w:rsid w:val="0045205A"/>
    <w:rsid w:val="0045207E"/>
    <w:rsid w:val="004520B6"/>
    <w:rsid w:val="0045211C"/>
    <w:rsid w:val="00452174"/>
    <w:rsid w:val="00452176"/>
    <w:rsid w:val="004521DC"/>
    <w:rsid w:val="00452290"/>
    <w:rsid w:val="004522A4"/>
    <w:rsid w:val="004522F1"/>
    <w:rsid w:val="00452312"/>
    <w:rsid w:val="00452372"/>
    <w:rsid w:val="004524D5"/>
    <w:rsid w:val="00452649"/>
    <w:rsid w:val="00452695"/>
    <w:rsid w:val="00452698"/>
    <w:rsid w:val="00452711"/>
    <w:rsid w:val="00452740"/>
    <w:rsid w:val="00452744"/>
    <w:rsid w:val="00452770"/>
    <w:rsid w:val="00452815"/>
    <w:rsid w:val="004528CD"/>
    <w:rsid w:val="004528F9"/>
    <w:rsid w:val="0045291A"/>
    <w:rsid w:val="00452A0F"/>
    <w:rsid w:val="00452A2C"/>
    <w:rsid w:val="00452BB3"/>
    <w:rsid w:val="00452C68"/>
    <w:rsid w:val="00452CE0"/>
    <w:rsid w:val="00452D8D"/>
    <w:rsid w:val="00452DA3"/>
    <w:rsid w:val="00452E28"/>
    <w:rsid w:val="00452EB4"/>
    <w:rsid w:val="00452EBC"/>
    <w:rsid w:val="00452EC7"/>
    <w:rsid w:val="00452F76"/>
    <w:rsid w:val="0045300E"/>
    <w:rsid w:val="00453041"/>
    <w:rsid w:val="0045304B"/>
    <w:rsid w:val="004530E1"/>
    <w:rsid w:val="00453233"/>
    <w:rsid w:val="00453299"/>
    <w:rsid w:val="0045333E"/>
    <w:rsid w:val="0045338F"/>
    <w:rsid w:val="004533F5"/>
    <w:rsid w:val="004534C2"/>
    <w:rsid w:val="0045352A"/>
    <w:rsid w:val="004535BD"/>
    <w:rsid w:val="004536AA"/>
    <w:rsid w:val="0045370E"/>
    <w:rsid w:val="00453725"/>
    <w:rsid w:val="00453728"/>
    <w:rsid w:val="00453752"/>
    <w:rsid w:val="0045381B"/>
    <w:rsid w:val="0045381F"/>
    <w:rsid w:val="00453822"/>
    <w:rsid w:val="00453897"/>
    <w:rsid w:val="0045390C"/>
    <w:rsid w:val="00453955"/>
    <w:rsid w:val="004539D4"/>
    <w:rsid w:val="00453A0E"/>
    <w:rsid w:val="00453A8D"/>
    <w:rsid w:val="00453C14"/>
    <w:rsid w:val="00453C82"/>
    <w:rsid w:val="00453ECF"/>
    <w:rsid w:val="004540B5"/>
    <w:rsid w:val="004540DF"/>
    <w:rsid w:val="00454136"/>
    <w:rsid w:val="004541AB"/>
    <w:rsid w:val="00454223"/>
    <w:rsid w:val="0045428A"/>
    <w:rsid w:val="004542EC"/>
    <w:rsid w:val="00454308"/>
    <w:rsid w:val="00454378"/>
    <w:rsid w:val="004543CE"/>
    <w:rsid w:val="00454422"/>
    <w:rsid w:val="004544EE"/>
    <w:rsid w:val="00454538"/>
    <w:rsid w:val="00454718"/>
    <w:rsid w:val="00454738"/>
    <w:rsid w:val="0045473D"/>
    <w:rsid w:val="004547B2"/>
    <w:rsid w:val="004547BF"/>
    <w:rsid w:val="0045488E"/>
    <w:rsid w:val="00454928"/>
    <w:rsid w:val="00454953"/>
    <w:rsid w:val="00454A74"/>
    <w:rsid w:val="00454C59"/>
    <w:rsid w:val="00454C82"/>
    <w:rsid w:val="00454D49"/>
    <w:rsid w:val="00454D4A"/>
    <w:rsid w:val="00454E01"/>
    <w:rsid w:val="00454E21"/>
    <w:rsid w:val="00454E35"/>
    <w:rsid w:val="00454ED0"/>
    <w:rsid w:val="00454F58"/>
    <w:rsid w:val="00454F91"/>
    <w:rsid w:val="0045500B"/>
    <w:rsid w:val="004550E2"/>
    <w:rsid w:val="0045516F"/>
    <w:rsid w:val="00455188"/>
    <w:rsid w:val="00455306"/>
    <w:rsid w:val="00455316"/>
    <w:rsid w:val="0045541C"/>
    <w:rsid w:val="00455486"/>
    <w:rsid w:val="004554AD"/>
    <w:rsid w:val="004555AE"/>
    <w:rsid w:val="004555CF"/>
    <w:rsid w:val="0045562F"/>
    <w:rsid w:val="0045564E"/>
    <w:rsid w:val="00455675"/>
    <w:rsid w:val="0045570C"/>
    <w:rsid w:val="004558AD"/>
    <w:rsid w:val="004558D5"/>
    <w:rsid w:val="00455967"/>
    <w:rsid w:val="004559CE"/>
    <w:rsid w:val="00455A47"/>
    <w:rsid w:val="00455A6A"/>
    <w:rsid w:val="00455B05"/>
    <w:rsid w:val="00455BFD"/>
    <w:rsid w:val="00455C23"/>
    <w:rsid w:val="00455C51"/>
    <w:rsid w:val="00455D8C"/>
    <w:rsid w:val="00455DA6"/>
    <w:rsid w:val="00455DFD"/>
    <w:rsid w:val="00455E87"/>
    <w:rsid w:val="00455EFE"/>
    <w:rsid w:val="00455FCF"/>
    <w:rsid w:val="00456028"/>
    <w:rsid w:val="004560E6"/>
    <w:rsid w:val="004560F7"/>
    <w:rsid w:val="004561B5"/>
    <w:rsid w:val="0045620C"/>
    <w:rsid w:val="00456213"/>
    <w:rsid w:val="00456258"/>
    <w:rsid w:val="0045631D"/>
    <w:rsid w:val="004563FA"/>
    <w:rsid w:val="0045643F"/>
    <w:rsid w:val="004564CD"/>
    <w:rsid w:val="0045666B"/>
    <w:rsid w:val="0045669B"/>
    <w:rsid w:val="004566AE"/>
    <w:rsid w:val="004566F6"/>
    <w:rsid w:val="00456774"/>
    <w:rsid w:val="004567DC"/>
    <w:rsid w:val="0045683D"/>
    <w:rsid w:val="004568E7"/>
    <w:rsid w:val="004569F2"/>
    <w:rsid w:val="00456A8F"/>
    <w:rsid w:val="00456BAE"/>
    <w:rsid w:val="00456C36"/>
    <w:rsid w:val="00456CB3"/>
    <w:rsid w:val="00456D59"/>
    <w:rsid w:val="00456DB6"/>
    <w:rsid w:val="00456E11"/>
    <w:rsid w:val="00456E13"/>
    <w:rsid w:val="00456E5C"/>
    <w:rsid w:val="00456EF3"/>
    <w:rsid w:val="00456F3F"/>
    <w:rsid w:val="00456FA1"/>
    <w:rsid w:val="00456FD3"/>
    <w:rsid w:val="004571A4"/>
    <w:rsid w:val="004571D6"/>
    <w:rsid w:val="0045723A"/>
    <w:rsid w:val="00457422"/>
    <w:rsid w:val="004574BB"/>
    <w:rsid w:val="004574C4"/>
    <w:rsid w:val="004574CB"/>
    <w:rsid w:val="0045752C"/>
    <w:rsid w:val="0045757A"/>
    <w:rsid w:val="0045763D"/>
    <w:rsid w:val="004577E4"/>
    <w:rsid w:val="00457831"/>
    <w:rsid w:val="00457893"/>
    <w:rsid w:val="004578AF"/>
    <w:rsid w:val="00457942"/>
    <w:rsid w:val="00457A78"/>
    <w:rsid w:val="00457A84"/>
    <w:rsid w:val="00457A88"/>
    <w:rsid w:val="00457AC3"/>
    <w:rsid w:val="00457AEC"/>
    <w:rsid w:val="00457BDD"/>
    <w:rsid w:val="00457C5E"/>
    <w:rsid w:val="00457CA0"/>
    <w:rsid w:val="00457CD2"/>
    <w:rsid w:val="00457E83"/>
    <w:rsid w:val="00457E91"/>
    <w:rsid w:val="00457E98"/>
    <w:rsid w:val="00457EAC"/>
    <w:rsid w:val="00457F1D"/>
    <w:rsid w:val="00457F4C"/>
    <w:rsid w:val="00457F73"/>
    <w:rsid w:val="0046003A"/>
    <w:rsid w:val="004600D5"/>
    <w:rsid w:val="004600D9"/>
    <w:rsid w:val="0046017C"/>
    <w:rsid w:val="004601C9"/>
    <w:rsid w:val="004601DA"/>
    <w:rsid w:val="00460206"/>
    <w:rsid w:val="0046027C"/>
    <w:rsid w:val="00460515"/>
    <w:rsid w:val="00460561"/>
    <w:rsid w:val="0046058F"/>
    <w:rsid w:val="004605B2"/>
    <w:rsid w:val="004605FD"/>
    <w:rsid w:val="0046065F"/>
    <w:rsid w:val="004606D0"/>
    <w:rsid w:val="004606F3"/>
    <w:rsid w:val="00460712"/>
    <w:rsid w:val="0046079F"/>
    <w:rsid w:val="004607C5"/>
    <w:rsid w:val="004607E9"/>
    <w:rsid w:val="004608F1"/>
    <w:rsid w:val="0046096C"/>
    <w:rsid w:val="00460975"/>
    <w:rsid w:val="00460A8F"/>
    <w:rsid w:val="00460AB0"/>
    <w:rsid w:val="00460CFC"/>
    <w:rsid w:val="00460DE2"/>
    <w:rsid w:val="00460E1A"/>
    <w:rsid w:val="00460ED6"/>
    <w:rsid w:val="00460ED8"/>
    <w:rsid w:val="00460F0D"/>
    <w:rsid w:val="00460F2C"/>
    <w:rsid w:val="00461020"/>
    <w:rsid w:val="0046102E"/>
    <w:rsid w:val="004610D9"/>
    <w:rsid w:val="0046122F"/>
    <w:rsid w:val="0046129A"/>
    <w:rsid w:val="004612B1"/>
    <w:rsid w:val="00461453"/>
    <w:rsid w:val="0046152B"/>
    <w:rsid w:val="00461533"/>
    <w:rsid w:val="00461738"/>
    <w:rsid w:val="00461764"/>
    <w:rsid w:val="004617C3"/>
    <w:rsid w:val="004617F4"/>
    <w:rsid w:val="00461803"/>
    <w:rsid w:val="004618CC"/>
    <w:rsid w:val="004618D8"/>
    <w:rsid w:val="004618F0"/>
    <w:rsid w:val="00461983"/>
    <w:rsid w:val="00461A5D"/>
    <w:rsid w:val="00461B58"/>
    <w:rsid w:val="00461B7E"/>
    <w:rsid w:val="00461C4A"/>
    <w:rsid w:val="00461C65"/>
    <w:rsid w:val="00461CC9"/>
    <w:rsid w:val="00461D1A"/>
    <w:rsid w:val="00461D6C"/>
    <w:rsid w:val="00461DD3"/>
    <w:rsid w:val="00461DDA"/>
    <w:rsid w:val="00461E2F"/>
    <w:rsid w:val="00461E53"/>
    <w:rsid w:val="00461E7C"/>
    <w:rsid w:val="00461E92"/>
    <w:rsid w:val="00461EC7"/>
    <w:rsid w:val="00461FAE"/>
    <w:rsid w:val="00461FE1"/>
    <w:rsid w:val="0046208C"/>
    <w:rsid w:val="004620F8"/>
    <w:rsid w:val="00462138"/>
    <w:rsid w:val="0046223D"/>
    <w:rsid w:val="004622B9"/>
    <w:rsid w:val="00462306"/>
    <w:rsid w:val="00462329"/>
    <w:rsid w:val="0046243A"/>
    <w:rsid w:val="00462550"/>
    <w:rsid w:val="00462590"/>
    <w:rsid w:val="004625E5"/>
    <w:rsid w:val="00462665"/>
    <w:rsid w:val="00462672"/>
    <w:rsid w:val="0046272F"/>
    <w:rsid w:val="004627A2"/>
    <w:rsid w:val="0046285D"/>
    <w:rsid w:val="004628F4"/>
    <w:rsid w:val="004629B3"/>
    <w:rsid w:val="00462ADB"/>
    <w:rsid w:val="00462BAA"/>
    <w:rsid w:val="00462BDD"/>
    <w:rsid w:val="00462BE4"/>
    <w:rsid w:val="00462BE7"/>
    <w:rsid w:val="00462C41"/>
    <w:rsid w:val="00462C5A"/>
    <w:rsid w:val="00462D63"/>
    <w:rsid w:val="00462E10"/>
    <w:rsid w:val="00462EA3"/>
    <w:rsid w:val="00462F0E"/>
    <w:rsid w:val="00462F51"/>
    <w:rsid w:val="00462F90"/>
    <w:rsid w:val="00462F94"/>
    <w:rsid w:val="00462FD9"/>
    <w:rsid w:val="0046307C"/>
    <w:rsid w:val="004632D8"/>
    <w:rsid w:val="004633A1"/>
    <w:rsid w:val="00463403"/>
    <w:rsid w:val="0046349C"/>
    <w:rsid w:val="0046353E"/>
    <w:rsid w:val="004635A8"/>
    <w:rsid w:val="004635F3"/>
    <w:rsid w:val="00463608"/>
    <w:rsid w:val="0046366A"/>
    <w:rsid w:val="004637B9"/>
    <w:rsid w:val="004637D6"/>
    <w:rsid w:val="00463820"/>
    <w:rsid w:val="0046387A"/>
    <w:rsid w:val="0046388D"/>
    <w:rsid w:val="004638CE"/>
    <w:rsid w:val="00463900"/>
    <w:rsid w:val="0046390F"/>
    <w:rsid w:val="00463936"/>
    <w:rsid w:val="00463A24"/>
    <w:rsid w:val="00463A7B"/>
    <w:rsid w:val="00463A86"/>
    <w:rsid w:val="00463AD6"/>
    <w:rsid w:val="00463B12"/>
    <w:rsid w:val="00463B2C"/>
    <w:rsid w:val="00463B91"/>
    <w:rsid w:val="00463B93"/>
    <w:rsid w:val="00463C0D"/>
    <w:rsid w:val="00463C27"/>
    <w:rsid w:val="00463D09"/>
    <w:rsid w:val="00463DF8"/>
    <w:rsid w:val="00463E44"/>
    <w:rsid w:val="00463EA3"/>
    <w:rsid w:val="00463FD7"/>
    <w:rsid w:val="00464018"/>
    <w:rsid w:val="0046402E"/>
    <w:rsid w:val="004640AC"/>
    <w:rsid w:val="004640F1"/>
    <w:rsid w:val="004641BA"/>
    <w:rsid w:val="00464233"/>
    <w:rsid w:val="00464244"/>
    <w:rsid w:val="00464253"/>
    <w:rsid w:val="00464431"/>
    <w:rsid w:val="0046444B"/>
    <w:rsid w:val="004644A5"/>
    <w:rsid w:val="004645CD"/>
    <w:rsid w:val="0046461F"/>
    <w:rsid w:val="0046465C"/>
    <w:rsid w:val="00464671"/>
    <w:rsid w:val="0046468D"/>
    <w:rsid w:val="00464720"/>
    <w:rsid w:val="00464752"/>
    <w:rsid w:val="004647F9"/>
    <w:rsid w:val="00464849"/>
    <w:rsid w:val="0046499D"/>
    <w:rsid w:val="004649C8"/>
    <w:rsid w:val="00464A00"/>
    <w:rsid w:val="00464A66"/>
    <w:rsid w:val="00464A87"/>
    <w:rsid w:val="00464B24"/>
    <w:rsid w:val="00464B99"/>
    <w:rsid w:val="00464C04"/>
    <w:rsid w:val="00464CDB"/>
    <w:rsid w:val="00464DB2"/>
    <w:rsid w:val="00464EE9"/>
    <w:rsid w:val="00464EFA"/>
    <w:rsid w:val="00465097"/>
    <w:rsid w:val="004651B3"/>
    <w:rsid w:val="004651EE"/>
    <w:rsid w:val="004652AA"/>
    <w:rsid w:val="0046539E"/>
    <w:rsid w:val="0046547B"/>
    <w:rsid w:val="00465486"/>
    <w:rsid w:val="004655FD"/>
    <w:rsid w:val="0046563A"/>
    <w:rsid w:val="00465653"/>
    <w:rsid w:val="004656A4"/>
    <w:rsid w:val="004656BF"/>
    <w:rsid w:val="0046588C"/>
    <w:rsid w:val="004658AD"/>
    <w:rsid w:val="004658C8"/>
    <w:rsid w:val="00465AA5"/>
    <w:rsid w:val="00465B65"/>
    <w:rsid w:val="00465BCC"/>
    <w:rsid w:val="00465C5F"/>
    <w:rsid w:val="00465CD9"/>
    <w:rsid w:val="00465D59"/>
    <w:rsid w:val="00465EF4"/>
    <w:rsid w:val="00465F0A"/>
    <w:rsid w:val="00465F41"/>
    <w:rsid w:val="00465F6F"/>
    <w:rsid w:val="00465FAE"/>
    <w:rsid w:val="00466007"/>
    <w:rsid w:val="00466022"/>
    <w:rsid w:val="00466065"/>
    <w:rsid w:val="004660AB"/>
    <w:rsid w:val="00466123"/>
    <w:rsid w:val="00466130"/>
    <w:rsid w:val="004661C4"/>
    <w:rsid w:val="00466240"/>
    <w:rsid w:val="00466259"/>
    <w:rsid w:val="004662A2"/>
    <w:rsid w:val="004662EF"/>
    <w:rsid w:val="00466400"/>
    <w:rsid w:val="00466421"/>
    <w:rsid w:val="00466484"/>
    <w:rsid w:val="004664E3"/>
    <w:rsid w:val="004665B3"/>
    <w:rsid w:val="004665BE"/>
    <w:rsid w:val="00466634"/>
    <w:rsid w:val="00466644"/>
    <w:rsid w:val="00466738"/>
    <w:rsid w:val="0046675B"/>
    <w:rsid w:val="00466772"/>
    <w:rsid w:val="0046677F"/>
    <w:rsid w:val="004667B1"/>
    <w:rsid w:val="00466913"/>
    <w:rsid w:val="00466AEA"/>
    <w:rsid w:val="00466B96"/>
    <w:rsid w:val="00466C74"/>
    <w:rsid w:val="00466D75"/>
    <w:rsid w:val="00466DC5"/>
    <w:rsid w:val="00466DEC"/>
    <w:rsid w:val="00466E05"/>
    <w:rsid w:val="00466EC8"/>
    <w:rsid w:val="00466EE0"/>
    <w:rsid w:val="00466F52"/>
    <w:rsid w:val="00466F6C"/>
    <w:rsid w:val="00466F93"/>
    <w:rsid w:val="00466FFB"/>
    <w:rsid w:val="00466FFD"/>
    <w:rsid w:val="00467034"/>
    <w:rsid w:val="00467054"/>
    <w:rsid w:val="00467062"/>
    <w:rsid w:val="0046707B"/>
    <w:rsid w:val="0046725D"/>
    <w:rsid w:val="00467343"/>
    <w:rsid w:val="0046736A"/>
    <w:rsid w:val="00467386"/>
    <w:rsid w:val="004673FC"/>
    <w:rsid w:val="00467494"/>
    <w:rsid w:val="004674C2"/>
    <w:rsid w:val="00467548"/>
    <w:rsid w:val="00467599"/>
    <w:rsid w:val="00467653"/>
    <w:rsid w:val="0046776C"/>
    <w:rsid w:val="004677AA"/>
    <w:rsid w:val="00467902"/>
    <w:rsid w:val="00467920"/>
    <w:rsid w:val="004679A2"/>
    <w:rsid w:val="004679C7"/>
    <w:rsid w:val="00467BF8"/>
    <w:rsid w:val="00467CD2"/>
    <w:rsid w:val="00467CE4"/>
    <w:rsid w:val="00467D0F"/>
    <w:rsid w:val="00467E4A"/>
    <w:rsid w:val="00467EEC"/>
    <w:rsid w:val="00467F7A"/>
    <w:rsid w:val="00467FD0"/>
    <w:rsid w:val="00467FEE"/>
    <w:rsid w:val="00470052"/>
    <w:rsid w:val="004700A1"/>
    <w:rsid w:val="0047013B"/>
    <w:rsid w:val="004701A8"/>
    <w:rsid w:val="00470219"/>
    <w:rsid w:val="00470230"/>
    <w:rsid w:val="0047023D"/>
    <w:rsid w:val="00470249"/>
    <w:rsid w:val="004702B2"/>
    <w:rsid w:val="0047044B"/>
    <w:rsid w:val="00470522"/>
    <w:rsid w:val="00470566"/>
    <w:rsid w:val="004706C3"/>
    <w:rsid w:val="004707C1"/>
    <w:rsid w:val="0047080E"/>
    <w:rsid w:val="00470891"/>
    <w:rsid w:val="00470922"/>
    <w:rsid w:val="00470944"/>
    <w:rsid w:val="0047095F"/>
    <w:rsid w:val="00470966"/>
    <w:rsid w:val="004709B2"/>
    <w:rsid w:val="004709ED"/>
    <w:rsid w:val="00470A27"/>
    <w:rsid w:val="00470BCA"/>
    <w:rsid w:val="00470DEA"/>
    <w:rsid w:val="00470E27"/>
    <w:rsid w:val="00470E29"/>
    <w:rsid w:val="00470EC8"/>
    <w:rsid w:val="00470EDE"/>
    <w:rsid w:val="00470FFD"/>
    <w:rsid w:val="00471073"/>
    <w:rsid w:val="004711CF"/>
    <w:rsid w:val="004711D3"/>
    <w:rsid w:val="004711F9"/>
    <w:rsid w:val="0047124D"/>
    <w:rsid w:val="004712F9"/>
    <w:rsid w:val="004713FD"/>
    <w:rsid w:val="00471469"/>
    <w:rsid w:val="0047146A"/>
    <w:rsid w:val="0047156D"/>
    <w:rsid w:val="0047168F"/>
    <w:rsid w:val="00471707"/>
    <w:rsid w:val="0047175D"/>
    <w:rsid w:val="004717F3"/>
    <w:rsid w:val="00471825"/>
    <w:rsid w:val="0047185B"/>
    <w:rsid w:val="0047189E"/>
    <w:rsid w:val="0047189F"/>
    <w:rsid w:val="00471903"/>
    <w:rsid w:val="004719CD"/>
    <w:rsid w:val="00471A2E"/>
    <w:rsid w:val="00471A41"/>
    <w:rsid w:val="00471A63"/>
    <w:rsid w:val="00471A90"/>
    <w:rsid w:val="00471AC3"/>
    <w:rsid w:val="00471ACA"/>
    <w:rsid w:val="00471B5F"/>
    <w:rsid w:val="00471B63"/>
    <w:rsid w:val="00471B88"/>
    <w:rsid w:val="00471BB8"/>
    <w:rsid w:val="00471C96"/>
    <w:rsid w:val="00471D0D"/>
    <w:rsid w:val="00471D47"/>
    <w:rsid w:val="00471D62"/>
    <w:rsid w:val="00471E0B"/>
    <w:rsid w:val="00471E6F"/>
    <w:rsid w:val="00471FD9"/>
    <w:rsid w:val="004721FE"/>
    <w:rsid w:val="00472213"/>
    <w:rsid w:val="0047226B"/>
    <w:rsid w:val="004722BC"/>
    <w:rsid w:val="0047246B"/>
    <w:rsid w:val="00472499"/>
    <w:rsid w:val="00472534"/>
    <w:rsid w:val="0047262D"/>
    <w:rsid w:val="0047265E"/>
    <w:rsid w:val="00472686"/>
    <w:rsid w:val="0047273B"/>
    <w:rsid w:val="004727FE"/>
    <w:rsid w:val="0047286B"/>
    <w:rsid w:val="00472973"/>
    <w:rsid w:val="00472995"/>
    <w:rsid w:val="00472BEA"/>
    <w:rsid w:val="00472BF5"/>
    <w:rsid w:val="00472C33"/>
    <w:rsid w:val="00472C39"/>
    <w:rsid w:val="00472C4C"/>
    <w:rsid w:val="00472C94"/>
    <w:rsid w:val="00472D4F"/>
    <w:rsid w:val="00472E8D"/>
    <w:rsid w:val="00473074"/>
    <w:rsid w:val="0047314B"/>
    <w:rsid w:val="004732AD"/>
    <w:rsid w:val="0047335B"/>
    <w:rsid w:val="00473391"/>
    <w:rsid w:val="00473463"/>
    <w:rsid w:val="0047347B"/>
    <w:rsid w:val="004734BF"/>
    <w:rsid w:val="004734EE"/>
    <w:rsid w:val="004734EF"/>
    <w:rsid w:val="00473515"/>
    <w:rsid w:val="0047351B"/>
    <w:rsid w:val="0047355C"/>
    <w:rsid w:val="00473573"/>
    <w:rsid w:val="0047361A"/>
    <w:rsid w:val="00473661"/>
    <w:rsid w:val="00473682"/>
    <w:rsid w:val="00473772"/>
    <w:rsid w:val="004737AC"/>
    <w:rsid w:val="004737E0"/>
    <w:rsid w:val="00473962"/>
    <w:rsid w:val="004739BE"/>
    <w:rsid w:val="00473B33"/>
    <w:rsid w:val="00473C3A"/>
    <w:rsid w:val="00473E28"/>
    <w:rsid w:val="00473E6B"/>
    <w:rsid w:val="00473EDB"/>
    <w:rsid w:val="00473EE4"/>
    <w:rsid w:val="00473F6E"/>
    <w:rsid w:val="00473FEE"/>
    <w:rsid w:val="004741A5"/>
    <w:rsid w:val="004741B7"/>
    <w:rsid w:val="004741D8"/>
    <w:rsid w:val="00474247"/>
    <w:rsid w:val="0047424D"/>
    <w:rsid w:val="00474395"/>
    <w:rsid w:val="0047455C"/>
    <w:rsid w:val="0047463C"/>
    <w:rsid w:val="00474645"/>
    <w:rsid w:val="00474735"/>
    <w:rsid w:val="0047473D"/>
    <w:rsid w:val="004748E1"/>
    <w:rsid w:val="004748F9"/>
    <w:rsid w:val="00474928"/>
    <w:rsid w:val="00474990"/>
    <w:rsid w:val="00474A05"/>
    <w:rsid w:val="00474AB0"/>
    <w:rsid w:val="00474B4B"/>
    <w:rsid w:val="00474B8C"/>
    <w:rsid w:val="00474BC8"/>
    <w:rsid w:val="00474C53"/>
    <w:rsid w:val="00474CA6"/>
    <w:rsid w:val="00474D6C"/>
    <w:rsid w:val="00474E89"/>
    <w:rsid w:val="00474ED5"/>
    <w:rsid w:val="00474EFD"/>
    <w:rsid w:val="00474F6C"/>
    <w:rsid w:val="0047507B"/>
    <w:rsid w:val="00475085"/>
    <w:rsid w:val="0047510C"/>
    <w:rsid w:val="00475139"/>
    <w:rsid w:val="00475152"/>
    <w:rsid w:val="004751BC"/>
    <w:rsid w:val="004751E6"/>
    <w:rsid w:val="004752B9"/>
    <w:rsid w:val="004752D2"/>
    <w:rsid w:val="004753D7"/>
    <w:rsid w:val="0047558B"/>
    <w:rsid w:val="00475605"/>
    <w:rsid w:val="00475678"/>
    <w:rsid w:val="0047569D"/>
    <w:rsid w:val="00475726"/>
    <w:rsid w:val="0047576E"/>
    <w:rsid w:val="004758B1"/>
    <w:rsid w:val="004758D6"/>
    <w:rsid w:val="004759B1"/>
    <w:rsid w:val="00475A09"/>
    <w:rsid w:val="00475A45"/>
    <w:rsid w:val="00475A67"/>
    <w:rsid w:val="00475C24"/>
    <w:rsid w:val="00475C34"/>
    <w:rsid w:val="00475D02"/>
    <w:rsid w:val="00475D0B"/>
    <w:rsid w:val="00475D37"/>
    <w:rsid w:val="00475D8C"/>
    <w:rsid w:val="00475F48"/>
    <w:rsid w:val="00475F79"/>
    <w:rsid w:val="00475FCE"/>
    <w:rsid w:val="00475FD5"/>
    <w:rsid w:val="00475FE7"/>
    <w:rsid w:val="00476083"/>
    <w:rsid w:val="00476088"/>
    <w:rsid w:val="004761B5"/>
    <w:rsid w:val="0047632B"/>
    <w:rsid w:val="00476498"/>
    <w:rsid w:val="00476520"/>
    <w:rsid w:val="00476558"/>
    <w:rsid w:val="0047663D"/>
    <w:rsid w:val="00476711"/>
    <w:rsid w:val="00476717"/>
    <w:rsid w:val="0047671C"/>
    <w:rsid w:val="00476777"/>
    <w:rsid w:val="00476811"/>
    <w:rsid w:val="0047686A"/>
    <w:rsid w:val="00476945"/>
    <w:rsid w:val="00476A3A"/>
    <w:rsid w:val="00476ADE"/>
    <w:rsid w:val="00476B60"/>
    <w:rsid w:val="00476C1F"/>
    <w:rsid w:val="00476CF6"/>
    <w:rsid w:val="00476D27"/>
    <w:rsid w:val="00476E02"/>
    <w:rsid w:val="00476E40"/>
    <w:rsid w:val="00476EC1"/>
    <w:rsid w:val="00477060"/>
    <w:rsid w:val="0047711A"/>
    <w:rsid w:val="0047717D"/>
    <w:rsid w:val="004771C3"/>
    <w:rsid w:val="004771F8"/>
    <w:rsid w:val="0047732B"/>
    <w:rsid w:val="00477390"/>
    <w:rsid w:val="004773C4"/>
    <w:rsid w:val="00477577"/>
    <w:rsid w:val="00477635"/>
    <w:rsid w:val="0047773F"/>
    <w:rsid w:val="00477746"/>
    <w:rsid w:val="0047780F"/>
    <w:rsid w:val="00477869"/>
    <w:rsid w:val="00477AA8"/>
    <w:rsid w:val="00477AAB"/>
    <w:rsid w:val="00477B19"/>
    <w:rsid w:val="00477B67"/>
    <w:rsid w:val="00477C6B"/>
    <w:rsid w:val="00477DB7"/>
    <w:rsid w:val="00477E39"/>
    <w:rsid w:val="00477E3C"/>
    <w:rsid w:val="00477E94"/>
    <w:rsid w:val="00477F2D"/>
    <w:rsid w:val="00477F2F"/>
    <w:rsid w:val="004801EA"/>
    <w:rsid w:val="00480263"/>
    <w:rsid w:val="004802F7"/>
    <w:rsid w:val="00480308"/>
    <w:rsid w:val="0048038D"/>
    <w:rsid w:val="0048039A"/>
    <w:rsid w:val="004803F0"/>
    <w:rsid w:val="00480481"/>
    <w:rsid w:val="004805C8"/>
    <w:rsid w:val="00480623"/>
    <w:rsid w:val="00480638"/>
    <w:rsid w:val="00480723"/>
    <w:rsid w:val="0048072E"/>
    <w:rsid w:val="0048084F"/>
    <w:rsid w:val="004808C4"/>
    <w:rsid w:val="00480905"/>
    <w:rsid w:val="0048098E"/>
    <w:rsid w:val="00480A45"/>
    <w:rsid w:val="00480B0D"/>
    <w:rsid w:val="00480BC0"/>
    <w:rsid w:val="00480BF3"/>
    <w:rsid w:val="00480CEC"/>
    <w:rsid w:val="00480E0C"/>
    <w:rsid w:val="00480E21"/>
    <w:rsid w:val="00480E9F"/>
    <w:rsid w:val="00480FCF"/>
    <w:rsid w:val="00481080"/>
    <w:rsid w:val="00481169"/>
    <w:rsid w:val="00481286"/>
    <w:rsid w:val="004812D5"/>
    <w:rsid w:val="00481313"/>
    <w:rsid w:val="00481314"/>
    <w:rsid w:val="004813B9"/>
    <w:rsid w:val="00481427"/>
    <w:rsid w:val="00481578"/>
    <w:rsid w:val="00481694"/>
    <w:rsid w:val="0048170A"/>
    <w:rsid w:val="00481771"/>
    <w:rsid w:val="0048186C"/>
    <w:rsid w:val="00481879"/>
    <w:rsid w:val="004819C1"/>
    <w:rsid w:val="00481A04"/>
    <w:rsid w:val="00481A62"/>
    <w:rsid w:val="00481AC9"/>
    <w:rsid w:val="00481B0A"/>
    <w:rsid w:val="00481CBF"/>
    <w:rsid w:val="00481CC9"/>
    <w:rsid w:val="00481D02"/>
    <w:rsid w:val="00481DC3"/>
    <w:rsid w:val="00481DDA"/>
    <w:rsid w:val="00481E81"/>
    <w:rsid w:val="00481EB0"/>
    <w:rsid w:val="00482072"/>
    <w:rsid w:val="004820A2"/>
    <w:rsid w:val="004820BA"/>
    <w:rsid w:val="004821BB"/>
    <w:rsid w:val="00482201"/>
    <w:rsid w:val="00482254"/>
    <w:rsid w:val="0048236B"/>
    <w:rsid w:val="0048236E"/>
    <w:rsid w:val="004823FE"/>
    <w:rsid w:val="0048249F"/>
    <w:rsid w:val="00482542"/>
    <w:rsid w:val="0048255F"/>
    <w:rsid w:val="00482560"/>
    <w:rsid w:val="00482583"/>
    <w:rsid w:val="004825D7"/>
    <w:rsid w:val="00482666"/>
    <w:rsid w:val="004826F1"/>
    <w:rsid w:val="00482710"/>
    <w:rsid w:val="0048275B"/>
    <w:rsid w:val="00482C44"/>
    <w:rsid w:val="00482DF6"/>
    <w:rsid w:val="00482E5F"/>
    <w:rsid w:val="00482EFD"/>
    <w:rsid w:val="00482F8F"/>
    <w:rsid w:val="00483143"/>
    <w:rsid w:val="0048317F"/>
    <w:rsid w:val="004831AD"/>
    <w:rsid w:val="004832DA"/>
    <w:rsid w:val="00483385"/>
    <w:rsid w:val="00483401"/>
    <w:rsid w:val="0048341B"/>
    <w:rsid w:val="004834CD"/>
    <w:rsid w:val="004834F1"/>
    <w:rsid w:val="00483521"/>
    <w:rsid w:val="00483648"/>
    <w:rsid w:val="0048378F"/>
    <w:rsid w:val="00483853"/>
    <w:rsid w:val="00483866"/>
    <w:rsid w:val="00483947"/>
    <w:rsid w:val="00483951"/>
    <w:rsid w:val="004839B7"/>
    <w:rsid w:val="004839F7"/>
    <w:rsid w:val="00483AA9"/>
    <w:rsid w:val="00483AF8"/>
    <w:rsid w:val="00483B02"/>
    <w:rsid w:val="00483B03"/>
    <w:rsid w:val="00483B2B"/>
    <w:rsid w:val="00483B4A"/>
    <w:rsid w:val="00483B57"/>
    <w:rsid w:val="00483DB8"/>
    <w:rsid w:val="00483E2C"/>
    <w:rsid w:val="00483F2A"/>
    <w:rsid w:val="00483F63"/>
    <w:rsid w:val="00484016"/>
    <w:rsid w:val="00484028"/>
    <w:rsid w:val="004840E4"/>
    <w:rsid w:val="004840F2"/>
    <w:rsid w:val="004841DD"/>
    <w:rsid w:val="004841FD"/>
    <w:rsid w:val="00484273"/>
    <w:rsid w:val="0048429B"/>
    <w:rsid w:val="004842E5"/>
    <w:rsid w:val="00484311"/>
    <w:rsid w:val="004843C9"/>
    <w:rsid w:val="004843FA"/>
    <w:rsid w:val="0048444B"/>
    <w:rsid w:val="0048445B"/>
    <w:rsid w:val="004844DC"/>
    <w:rsid w:val="00484526"/>
    <w:rsid w:val="0048454E"/>
    <w:rsid w:val="004845FB"/>
    <w:rsid w:val="00484772"/>
    <w:rsid w:val="004847AD"/>
    <w:rsid w:val="00484810"/>
    <w:rsid w:val="0048489A"/>
    <w:rsid w:val="004848D7"/>
    <w:rsid w:val="004848DA"/>
    <w:rsid w:val="00484967"/>
    <w:rsid w:val="004849AD"/>
    <w:rsid w:val="004849C5"/>
    <w:rsid w:val="004849FC"/>
    <w:rsid w:val="00484A4F"/>
    <w:rsid w:val="00484A9E"/>
    <w:rsid w:val="00484B55"/>
    <w:rsid w:val="00484B96"/>
    <w:rsid w:val="00484C76"/>
    <w:rsid w:val="00484D45"/>
    <w:rsid w:val="00484F4D"/>
    <w:rsid w:val="00484FCB"/>
    <w:rsid w:val="00484FD0"/>
    <w:rsid w:val="00484FDC"/>
    <w:rsid w:val="00485010"/>
    <w:rsid w:val="004850BF"/>
    <w:rsid w:val="00485119"/>
    <w:rsid w:val="00485168"/>
    <w:rsid w:val="00485173"/>
    <w:rsid w:val="00485181"/>
    <w:rsid w:val="00485196"/>
    <w:rsid w:val="0048526D"/>
    <w:rsid w:val="0048537A"/>
    <w:rsid w:val="004853CC"/>
    <w:rsid w:val="004853D4"/>
    <w:rsid w:val="004853E1"/>
    <w:rsid w:val="0048544C"/>
    <w:rsid w:val="00485555"/>
    <w:rsid w:val="00485573"/>
    <w:rsid w:val="0048560F"/>
    <w:rsid w:val="00485658"/>
    <w:rsid w:val="0048565D"/>
    <w:rsid w:val="0048568B"/>
    <w:rsid w:val="004856E6"/>
    <w:rsid w:val="004858DD"/>
    <w:rsid w:val="00485946"/>
    <w:rsid w:val="00485952"/>
    <w:rsid w:val="004859D3"/>
    <w:rsid w:val="00485A10"/>
    <w:rsid w:val="00485A20"/>
    <w:rsid w:val="00485AED"/>
    <w:rsid w:val="00485B03"/>
    <w:rsid w:val="00485B53"/>
    <w:rsid w:val="00485BC7"/>
    <w:rsid w:val="00485C83"/>
    <w:rsid w:val="00485CDD"/>
    <w:rsid w:val="00485CE3"/>
    <w:rsid w:val="00485DF6"/>
    <w:rsid w:val="00485E87"/>
    <w:rsid w:val="00485EBC"/>
    <w:rsid w:val="00485F75"/>
    <w:rsid w:val="00485FCC"/>
    <w:rsid w:val="00486098"/>
    <w:rsid w:val="00486166"/>
    <w:rsid w:val="004861BE"/>
    <w:rsid w:val="00486212"/>
    <w:rsid w:val="004862B5"/>
    <w:rsid w:val="004862BC"/>
    <w:rsid w:val="0048635B"/>
    <w:rsid w:val="00486417"/>
    <w:rsid w:val="004864F4"/>
    <w:rsid w:val="0048662A"/>
    <w:rsid w:val="00486630"/>
    <w:rsid w:val="00486739"/>
    <w:rsid w:val="004867B1"/>
    <w:rsid w:val="00486845"/>
    <w:rsid w:val="004868B3"/>
    <w:rsid w:val="00486AC4"/>
    <w:rsid w:val="00486B02"/>
    <w:rsid w:val="00486B7B"/>
    <w:rsid w:val="00486BA1"/>
    <w:rsid w:val="00486BBD"/>
    <w:rsid w:val="00486C11"/>
    <w:rsid w:val="00486C26"/>
    <w:rsid w:val="00486C73"/>
    <w:rsid w:val="00486CDD"/>
    <w:rsid w:val="00486CDF"/>
    <w:rsid w:val="00486D32"/>
    <w:rsid w:val="00486E6B"/>
    <w:rsid w:val="00486E78"/>
    <w:rsid w:val="00486EDA"/>
    <w:rsid w:val="00486F9F"/>
    <w:rsid w:val="00486FD5"/>
    <w:rsid w:val="00486FF7"/>
    <w:rsid w:val="00487049"/>
    <w:rsid w:val="00487057"/>
    <w:rsid w:val="004871A0"/>
    <w:rsid w:val="0048727B"/>
    <w:rsid w:val="00487287"/>
    <w:rsid w:val="00487290"/>
    <w:rsid w:val="00487298"/>
    <w:rsid w:val="00487335"/>
    <w:rsid w:val="0048734C"/>
    <w:rsid w:val="004873C3"/>
    <w:rsid w:val="004873D1"/>
    <w:rsid w:val="00487526"/>
    <w:rsid w:val="0048763E"/>
    <w:rsid w:val="004876AF"/>
    <w:rsid w:val="0048778F"/>
    <w:rsid w:val="004877F5"/>
    <w:rsid w:val="00487970"/>
    <w:rsid w:val="004879AA"/>
    <w:rsid w:val="00487AF6"/>
    <w:rsid w:val="00487AFD"/>
    <w:rsid w:val="00487C7A"/>
    <w:rsid w:val="00487CB1"/>
    <w:rsid w:val="00487CCD"/>
    <w:rsid w:val="00487E58"/>
    <w:rsid w:val="00487EB5"/>
    <w:rsid w:val="00487EC3"/>
    <w:rsid w:val="00487EED"/>
    <w:rsid w:val="00490075"/>
    <w:rsid w:val="00490090"/>
    <w:rsid w:val="00490107"/>
    <w:rsid w:val="0049015D"/>
    <w:rsid w:val="004901B0"/>
    <w:rsid w:val="0049022F"/>
    <w:rsid w:val="00490294"/>
    <w:rsid w:val="004902CD"/>
    <w:rsid w:val="004902F0"/>
    <w:rsid w:val="0049042C"/>
    <w:rsid w:val="00490463"/>
    <w:rsid w:val="004904BC"/>
    <w:rsid w:val="004904D5"/>
    <w:rsid w:val="0049051E"/>
    <w:rsid w:val="004905E3"/>
    <w:rsid w:val="004906DF"/>
    <w:rsid w:val="0049078D"/>
    <w:rsid w:val="004907AE"/>
    <w:rsid w:val="00490821"/>
    <w:rsid w:val="00490897"/>
    <w:rsid w:val="00490956"/>
    <w:rsid w:val="004909B5"/>
    <w:rsid w:val="00490A8D"/>
    <w:rsid w:val="00490AA6"/>
    <w:rsid w:val="00490AF2"/>
    <w:rsid w:val="00490BD9"/>
    <w:rsid w:val="00490CF6"/>
    <w:rsid w:val="00490DB7"/>
    <w:rsid w:val="00490E38"/>
    <w:rsid w:val="00490EDD"/>
    <w:rsid w:val="00490F11"/>
    <w:rsid w:val="00491049"/>
    <w:rsid w:val="004910C9"/>
    <w:rsid w:val="004910CF"/>
    <w:rsid w:val="00491118"/>
    <w:rsid w:val="0049117D"/>
    <w:rsid w:val="0049119D"/>
    <w:rsid w:val="004911BA"/>
    <w:rsid w:val="00491210"/>
    <w:rsid w:val="004912D7"/>
    <w:rsid w:val="00491326"/>
    <w:rsid w:val="0049139A"/>
    <w:rsid w:val="004913F1"/>
    <w:rsid w:val="004913FA"/>
    <w:rsid w:val="00491472"/>
    <w:rsid w:val="00491528"/>
    <w:rsid w:val="0049167F"/>
    <w:rsid w:val="00491700"/>
    <w:rsid w:val="00491748"/>
    <w:rsid w:val="0049179F"/>
    <w:rsid w:val="004918CA"/>
    <w:rsid w:val="0049193A"/>
    <w:rsid w:val="00491942"/>
    <w:rsid w:val="00491A56"/>
    <w:rsid w:val="00491A69"/>
    <w:rsid w:val="00491AA6"/>
    <w:rsid w:val="00491BD4"/>
    <w:rsid w:val="00491C74"/>
    <w:rsid w:val="00491CA7"/>
    <w:rsid w:val="00491CC0"/>
    <w:rsid w:val="00491CD5"/>
    <w:rsid w:val="00491D42"/>
    <w:rsid w:val="00491EC2"/>
    <w:rsid w:val="00491EC5"/>
    <w:rsid w:val="00491ECC"/>
    <w:rsid w:val="00491ECD"/>
    <w:rsid w:val="00491ED6"/>
    <w:rsid w:val="00491FF1"/>
    <w:rsid w:val="00492003"/>
    <w:rsid w:val="0049204B"/>
    <w:rsid w:val="004920F6"/>
    <w:rsid w:val="004920FD"/>
    <w:rsid w:val="00492228"/>
    <w:rsid w:val="004922C6"/>
    <w:rsid w:val="0049235B"/>
    <w:rsid w:val="004923BB"/>
    <w:rsid w:val="004924CD"/>
    <w:rsid w:val="0049257C"/>
    <w:rsid w:val="00492642"/>
    <w:rsid w:val="00492671"/>
    <w:rsid w:val="0049282F"/>
    <w:rsid w:val="00492855"/>
    <w:rsid w:val="00492906"/>
    <w:rsid w:val="00492919"/>
    <w:rsid w:val="0049298F"/>
    <w:rsid w:val="00492A6C"/>
    <w:rsid w:val="00492B1A"/>
    <w:rsid w:val="00492E82"/>
    <w:rsid w:val="00492EE7"/>
    <w:rsid w:val="00492EF5"/>
    <w:rsid w:val="00492F96"/>
    <w:rsid w:val="00492FCB"/>
    <w:rsid w:val="00492FE0"/>
    <w:rsid w:val="0049307A"/>
    <w:rsid w:val="00493080"/>
    <w:rsid w:val="004930CD"/>
    <w:rsid w:val="004931B5"/>
    <w:rsid w:val="0049321F"/>
    <w:rsid w:val="0049326A"/>
    <w:rsid w:val="00493272"/>
    <w:rsid w:val="004932B2"/>
    <w:rsid w:val="004933DD"/>
    <w:rsid w:val="004934A8"/>
    <w:rsid w:val="0049353E"/>
    <w:rsid w:val="00493563"/>
    <w:rsid w:val="00493564"/>
    <w:rsid w:val="00493665"/>
    <w:rsid w:val="0049368F"/>
    <w:rsid w:val="00493712"/>
    <w:rsid w:val="0049373B"/>
    <w:rsid w:val="00493749"/>
    <w:rsid w:val="004938B7"/>
    <w:rsid w:val="00493923"/>
    <w:rsid w:val="00493A29"/>
    <w:rsid w:val="00493AC6"/>
    <w:rsid w:val="00493B44"/>
    <w:rsid w:val="00493B47"/>
    <w:rsid w:val="00493B6D"/>
    <w:rsid w:val="00493B73"/>
    <w:rsid w:val="00493BBD"/>
    <w:rsid w:val="00493D00"/>
    <w:rsid w:val="00493E75"/>
    <w:rsid w:val="00493E8C"/>
    <w:rsid w:val="00493EEB"/>
    <w:rsid w:val="00493F4D"/>
    <w:rsid w:val="00493F8B"/>
    <w:rsid w:val="00493FDE"/>
    <w:rsid w:val="00493FEB"/>
    <w:rsid w:val="004941E6"/>
    <w:rsid w:val="00494209"/>
    <w:rsid w:val="00494315"/>
    <w:rsid w:val="00494370"/>
    <w:rsid w:val="00494417"/>
    <w:rsid w:val="004944FF"/>
    <w:rsid w:val="004945DA"/>
    <w:rsid w:val="004945ED"/>
    <w:rsid w:val="004946B1"/>
    <w:rsid w:val="004946F5"/>
    <w:rsid w:val="0049476A"/>
    <w:rsid w:val="004947C6"/>
    <w:rsid w:val="0049480E"/>
    <w:rsid w:val="0049484A"/>
    <w:rsid w:val="0049484B"/>
    <w:rsid w:val="004948A1"/>
    <w:rsid w:val="004948A7"/>
    <w:rsid w:val="004949CE"/>
    <w:rsid w:val="004949D0"/>
    <w:rsid w:val="004949D6"/>
    <w:rsid w:val="004949D8"/>
    <w:rsid w:val="00494A9E"/>
    <w:rsid w:val="00494AAD"/>
    <w:rsid w:val="00494B88"/>
    <w:rsid w:val="00494B89"/>
    <w:rsid w:val="00494BB8"/>
    <w:rsid w:val="00494C9A"/>
    <w:rsid w:val="00494D27"/>
    <w:rsid w:val="00494D50"/>
    <w:rsid w:val="00494DD2"/>
    <w:rsid w:val="00494DFD"/>
    <w:rsid w:val="00494E2B"/>
    <w:rsid w:val="00494ED8"/>
    <w:rsid w:val="00494F1D"/>
    <w:rsid w:val="00494FBC"/>
    <w:rsid w:val="0049502F"/>
    <w:rsid w:val="0049519E"/>
    <w:rsid w:val="004951B8"/>
    <w:rsid w:val="00495286"/>
    <w:rsid w:val="004952D1"/>
    <w:rsid w:val="004952FD"/>
    <w:rsid w:val="004953D0"/>
    <w:rsid w:val="00495451"/>
    <w:rsid w:val="004954B6"/>
    <w:rsid w:val="004954F5"/>
    <w:rsid w:val="00495619"/>
    <w:rsid w:val="00495643"/>
    <w:rsid w:val="00495688"/>
    <w:rsid w:val="004956C6"/>
    <w:rsid w:val="0049570D"/>
    <w:rsid w:val="004957CE"/>
    <w:rsid w:val="004957DD"/>
    <w:rsid w:val="0049586E"/>
    <w:rsid w:val="004958BD"/>
    <w:rsid w:val="0049592F"/>
    <w:rsid w:val="004959C1"/>
    <w:rsid w:val="00495A94"/>
    <w:rsid w:val="00495AC7"/>
    <w:rsid w:val="00495BB3"/>
    <w:rsid w:val="00495C40"/>
    <w:rsid w:val="00495C4D"/>
    <w:rsid w:val="00495C6E"/>
    <w:rsid w:val="00495C90"/>
    <w:rsid w:val="00495CE3"/>
    <w:rsid w:val="00495E2A"/>
    <w:rsid w:val="00495E5D"/>
    <w:rsid w:val="00495FE8"/>
    <w:rsid w:val="0049603B"/>
    <w:rsid w:val="004960F3"/>
    <w:rsid w:val="00496178"/>
    <w:rsid w:val="004961B7"/>
    <w:rsid w:val="00496280"/>
    <w:rsid w:val="0049638A"/>
    <w:rsid w:val="004963B9"/>
    <w:rsid w:val="004963E2"/>
    <w:rsid w:val="00496491"/>
    <w:rsid w:val="004964AE"/>
    <w:rsid w:val="004964E3"/>
    <w:rsid w:val="0049650E"/>
    <w:rsid w:val="0049662C"/>
    <w:rsid w:val="004966A7"/>
    <w:rsid w:val="004966C7"/>
    <w:rsid w:val="004966FC"/>
    <w:rsid w:val="0049676B"/>
    <w:rsid w:val="004967D4"/>
    <w:rsid w:val="004968C2"/>
    <w:rsid w:val="004968E4"/>
    <w:rsid w:val="004968F0"/>
    <w:rsid w:val="004968F9"/>
    <w:rsid w:val="0049695D"/>
    <w:rsid w:val="00496AAB"/>
    <w:rsid w:val="00496ACB"/>
    <w:rsid w:val="00496CAA"/>
    <w:rsid w:val="00496DA6"/>
    <w:rsid w:val="00496DD5"/>
    <w:rsid w:val="00496DE7"/>
    <w:rsid w:val="00496EC0"/>
    <w:rsid w:val="00496ED7"/>
    <w:rsid w:val="00496F73"/>
    <w:rsid w:val="004970F2"/>
    <w:rsid w:val="00497105"/>
    <w:rsid w:val="00497141"/>
    <w:rsid w:val="0049719E"/>
    <w:rsid w:val="004971E4"/>
    <w:rsid w:val="0049726E"/>
    <w:rsid w:val="00497363"/>
    <w:rsid w:val="0049741E"/>
    <w:rsid w:val="00497482"/>
    <w:rsid w:val="004974C7"/>
    <w:rsid w:val="0049755C"/>
    <w:rsid w:val="004975DD"/>
    <w:rsid w:val="00497638"/>
    <w:rsid w:val="0049781D"/>
    <w:rsid w:val="004978B7"/>
    <w:rsid w:val="004978C8"/>
    <w:rsid w:val="004978F4"/>
    <w:rsid w:val="00497994"/>
    <w:rsid w:val="004979FA"/>
    <w:rsid w:val="00497A8B"/>
    <w:rsid w:val="00497AEF"/>
    <w:rsid w:val="00497B0B"/>
    <w:rsid w:val="00497BD2"/>
    <w:rsid w:val="00497C6C"/>
    <w:rsid w:val="00497CFB"/>
    <w:rsid w:val="00497D04"/>
    <w:rsid w:val="00497D13"/>
    <w:rsid w:val="00497DFE"/>
    <w:rsid w:val="00497E5C"/>
    <w:rsid w:val="00497EF8"/>
    <w:rsid w:val="00497F94"/>
    <w:rsid w:val="00497FC6"/>
    <w:rsid w:val="004A0027"/>
    <w:rsid w:val="004A0064"/>
    <w:rsid w:val="004A00D5"/>
    <w:rsid w:val="004A01B7"/>
    <w:rsid w:val="004A023C"/>
    <w:rsid w:val="004A0313"/>
    <w:rsid w:val="004A033A"/>
    <w:rsid w:val="004A034F"/>
    <w:rsid w:val="004A039C"/>
    <w:rsid w:val="004A044F"/>
    <w:rsid w:val="004A0577"/>
    <w:rsid w:val="004A05C9"/>
    <w:rsid w:val="004A05E1"/>
    <w:rsid w:val="004A05F7"/>
    <w:rsid w:val="004A060A"/>
    <w:rsid w:val="004A06BF"/>
    <w:rsid w:val="004A07F3"/>
    <w:rsid w:val="004A0994"/>
    <w:rsid w:val="004A0C96"/>
    <w:rsid w:val="004A0CF3"/>
    <w:rsid w:val="004A0E6A"/>
    <w:rsid w:val="004A0EC8"/>
    <w:rsid w:val="004A0F11"/>
    <w:rsid w:val="004A0F7B"/>
    <w:rsid w:val="004A10AC"/>
    <w:rsid w:val="004A1125"/>
    <w:rsid w:val="004A116A"/>
    <w:rsid w:val="004A11AA"/>
    <w:rsid w:val="004A133E"/>
    <w:rsid w:val="004A138A"/>
    <w:rsid w:val="004A139A"/>
    <w:rsid w:val="004A13A4"/>
    <w:rsid w:val="004A13FE"/>
    <w:rsid w:val="004A1442"/>
    <w:rsid w:val="004A16BD"/>
    <w:rsid w:val="004A18B7"/>
    <w:rsid w:val="004A18CA"/>
    <w:rsid w:val="004A1940"/>
    <w:rsid w:val="004A19D0"/>
    <w:rsid w:val="004A19F9"/>
    <w:rsid w:val="004A1B88"/>
    <w:rsid w:val="004A1B92"/>
    <w:rsid w:val="004A1CA8"/>
    <w:rsid w:val="004A1D1D"/>
    <w:rsid w:val="004A1D70"/>
    <w:rsid w:val="004A1EBA"/>
    <w:rsid w:val="004A1FBB"/>
    <w:rsid w:val="004A1FBC"/>
    <w:rsid w:val="004A206C"/>
    <w:rsid w:val="004A2109"/>
    <w:rsid w:val="004A22C9"/>
    <w:rsid w:val="004A23FF"/>
    <w:rsid w:val="004A2468"/>
    <w:rsid w:val="004A24C8"/>
    <w:rsid w:val="004A24CB"/>
    <w:rsid w:val="004A25A5"/>
    <w:rsid w:val="004A25ED"/>
    <w:rsid w:val="004A262D"/>
    <w:rsid w:val="004A26DD"/>
    <w:rsid w:val="004A29AA"/>
    <w:rsid w:val="004A29BF"/>
    <w:rsid w:val="004A29D7"/>
    <w:rsid w:val="004A29E8"/>
    <w:rsid w:val="004A2A3B"/>
    <w:rsid w:val="004A2A47"/>
    <w:rsid w:val="004A2A99"/>
    <w:rsid w:val="004A2AF1"/>
    <w:rsid w:val="004A2C85"/>
    <w:rsid w:val="004A2CCD"/>
    <w:rsid w:val="004A2CDD"/>
    <w:rsid w:val="004A2D78"/>
    <w:rsid w:val="004A2D88"/>
    <w:rsid w:val="004A2D91"/>
    <w:rsid w:val="004A2DC2"/>
    <w:rsid w:val="004A2DFD"/>
    <w:rsid w:val="004A2E7E"/>
    <w:rsid w:val="004A2E97"/>
    <w:rsid w:val="004A2FD9"/>
    <w:rsid w:val="004A30B7"/>
    <w:rsid w:val="004A30BD"/>
    <w:rsid w:val="004A3111"/>
    <w:rsid w:val="004A3125"/>
    <w:rsid w:val="004A3130"/>
    <w:rsid w:val="004A32BD"/>
    <w:rsid w:val="004A3303"/>
    <w:rsid w:val="004A3323"/>
    <w:rsid w:val="004A33CA"/>
    <w:rsid w:val="004A33DF"/>
    <w:rsid w:val="004A3436"/>
    <w:rsid w:val="004A3549"/>
    <w:rsid w:val="004A356B"/>
    <w:rsid w:val="004A361F"/>
    <w:rsid w:val="004A3754"/>
    <w:rsid w:val="004A37EC"/>
    <w:rsid w:val="004A380C"/>
    <w:rsid w:val="004A386B"/>
    <w:rsid w:val="004A3886"/>
    <w:rsid w:val="004A38CF"/>
    <w:rsid w:val="004A3A57"/>
    <w:rsid w:val="004A3AA2"/>
    <w:rsid w:val="004A3B98"/>
    <w:rsid w:val="004A3BD6"/>
    <w:rsid w:val="004A3BE6"/>
    <w:rsid w:val="004A3C7D"/>
    <w:rsid w:val="004A3D3F"/>
    <w:rsid w:val="004A3D62"/>
    <w:rsid w:val="004A3D6A"/>
    <w:rsid w:val="004A3D72"/>
    <w:rsid w:val="004A3D91"/>
    <w:rsid w:val="004A3E61"/>
    <w:rsid w:val="004A3EAA"/>
    <w:rsid w:val="004A4076"/>
    <w:rsid w:val="004A4117"/>
    <w:rsid w:val="004A4160"/>
    <w:rsid w:val="004A419A"/>
    <w:rsid w:val="004A4243"/>
    <w:rsid w:val="004A42FF"/>
    <w:rsid w:val="004A430F"/>
    <w:rsid w:val="004A4382"/>
    <w:rsid w:val="004A43B4"/>
    <w:rsid w:val="004A43D9"/>
    <w:rsid w:val="004A442F"/>
    <w:rsid w:val="004A456F"/>
    <w:rsid w:val="004A463A"/>
    <w:rsid w:val="004A46B6"/>
    <w:rsid w:val="004A46F0"/>
    <w:rsid w:val="004A46F6"/>
    <w:rsid w:val="004A472D"/>
    <w:rsid w:val="004A47C1"/>
    <w:rsid w:val="004A47C8"/>
    <w:rsid w:val="004A47E9"/>
    <w:rsid w:val="004A4983"/>
    <w:rsid w:val="004A49EE"/>
    <w:rsid w:val="004A4A6A"/>
    <w:rsid w:val="004A4A9B"/>
    <w:rsid w:val="004A4AE1"/>
    <w:rsid w:val="004A4BE0"/>
    <w:rsid w:val="004A4C20"/>
    <w:rsid w:val="004A4C78"/>
    <w:rsid w:val="004A4C8E"/>
    <w:rsid w:val="004A4CC3"/>
    <w:rsid w:val="004A4D54"/>
    <w:rsid w:val="004A4E02"/>
    <w:rsid w:val="004A4ED6"/>
    <w:rsid w:val="004A5014"/>
    <w:rsid w:val="004A5089"/>
    <w:rsid w:val="004A512E"/>
    <w:rsid w:val="004A5189"/>
    <w:rsid w:val="004A522A"/>
    <w:rsid w:val="004A528C"/>
    <w:rsid w:val="004A5304"/>
    <w:rsid w:val="004A5354"/>
    <w:rsid w:val="004A55C4"/>
    <w:rsid w:val="004A55C5"/>
    <w:rsid w:val="004A56A1"/>
    <w:rsid w:val="004A56C2"/>
    <w:rsid w:val="004A56E0"/>
    <w:rsid w:val="004A5701"/>
    <w:rsid w:val="004A5764"/>
    <w:rsid w:val="004A5777"/>
    <w:rsid w:val="004A5781"/>
    <w:rsid w:val="004A57DA"/>
    <w:rsid w:val="004A5C93"/>
    <w:rsid w:val="004A5CB6"/>
    <w:rsid w:val="004A5CF9"/>
    <w:rsid w:val="004A5D0C"/>
    <w:rsid w:val="004A5D19"/>
    <w:rsid w:val="004A5D3C"/>
    <w:rsid w:val="004A5D58"/>
    <w:rsid w:val="004A5E2C"/>
    <w:rsid w:val="004A604A"/>
    <w:rsid w:val="004A6066"/>
    <w:rsid w:val="004A60C4"/>
    <w:rsid w:val="004A6108"/>
    <w:rsid w:val="004A616F"/>
    <w:rsid w:val="004A6235"/>
    <w:rsid w:val="004A62D2"/>
    <w:rsid w:val="004A6375"/>
    <w:rsid w:val="004A642F"/>
    <w:rsid w:val="004A6490"/>
    <w:rsid w:val="004A650B"/>
    <w:rsid w:val="004A6565"/>
    <w:rsid w:val="004A659C"/>
    <w:rsid w:val="004A65E9"/>
    <w:rsid w:val="004A65FA"/>
    <w:rsid w:val="004A6619"/>
    <w:rsid w:val="004A6783"/>
    <w:rsid w:val="004A67C0"/>
    <w:rsid w:val="004A6883"/>
    <w:rsid w:val="004A6919"/>
    <w:rsid w:val="004A6A93"/>
    <w:rsid w:val="004A6BF2"/>
    <w:rsid w:val="004A6C77"/>
    <w:rsid w:val="004A6D1F"/>
    <w:rsid w:val="004A6D4D"/>
    <w:rsid w:val="004A6E98"/>
    <w:rsid w:val="004A6EE1"/>
    <w:rsid w:val="004A6EEB"/>
    <w:rsid w:val="004A6F2F"/>
    <w:rsid w:val="004A6F98"/>
    <w:rsid w:val="004A6FD4"/>
    <w:rsid w:val="004A6FEC"/>
    <w:rsid w:val="004A6FF3"/>
    <w:rsid w:val="004A7037"/>
    <w:rsid w:val="004A705C"/>
    <w:rsid w:val="004A70FE"/>
    <w:rsid w:val="004A71FF"/>
    <w:rsid w:val="004A726A"/>
    <w:rsid w:val="004A7283"/>
    <w:rsid w:val="004A7334"/>
    <w:rsid w:val="004A7357"/>
    <w:rsid w:val="004A7767"/>
    <w:rsid w:val="004A7775"/>
    <w:rsid w:val="004A77DD"/>
    <w:rsid w:val="004A7865"/>
    <w:rsid w:val="004A797D"/>
    <w:rsid w:val="004A7A08"/>
    <w:rsid w:val="004A7A1E"/>
    <w:rsid w:val="004A7A3A"/>
    <w:rsid w:val="004A7A9D"/>
    <w:rsid w:val="004A7B1C"/>
    <w:rsid w:val="004A7B28"/>
    <w:rsid w:val="004A7B98"/>
    <w:rsid w:val="004A7CB5"/>
    <w:rsid w:val="004A7CD5"/>
    <w:rsid w:val="004A7D69"/>
    <w:rsid w:val="004A7D97"/>
    <w:rsid w:val="004A7DC6"/>
    <w:rsid w:val="004A7E36"/>
    <w:rsid w:val="004A7E96"/>
    <w:rsid w:val="004A7FEA"/>
    <w:rsid w:val="004B000D"/>
    <w:rsid w:val="004B00DA"/>
    <w:rsid w:val="004B0154"/>
    <w:rsid w:val="004B01FF"/>
    <w:rsid w:val="004B0273"/>
    <w:rsid w:val="004B0326"/>
    <w:rsid w:val="004B03BD"/>
    <w:rsid w:val="004B0470"/>
    <w:rsid w:val="004B0485"/>
    <w:rsid w:val="004B05C0"/>
    <w:rsid w:val="004B06DA"/>
    <w:rsid w:val="004B09E9"/>
    <w:rsid w:val="004B0A10"/>
    <w:rsid w:val="004B0A1A"/>
    <w:rsid w:val="004B0A92"/>
    <w:rsid w:val="004B0AA5"/>
    <w:rsid w:val="004B0B09"/>
    <w:rsid w:val="004B0B90"/>
    <w:rsid w:val="004B0C49"/>
    <w:rsid w:val="004B0C62"/>
    <w:rsid w:val="004B0C8D"/>
    <w:rsid w:val="004B0D05"/>
    <w:rsid w:val="004B0D20"/>
    <w:rsid w:val="004B0DCB"/>
    <w:rsid w:val="004B0DE4"/>
    <w:rsid w:val="004B0E6A"/>
    <w:rsid w:val="004B0E6B"/>
    <w:rsid w:val="004B0E9D"/>
    <w:rsid w:val="004B0FFC"/>
    <w:rsid w:val="004B1004"/>
    <w:rsid w:val="004B1066"/>
    <w:rsid w:val="004B10C3"/>
    <w:rsid w:val="004B12E5"/>
    <w:rsid w:val="004B12EE"/>
    <w:rsid w:val="004B1363"/>
    <w:rsid w:val="004B138B"/>
    <w:rsid w:val="004B13D0"/>
    <w:rsid w:val="004B13FD"/>
    <w:rsid w:val="004B13FF"/>
    <w:rsid w:val="004B140E"/>
    <w:rsid w:val="004B1444"/>
    <w:rsid w:val="004B1455"/>
    <w:rsid w:val="004B14C2"/>
    <w:rsid w:val="004B1567"/>
    <w:rsid w:val="004B15CC"/>
    <w:rsid w:val="004B15ED"/>
    <w:rsid w:val="004B15FA"/>
    <w:rsid w:val="004B1665"/>
    <w:rsid w:val="004B1682"/>
    <w:rsid w:val="004B171F"/>
    <w:rsid w:val="004B1779"/>
    <w:rsid w:val="004B17F4"/>
    <w:rsid w:val="004B184C"/>
    <w:rsid w:val="004B185C"/>
    <w:rsid w:val="004B1877"/>
    <w:rsid w:val="004B196E"/>
    <w:rsid w:val="004B19C9"/>
    <w:rsid w:val="004B1A09"/>
    <w:rsid w:val="004B1A62"/>
    <w:rsid w:val="004B1A74"/>
    <w:rsid w:val="004B1AAA"/>
    <w:rsid w:val="004B1ACD"/>
    <w:rsid w:val="004B1BD3"/>
    <w:rsid w:val="004B1C49"/>
    <w:rsid w:val="004B1C68"/>
    <w:rsid w:val="004B1CA9"/>
    <w:rsid w:val="004B1D98"/>
    <w:rsid w:val="004B1E33"/>
    <w:rsid w:val="004B1ED0"/>
    <w:rsid w:val="004B1F73"/>
    <w:rsid w:val="004B1FA3"/>
    <w:rsid w:val="004B21DB"/>
    <w:rsid w:val="004B21E6"/>
    <w:rsid w:val="004B22CE"/>
    <w:rsid w:val="004B234D"/>
    <w:rsid w:val="004B246E"/>
    <w:rsid w:val="004B2553"/>
    <w:rsid w:val="004B25DC"/>
    <w:rsid w:val="004B268A"/>
    <w:rsid w:val="004B26D7"/>
    <w:rsid w:val="004B2717"/>
    <w:rsid w:val="004B2775"/>
    <w:rsid w:val="004B281E"/>
    <w:rsid w:val="004B286E"/>
    <w:rsid w:val="004B2874"/>
    <w:rsid w:val="004B289E"/>
    <w:rsid w:val="004B2951"/>
    <w:rsid w:val="004B29AF"/>
    <w:rsid w:val="004B29E8"/>
    <w:rsid w:val="004B2A63"/>
    <w:rsid w:val="004B2BEF"/>
    <w:rsid w:val="004B2C5E"/>
    <w:rsid w:val="004B2FC8"/>
    <w:rsid w:val="004B30E5"/>
    <w:rsid w:val="004B313A"/>
    <w:rsid w:val="004B316B"/>
    <w:rsid w:val="004B3188"/>
    <w:rsid w:val="004B320D"/>
    <w:rsid w:val="004B321A"/>
    <w:rsid w:val="004B32BB"/>
    <w:rsid w:val="004B332C"/>
    <w:rsid w:val="004B3454"/>
    <w:rsid w:val="004B3479"/>
    <w:rsid w:val="004B34B2"/>
    <w:rsid w:val="004B351C"/>
    <w:rsid w:val="004B3553"/>
    <w:rsid w:val="004B3647"/>
    <w:rsid w:val="004B3705"/>
    <w:rsid w:val="004B3911"/>
    <w:rsid w:val="004B3943"/>
    <w:rsid w:val="004B3B5F"/>
    <w:rsid w:val="004B3BA4"/>
    <w:rsid w:val="004B3BA9"/>
    <w:rsid w:val="004B3BFA"/>
    <w:rsid w:val="004B3C87"/>
    <w:rsid w:val="004B3D03"/>
    <w:rsid w:val="004B3E56"/>
    <w:rsid w:val="004B3EE2"/>
    <w:rsid w:val="004B3FBF"/>
    <w:rsid w:val="004B3FEB"/>
    <w:rsid w:val="004B40B3"/>
    <w:rsid w:val="004B4186"/>
    <w:rsid w:val="004B425D"/>
    <w:rsid w:val="004B4281"/>
    <w:rsid w:val="004B42F1"/>
    <w:rsid w:val="004B4351"/>
    <w:rsid w:val="004B4459"/>
    <w:rsid w:val="004B44AD"/>
    <w:rsid w:val="004B4504"/>
    <w:rsid w:val="004B4573"/>
    <w:rsid w:val="004B45D4"/>
    <w:rsid w:val="004B4618"/>
    <w:rsid w:val="004B4656"/>
    <w:rsid w:val="004B46B6"/>
    <w:rsid w:val="004B46FE"/>
    <w:rsid w:val="004B47AF"/>
    <w:rsid w:val="004B4811"/>
    <w:rsid w:val="004B485D"/>
    <w:rsid w:val="004B48D9"/>
    <w:rsid w:val="004B4928"/>
    <w:rsid w:val="004B49AE"/>
    <w:rsid w:val="004B49C9"/>
    <w:rsid w:val="004B49D7"/>
    <w:rsid w:val="004B49E0"/>
    <w:rsid w:val="004B4A41"/>
    <w:rsid w:val="004B4A7C"/>
    <w:rsid w:val="004B4B41"/>
    <w:rsid w:val="004B4B9E"/>
    <w:rsid w:val="004B4C93"/>
    <w:rsid w:val="004B4D7A"/>
    <w:rsid w:val="004B4DB7"/>
    <w:rsid w:val="004B4E5D"/>
    <w:rsid w:val="004B4EB1"/>
    <w:rsid w:val="004B4EC7"/>
    <w:rsid w:val="004B4F37"/>
    <w:rsid w:val="004B5133"/>
    <w:rsid w:val="004B5189"/>
    <w:rsid w:val="004B5196"/>
    <w:rsid w:val="004B523A"/>
    <w:rsid w:val="004B524E"/>
    <w:rsid w:val="004B5257"/>
    <w:rsid w:val="004B537C"/>
    <w:rsid w:val="004B5409"/>
    <w:rsid w:val="004B5423"/>
    <w:rsid w:val="004B55AE"/>
    <w:rsid w:val="004B562D"/>
    <w:rsid w:val="004B564E"/>
    <w:rsid w:val="004B5687"/>
    <w:rsid w:val="004B5773"/>
    <w:rsid w:val="004B5885"/>
    <w:rsid w:val="004B58F8"/>
    <w:rsid w:val="004B5914"/>
    <w:rsid w:val="004B5962"/>
    <w:rsid w:val="004B5ABB"/>
    <w:rsid w:val="004B5BFC"/>
    <w:rsid w:val="004B5C10"/>
    <w:rsid w:val="004B5CB5"/>
    <w:rsid w:val="004B5D18"/>
    <w:rsid w:val="004B5D97"/>
    <w:rsid w:val="004B5E09"/>
    <w:rsid w:val="004B5E82"/>
    <w:rsid w:val="004B5EB5"/>
    <w:rsid w:val="004B5EC3"/>
    <w:rsid w:val="004B5F46"/>
    <w:rsid w:val="004B606C"/>
    <w:rsid w:val="004B611C"/>
    <w:rsid w:val="004B62C6"/>
    <w:rsid w:val="004B6462"/>
    <w:rsid w:val="004B647D"/>
    <w:rsid w:val="004B6608"/>
    <w:rsid w:val="004B6725"/>
    <w:rsid w:val="004B6741"/>
    <w:rsid w:val="004B6952"/>
    <w:rsid w:val="004B69AC"/>
    <w:rsid w:val="004B6A9C"/>
    <w:rsid w:val="004B6B6B"/>
    <w:rsid w:val="004B6C45"/>
    <w:rsid w:val="004B6CD7"/>
    <w:rsid w:val="004B6CFF"/>
    <w:rsid w:val="004B6DD4"/>
    <w:rsid w:val="004B6E47"/>
    <w:rsid w:val="004B6E92"/>
    <w:rsid w:val="004B6F4D"/>
    <w:rsid w:val="004B700F"/>
    <w:rsid w:val="004B7080"/>
    <w:rsid w:val="004B70D9"/>
    <w:rsid w:val="004B72B0"/>
    <w:rsid w:val="004B72D5"/>
    <w:rsid w:val="004B72DB"/>
    <w:rsid w:val="004B72EE"/>
    <w:rsid w:val="004B7321"/>
    <w:rsid w:val="004B73AC"/>
    <w:rsid w:val="004B73B8"/>
    <w:rsid w:val="004B73C2"/>
    <w:rsid w:val="004B73F8"/>
    <w:rsid w:val="004B74C0"/>
    <w:rsid w:val="004B74D1"/>
    <w:rsid w:val="004B7664"/>
    <w:rsid w:val="004B7691"/>
    <w:rsid w:val="004B76A9"/>
    <w:rsid w:val="004B7758"/>
    <w:rsid w:val="004B7845"/>
    <w:rsid w:val="004B7854"/>
    <w:rsid w:val="004B7893"/>
    <w:rsid w:val="004B7898"/>
    <w:rsid w:val="004B791A"/>
    <w:rsid w:val="004B796A"/>
    <w:rsid w:val="004B79A3"/>
    <w:rsid w:val="004B79C7"/>
    <w:rsid w:val="004B79F3"/>
    <w:rsid w:val="004B7A8C"/>
    <w:rsid w:val="004B7A92"/>
    <w:rsid w:val="004B7CA4"/>
    <w:rsid w:val="004B7D7D"/>
    <w:rsid w:val="004B7E9C"/>
    <w:rsid w:val="004B7EDC"/>
    <w:rsid w:val="004B7F53"/>
    <w:rsid w:val="004B7FB9"/>
    <w:rsid w:val="004C007A"/>
    <w:rsid w:val="004C01C6"/>
    <w:rsid w:val="004C01E9"/>
    <w:rsid w:val="004C0288"/>
    <w:rsid w:val="004C02E8"/>
    <w:rsid w:val="004C0346"/>
    <w:rsid w:val="004C0358"/>
    <w:rsid w:val="004C0449"/>
    <w:rsid w:val="004C04B5"/>
    <w:rsid w:val="004C04E3"/>
    <w:rsid w:val="004C064C"/>
    <w:rsid w:val="004C0709"/>
    <w:rsid w:val="004C0806"/>
    <w:rsid w:val="004C0822"/>
    <w:rsid w:val="004C08AB"/>
    <w:rsid w:val="004C08B8"/>
    <w:rsid w:val="004C08C5"/>
    <w:rsid w:val="004C0948"/>
    <w:rsid w:val="004C0970"/>
    <w:rsid w:val="004C09FC"/>
    <w:rsid w:val="004C0A1D"/>
    <w:rsid w:val="004C0A4F"/>
    <w:rsid w:val="004C0A87"/>
    <w:rsid w:val="004C0ABD"/>
    <w:rsid w:val="004C0B1B"/>
    <w:rsid w:val="004C0B69"/>
    <w:rsid w:val="004C0DAE"/>
    <w:rsid w:val="004C0DCE"/>
    <w:rsid w:val="004C0E0B"/>
    <w:rsid w:val="004C0EBF"/>
    <w:rsid w:val="004C0FEE"/>
    <w:rsid w:val="004C0FFA"/>
    <w:rsid w:val="004C102B"/>
    <w:rsid w:val="004C1044"/>
    <w:rsid w:val="004C10B9"/>
    <w:rsid w:val="004C10F3"/>
    <w:rsid w:val="004C111C"/>
    <w:rsid w:val="004C111F"/>
    <w:rsid w:val="004C1137"/>
    <w:rsid w:val="004C1341"/>
    <w:rsid w:val="004C1364"/>
    <w:rsid w:val="004C145D"/>
    <w:rsid w:val="004C14B5"/>
    <w:rsid w:val="004C150E"/>
    <w:rsid w:val="004C15C7"/>
    <w:rsid w:val="004C1663"/>
    <w:rsid w:val="004C16FC"/>
    <w:rsid w:val="004C1742"/>
    <w:rsid w:val="004C17D7"/>
    <w:rsid w:val="004C17F7"/>
    <w:rsid w:val="004C1834"/>
    <w:rsid w:val="004C18B1"/>
    <w:rsid w:val="004C18FF"/>
    <w:rsid w:val="004C1900"/>
    <w:rsid w:val="004C1AFE"/>
    <w:rsid w:val="004C1B76"/>
    <w:rsid w:val="004C1C7C"/>
    <w:rsid w:val="004C1D9B"/>
    <w:rsid w:val="004C1EBB"/>
    <w:rsid w:val="004C1EFD"/>
    <w:rsid w:val="004C1F74"/>
    <w:rsid w:val="004C1FEE"/>
    <w:rsid w:val="004C2042"/>
    <w:rsid w:val="004C20F0"/>
    <w:rsid w:val="004C21AA"/>
    <w:rsid w:val="004C226D"/>
    <w:rsid w:val="004C236F"/>
    <w:rsid w:val="004C237D"/>
    <w:rsid w:val="004C237E"/>
    <w:rsid w:val="004C23C7"/>
    <w:rsid w:val="004C23D6"/>
    <w:rsid w:val="004C2450"/>
    <w:rsid w:val="004C259C"/>
    <w:rsid w:val="004C25CF"/>
    <w:rsid w:val="004C2774"/>
    <w:rsid w:val="004C28FD"/>
    <w:rsid w:val="004C2902"/>
    <w:rsid w:val="004C291A"/>
    <w:rsid w:val="004C29D7"/>
    <w:rsid w:val="004C2A29"/>
    <w:rsid w:val="004C2AB7"/>
    <w:rsid w:val="004C2B57"/>
    <w:rsid w:val="004C2BC2"/>
    <w:rsid w:val="004C2CA9"/>
    <w:rsid w:val="004C2DCC"/>
    <w:rsid w:val="004C2E46"/>
    <w:rsid w:val="004C2F77"/>
    <w:rsid w:val="004C300D"/>
    <w:rsid w:val="004C3047"/>
    <w:rsid w:val="004C3098"/>
    <w:rsid w:val="004C30FC"/>
    <w:rsid w:val="004C311B"/>
    <w:rsid w:val="004C313F"/>
    <w:rsid w:val="004C315B"/>
    <w:rsid w:val="004C31B9"/>
    <w:rsid w:val="004C3285"/>
    <w:rsid w:val="004C32A2"/>
    <w:rsid w:val="004C32BF"/>
    <w:rsid w:val="004C32C9"/>
    <w:rsid w:val="004C33AD"/>
    <w:rsid w:val="004C342C"/>
    <w:rsid w:val="004C3501"/>
    <w:rsid w:val="004C3574"/>
    <w:rsid w:val="004C35C9"/>
    <w:rsid w:val="004C361D"/>
    <w:rsid w:val="004C3681"/>
    <w:rsid w:val="004C36A8"/>
    <w:rsid w:val="004C36FD"/>
    <w:rsid w:val="004C370E"/>
    <w:rsid w:val="004C3926"/>
    <w:rsid w:val="004C3974"/>
    <w:rsid w:val="004C39F0"/>
    <w:rsid w:val="004C3A84"/>
    <w:rsid w:val="004C3A9E"/>
    <w:rsid w:val="004C3AC4"/>
    <w:rsid w:val="004C3B5A"/>
    <w:rsid w:val="004C3BBD"/>
    <w:rsid w:val="004C3CF5"/>
    <w:rsid w:val="004C3D2A"/>
    <w:rsid w:val="004C3E4C"/>
    <w:rsid w:val="004C3EC1"/>
    <w:rsid w:val="004C3F08"/>
    <w:rsid w:val="004C3FB0"/>
    <w:rsid w:val="004C3FB5"/>
    <w:rsid w:val="004C3FEA"/>
    <w:rsid w:val="004C4067"/>
    <w:rsid w:val="004C40CB"/>
    <w:rsid w:val="004C412D"/>
    <w:rsid w:val="004C41B6"/>
    <w:rsid w:val="004C4283"/>
    <w:rsid w:val="004C4322"/>
    <w:rsid w:val="004C4352"/>
    <w:rsid w:val="004C4447"/>
    <w:rsid w:val="004C44D1"/>
    <w:rsid w:val="004C44DF"/>
    <w:rsid w:val="004C4539"/>
    <w:rsid w:val="004C454E"/>
    <w:rsid w:val="004C46CC"/>
    <w:rsid w:val="004C46E6"/>
    <w:rsid w:val="004C4732"/>
    <w:rsid w:val="004C47D3"/>
    <w:rsid w:val="004C4928"/>
    <w:rsid w:val="004C4A20"/>
    <w:rsid w:val="004C4AE1"/>
    <w:rsid w:val="004C4B32"/>
    <w:rsid w:val="004C4C0D"/>
    <w:rsid w:val="004C4D31"/>
    <w:rsid w:val="004C4E05"/>
    <w:rsid w:val="004C4FA7"/>
    <w:rsid w:val="004C5110"/>
    <w:rsid w:val="004C51C9"/>
    <w:rsid w:val="004C5363"/>
    <w:rsid w:val="004C53CA"/>
    <w:rsid w:val="004C53E5"/>
    <w:rsid w:val="004C54F2"/>
    <w:rsid w:val="004C55B5"/>
    <w:rsid w:val="004C55FB"/>
    <w:rsid w:val="004C5609"/>
    <w:rsid w:val="004C5662"/>
    <w:rsid w:val="004C5686"/>
    <w:rsid w:val="004C56C8"/>
    <w:rsid w:val="004C5840"/>
    <w:rsid w:val="004C5863"/>
    <w:rsid w:val="004C5A4A"/>
    <w:rsid w:val="004C5A95"/>
    <w:rsid w:val="004C5AA6"/>
    <w:rsid w:val="004C5B43"/>
    <w:rsid w:val="004C5C5E"/>
    <w:rsid w:val="004C5CEC"/>
    <w:rsid w:val="004C5D86"/>
    <w:rsid w:val="004C5DAA"/>
    <w:rsid w:val="004C5E4C"/>
    <w:rsid w:val="004C5E62"/>
    <w:rsid w:val="004C5EBD"/>
    <w:rsid w:val="004C5EBF"/>
    <w:rsid w:val="004C6238"/>
    <w:rsid w:val="004C6240"/>
    <w:rsid w:val="004C6252"/>
    <w:rsid w:val="004C6265"/>
    <w:rsid w:val="004C638E"/>
    <w:rsid w:val="004C63BE"/>
    <w:rsid w:val="004C6426"/>
    <w:rsid w:val="004C6459"/>
    <w:rsid w:val="004C6534"/>
    <w:rsid w:val="004C6673"/>
    <w:rsid w:val="004C6705"/>
    <w:rsid w:val="004C6A39"/>
    <w:rsid w:val="004C6A50"/>
    <w:rsid w:val="004C6B42"/>
    <w:rsid w:val="004C6B7B"/>
    <w:rsid w:val="004C6BFA"/>
    <w:rsid w:val="004C6C8E"/>
    <w:rsid w:val="004C6D17"/>
    <w:rsid w:val="004C6D25"/>
    <w:rsid w:val="004C6D63"/>
    <w:rsid w:val="004C6D7B"/>
    <w:rsid w:val="004C6D81"/>
    <w:rsid w:val="004C6E30"/>
    <w:rsid w:val="004C6EF4"/>
    <w:rsid w:val="004C6F07"/>
    <w:rsid w:val="004C6F89"/>
    <w:rsid w:val="004C6FDD"/>
    <w:rsid w:val="004C7066"/>
    <w:rsid w:val="004C725F"/>
    <w:rsid w:val="004C731E"/>
    <w:rsid w:val="004C735C"/>
    <w:rsid w:val="004C73EA"/>
    <w:rsid w:val="004C7510"/>
    <w:rsid w:val="004C758F"/>
    <w:rsid w:val="004C75C3"/>
    <w:rsid w:val="004C75EB"/>
    <w:rsid w:val="004C761D"/>
    <w:rsid w:val="004C761E"/>
    <w:rsid w:val="004C76A7"/>
    <w:rsid w:val="004C76C1"/>
    <w:rsid w:val="004C76CD"/>
    <w:rsid w:val="004C770E"/>
    <w:rsid w:val="004C7764"/>
    <w:rsid w:val="004C783A"/>
    <w:rsid w:val="004C785E"/>
    <w:rsid w:val="004C793F"/>
    <w:rsid w:val="004C7982"/>
    <w:rsid w:val="004C7C01"/>
    <w:rsid w:val="004C7C1A"/>
    <w:rsid w:val="004C7C9D"/>
    <w:rsid w:val="004C7CF7"/>
    <w:rsid w:val="004C7D0F"/>
    <w:rsid w:val="004C7D3A"/>
    <w:rsid w:val="004C7D92"/>
    <w:rsid w:val="004C7DF8"/>
    <w:rsid w:val="004C7F2E"/>
    <w:rsid w:val="004C7F53"/>
    <w:rsid w:val="004C7F63"/>
    <w:rsid w:val="004D0038"/>
    <w:rsid w:val="004D006A"/>
    <w:rsid w:val="004D0132"/>
    <w:rsid w:val="004D0139"/>
    <w:rsid w:val="004D014A"/>
    <w:rsid w:val="004D0180"/>
    <w:rsid w:val="004D01FC"/>
    <w:rsid w:val="004D020C"/>
    <w:rsid w:val="004D02DE"/>
    <w:rsid w:val="004D0325"/>
    <w:rsid w:val="004D0326"/>
    <w:rsid w:val="004D03A1"/>
    <w:rsid w:val="004D05BA"/>
    <w:rsid w:val="004D05BE"/>
    <w:rsid w:val="004D0663"/>
    <w:rsid w:val="004D07A5"/>
    <w:rsid w:val="004D07BA"/>
    <w:rsid w:val="004D07F5"/>
    <w:rsid w:val="004D08D0"/>
    <w:rsid w:val="004D0ACB"/>
    <w:rsid w:val="004D0B1A"/>
    <w:rsid w:val="004D0C34"/>
    <w:rsid w:val="004D0C42"/>
    <w:rsid w:val="004D0CA6"/>
    <w:rsid w:val="004D0CBE"/>
    <w:rsid w:val="004D0D57"/>
    <w:rsid w:val="004D0ED2"/>
    <w:rsid w:val="004D0ED4"/>
    <w:rsid w:val="004D1013"/>
    <w:rsid w:val="004D1045"/>
    <w:rsid w:val="004D108E"/>
    <w:rsid w:val="004D10D7"/>
    <w:rsid w:val="004D11B5"/>
    <w:rsid w:val="004D11FB"/>
    <w:rsid w:val="004D127F"/>
    <w:rsid w:val="004D12DF"/>
    <w:rsid w:val="004D12F2"/>
    <w:rsid w:val="004D12F8"/>
    <w:rsid w:val="004D1374"/>
    <w:rsid w:val="004D1484"/>
    <w:rsid w:val="004D15C4"/>
    <w:rsid w:val="004D1637"/>
    <w:rsid w:val="004D1682"/>
    <w:rsid w:val="004D1822"/>
    <w:rsid w:val="004D184F"/>
    <w:rsid w:val="004D1876"/>
    <w:rsid w:val="004D1883"/>
    <w:rsid w:val="004D18AF"/>
    <w:rsid w:val="004D19BC"/>
    <w:rsid w:val="004D19D6"/>
    <w:rsid w:val="004D1A12"/>
    <w:rsid w:val="004D1A82"/>
    <w:rsid w:val="004D1CBE"/>
    <w:rsid w:val="004D1D36"/>
    <w:rsid w:val="004D1D4C"/>
    <w:rsid w:val="004D1DED"/>
    <w:rsid w:val="004D1FED"/>
    <w:rsid w:val="004D20AF"/>
    <w:rsid w:val="004D2136"/>
    <w:rsid w:val="004D215E"/>
    <w:rsid w:val="004D21A4"/>
    <w:rsid w:val="004D21C0"/>
    <w:rsid w:val="004D21F8"/>
    <w:rsid w:val="004D21F9"/>
    <w:rsid w:val="004D2246"/>
    <w:rsid w:val="004D2297"/>
    <w:rsid w:val="004D2523"/>
    <w:rsid w:val="004D258F"/>
    <w:rsid w:val="004D25DD"/>
    <w:rsid w:val="004D2626"/>
    <w:rsid w:val="004D2655"/>
    <w:rsid w:val="004D267E"/>
    <w:rsid w:val="004D27DE"/>
    <w:rsid w:val="004D286D"/>
    <w:rsid w:val="004D28DF"/>
    <w:rsid w:val="004D2984"/>
    <w:rsid w:val="004D2A28"/>
    <w:rsid w:val="004D2AAC"/>
    <w:rsid w:val="004D2AE9"/>
    <w:rsid w:val="004D2B55"/>
    <w:rsid w:val="004D2CD9"/>
    <w:rsid w:val="004D2D4D"/>
    <w:rsid w:val="004D2DFF"/>
    <w:rsid w:val="004D2E24"/>
    <w:rsid w:val="004D2E9B"/>
    <w:rsid w:val="004D2F6B"/>
    <w:rsid w:val="004D2FF0"/>
    <w:rsid w:val="004D3143"/>
    <w:rsid w:val="004D325D"/>
    <w:rsid w:val="004D326E"/>
    <w:rsid w:val="004D3378"/>
    <w:rsid w:val="004D339D"/>
    <w:rsid w:val="004D3415"/>
    <w:rsid w:val="004D3445"/>
    <w:rsid w:val="004D348A"/>
    <w:rsid w:val="004D3557"/>
    <w:rsid w:val="004D359E"/>
    <w:rsid w:val="004D360F"/>
    <w:rsid w:val="004D3625"/>
    <w:rsid w:val="004D3653"/>
    <w:rsid w:val="004D3662"/>
    <w:rsid w:val="004D3664"/>
    <w:rsid w:val="004D37B6"/>
    <w:rsid w:val="004D37CA"/>
    <w:rsid w:val="004D38F5"/>
    <w:rsid w:val="004D3913"/>
    <w:rsid w:val="004D3988"/>
    <w:rsid w:val="004D39D3"/>
    <w:rsid w:val="004D3A4F"/>
    <w:rsid w:val="004D3A5B"/>
    <w:rsid w:val="004D3B0E"/>
    <w:rsid w:val="004D3BBE"/>
    <w:rsid w:val="004D3C0E"/>
    <w:rsid w:val="004D3D03"/>
    <w:rsid w:val="004D3D16"/>
    <w:rsid w:val="004D3D58"/>
    <w:rsid w:val="004D3E2B"/>
    <w:rsid w:val="004D3E34"/>
    <w:rsid w:val="004D3EA8"/>
    <w:rsid w:val="004D3EB6"/>
    <w:rsid w:val="004D3F40"/>
    <w:rsid w:val="004D4012"/>
    <w:rsid w:val="004D4021"/>
    <w:rsid w:val="004D40A2"/>
    <w:rsid w:val="004D40B3"/>
    <w:rsid w:val="004D422D"/>
    <w:rsid w:val="004D423B"/>
    <w:rsid w:val="004D4320"/>
    <w:rsid w:val="004D4571"/>
    <w:rsid w:val="004D45FA"/>
    <w:rsid w:val="004D473A"/>
    <w:rsid w:val="004D4772"/>
    <w:rsid w:val="004D483A"/>
    <w:rsid w:val="004D486D"/>
    <w:rsid w:val="004D487E"/>
    <w:rsid w:val="004D4880"/>
    <w:rsid w:val="004D48B0"/>
    <w:rsid w:val="004D4969"/>
    <w:rsid w:val="004D4A21"/>
    <w:rsid w:val="004D4A30"/>
    <w:rsid w:val="004D4A65"/>
    <w:rsid w:val="004D4A68"/>
    <w:rsid w:val="004D4A90"/>
    <w:rsid w:val="004D4D13"/>
    <w:rsid w:val="004D4D56"/>
    <w:rsid w:val="004D4E7A"/>
    <w:rsid w:val="004D4F62"/>
    <w:rsid w:val="004D4F9F"/>
    <w:rsid w:val="004D4FBB"/>
    <w:rsid w:val="004D5250"/>
    <w:rsid w:val="004D5273"/>
    <w:rsid w:val="004D52BD"/>
    <w:rsid w:val="004D53AD"/>
    <w:rsid w:val="004D53C5"/>
    <w:rsid w:val="004D553D"/>
    <w:rsid w:val="004D567C"/>
    <w:rsid w:val="004D575B"/>
    <w:rsid w:val="004D582A"/>
    <w:rsid w:val="004D583A"/>
    <w:rsid w:val="004D5943"/>
    <w:rsid w:val="004D5986"/>
    <w:rsid w:val="004D5A31"/>
    <w:rsid w:val="004D5A8C"/>
    <w:rsid w:val="004D5A9D"/>
    <w:rsid w:val="004D5AF3"/>
    <w:rsid w:val="004D5BD3"/>
    <w:rsid w:val="004D5C1A"/>
    <w:rsid w:val="004D5C1F"/>
    <w:rsid w:val="004D5C23"/>
    <w:rsid w:val="004D5E04"/>
    <w:rsid w:val="004D5EFE"/>
    <w:rsid w:val="004D5F45"/>
    <w:rsid w:val="004D5FE4"/>
    <w:rsid w:val="004D6097"/>
    <w:rsid w:val="004D6264"/>
    <w:rsid w:val="004D62BC"/>
    <w:rsid w:val="004D6340"/>
    <w:rsid w:val="004D634B"/>
    <w:rsid w:val="004D63A2"/>
    <w:rsid w:val="004D6442"/>
    <w:rsid w:val="004D6478"/>
    <w:rsid w:val="004D64E7"/>
    <w:rsid w:val="004D6546"/>
    <w:rsid w:val="004D667B"/>
    <w:rsid w:val="004D66A2"/>
    <w:rsid w:val="004D66E0"/>
    <w:rsid w:val="004D6751"/>
    <w:rsid w:val="004D67ED"/>
    <w:rsid w:val="004D6816"/>
    <w:rsid w:val="004D6891"/>
    <w:rsid w:val="004D6926"/>
    <w:rsid w:val="004D698F"/>
    <w:rsid w:val="004D6A21"/>
    <w:rsid w:val="004D6ABB"/>
    <w:rsid w:val="004D6B26"/>
    <w:rsid w:val="004D6B99"/>
    <w:rsid w:val="004D6C4C"/>
    <w:rsid w:val="004D6C6F"/>
    <w:rsid w:val="004D6D98"/>
    <w:rsid w:val="004D6E37"/>
    <w:rsid w:val="004D7155"/>
    <w:rsid w:val="004D7158"/>
    <w:rsid w:val="004D7297"/>
    <w:rsid w:val="004D73C9"/>
    <w:rsid w:val="004D73CB"/>
    <w:rsid w:val="004D73D9"/>
    <w:rsid w:val="004D7509"/>
    <w:rsid w:val="004D754F"/>
    <w:rsid w:val="004D7579"/>
    <w:rsid w:val="004D7648"/>
    <w:rsid w:val="004D777C"/>
    <w:rsid w:val="004D783C"/>
    <w:rsid w:val="004D78AC"/>
    <w:rsid w:val="004D78CE"/>
    <w:rsid w:val="004D78F2"/>
    <w:rsid w:val="004D7A0C"/>
    <w:rsid w:val="004D7A9B"/>
    <w:rsid w:val="004D7AFF"/>
    <w:rsid w:val="004D7B2D"/>
    <w:rsid w:val="004D7B38"/>
    <w:rsid w:val="004D7C98"/>
    <w:rsid w:val="004D7FC5"/>
    <w:rsid w:val="004E0030"/>
    <w:rsid w:val="004E009E"/>
    <w:rsid w:val="004E00EA"/>
    <w:rsid w:val="004E012A"/>
    <w:rsid w:val="004E0136"/>
    <w:rsid w:val="004E0151"/>
    <w:rsid w:val="004E0177"/>
    <w:rsid w:val="004E0265"/>
    <w:rsid w:val="004E0307"/>
    <w:rsid w:val="004E0319"/>
    <w:rsid w:val="004E032D"/>
    <w:rsid w:val="004E0342"/>
    <w:rsid w:val="004E0384"/>
    <w:rsid w:val="004E0396"/>
    <w:rsid w:val="004E03DE"/>
    <w:rsid w:val="004E041F"/>
    <w:rsid w:val="004E04A8"/>
    <w:rsid w:val="004E050A"/>
    <w:rsid w:val="004E0517"/>
    <w:rsid w:val="004E05E0"/>
    <w:rsid w:val="004E0650"/>
    <w:rsid w:val="004E092F"/>
    <w:rsid w:val="004E0A09"/>
    <w:rsid w:val="004E0AB8"/>
    <w:rsid w:val="004E0BAD"/>
    <w:rsid w:val="004E0C0F"/>
    <w:rsid w:val="004E0C40"/>
    <w:rsid w:val="004E0C58"/>
    <w:rsid w:val="004E0CCF"/>
    <w:rsid w:val="004E0CF2"/>
    <w:rsid w:val="004E0DA0"/>
    <w:rsid w:val="004E0DEC"/>
    <w:rsid w:val="004E0EEF"/>
    <w:rsid w:val="004E0F04"/>
    <w:rsid w:val="004E0F57"/>
    <w:rsid w:val="004E0FFB"/>
    <w:rsid w:val="004E1064"/>
    <w:rsid w:val="004E1105"/>
    <w:rsid w:val="004E1125"/>
    <w:rsid w:val="004E11FE"/>
    <w:rsid w:val="004E1254"/>
    <w:rsid w:val="004E12DA"/>
    <w:rsid w:val="004E1332"/>
    <w:rsid w:val="004E13DF"/>
    <w:rsid w:val="004E144A"/>
    <w:rsid w:val="004E144E"/>
    <w:rsid w:val="004E1462"/>
    <w:rsid w:val="004E147D"/>
    <w:rsid w:val="004E1496"/>
    <w:rsid w:val="004E1519"/>
    <w:rsid w:val="004E151D"/>
    <w:rsid w:val="004E1521"/>
    <w:rsid w:val="004E15EF"/>
    <w:rsid w:val="004E1630"/>
    <w:rsid w:val="004E1669"/>
    <w:rsid w:val="004E16A3"/>
    <w:rsid w:val="004E16C8"/>
    <w:rsid w:val="004E1719"/>
    <w:rsid w:val="004E1740"/>
    <w:rsid w:val="004E17AC"/>
    <w:rsid w:val="004E17BE"/>
    <w:rsid w:val="004E189D"/>
    <w:rsid w:val="004E1942"/>
    <w:rsid w:val="004E19C7"/>
    <w:rsid w:val="004E1A66"/>
    <w:rsid w:val="004E1A7F"/>
    <w:rsid w:val="004E1AF8"/>
    <w:rsid w:val="004E1B4E"/>
    <w:rsid w:val="004E1B89"/>
    <w:rsid w:val="004E1B92"/>
    <w:rsid w:val="004E1BB2"/>
    <w:rsid w:val="004E1C33"/>
    <w:rsid w:val="004E1C89"/>
    <w:rsid w:val="004E1CE5"/>
    <w:rsid w:val="004E1D75"/>
    <w:rsid w:val="004E1DA9"/>
    <w:rsid w:val="004E1FCE"/>
    <w:rsid w:val="004E200B"/>
    <w:rsid w:val="004E2020"/>
    <w:rsid w:val="004E2128"/>
    <w:rsid w:val="004E2188"/>
    <w:rsid w:val="004E22A3"/>
    <w:rsid w:val="004E22C4"/>
    <w:rsid w:val="004E2300"/>
    <w:rsid w:val="004E236A"/>
    <w:rsid w:val="004E23B0"/>
    <w:rsid w:val="004E2628"/>
    <w:rsid w:val="004E2645"/>
    <w:rsid w:val="004E2704"/>
    <w:rsid w:val="004E2823"/>
    <w:rsid w:val="004E2887"/>
    <w:rsid w:val="004E28EA"/>
    <w:rsid w:val="004E2916"/>
    <w:rsid w:val="004E2923"/>
    <w:rsid w:val="004E292E"/>
    <w:rsid w:val="004E29B3"/>
    <w:rsid w:val="004E2A2C"/>
    <w:rsid w:val="004E2AF1"/>
    <w:rsid w:val="004E2B20"/>
    <w:rsid w:val="004E2BA2"/>
    <w:rsid w:val="004E2CB6"/>
    <w:rsid w:val="004E2D08"/>
    <w:rsid w:val="004E2E81"/>
    <w:rsid w:val="004E2F61"/>
    <w:rsid w:val="004E2FE3"/>
    <w:rsid w:val="004E3009"/>
    <w:rsid w:val="004E30C9"/>
    <w:rsid w:val="004E3199"/>
    <w:rsid w:val="004E31DE"/>
    <w:rsid w:val="004E3237"/>
    <w:rsid w:val="004E3310"/>
    <w:rsid w:val="004E339F"/>
    <w:rsid w:val="004E33CD"/>
    <w:rsid w:val="004E349E"/>
    <w:rsid w:val="004E3512"/>
    <w:rsid w:val="004E35C1"/>
    <w:rsid w:val="004E3607"/>
    <w:rsid w:val="004E360F"/>
    <w:rsid w:val="004E36F6"/>
    <w:rsid w:val="004E370C"/>
    <w:rsid w:val="004E370F"/>
    <w:rsid w:val="004E3733"/>
    <w:rsid w:val="004E37C4"/>
    <w:rsid w:val="004E37C5"/>
    <w:rsid w:val="004E3806"/>
    <w:rsid w:val="004E3832"/>
    <w:rsid w:val="004E385D"/>
    <w:rsid w:val="004E38BC"/>
    <w:rsid w:val="004E38C6"/>
    <w:rsid w:val="004E39D5"/>
    <w:rsid w:val="004E3A9A"/>
    <w:rsid w:val="004E3ABD"/>
    <w:rsid w:val="004E3C93"/>
    <w:rsid w:val="004E3F27"/>
    <w:rsid w:val="004E3FFB"/>
    <w:rsid w:val="004E4000"/>
    <w:rsid w:val="004E4045"/>
    <w:rsid w:val="004E4172"/>
    <w:rsid w:val="004E4195"/>
    <w:rsid w:val="004E41B8"/>
    <w:rsid w:val="004E41C7"/>
    <w:rsid w:val="004E425D"/>
    <w:rsid w:val="004E4268"/>
    <w:rsid w:val="004E42F6"/>
    <w:rsid w:val="004E433D"/>
    <w:rsid w:val="004E43D6"/>
    <w:rsid w:val="004E447D"/>
    <w:rsid w:val="004E448A"/>
    <w:rsid w:val="004E449E"/>
    <w:rsid w:val="004E4530"/>
    <w:rsid w:val="004E453D"/>
    <w:rsid w:val="004E4568"/>
    <w:rsid w:val="004E458C"/>
    <w:rsid w:val="004E45BB"/>
    <w:rsid w:val="004E4715"/>
    <w:rsid w:val="004E4825"/>
    <w:rsid w:val="004E4980"/>
    <w:rsid w:val="004E49B2"/>
    <w:rsid w:val="004E49EB"/>
    <w:rsid w:val="004E4AA1"/>
    <w:rsid w:val="004E4AE4"/>
    <w:rsid w:val="004E4AEB"/>
    <w:rsid w:val="004E4AF0"/>
    <w:rsid w:val="004E4AF3"/>
    <w:rsid w:val="004E4B31"/>
    <w:rsid w:val="004E4B71"/>
    <w:rsid w:val="004E4C35"/>
    <w:rsid w:val="004E4C3A"/>
    <w:rsid w:val="004E4D60"/>
    <w:rsid w:val="004E4DB2"/>
    <w:rsid w:val="004E4EA3"/>
    <w:rsid w:val="004E4EFD"/>
    <w:rsid w:val="004E4F14"/>
    <w:rsid w:val="004E4F3D"/>
    <w:rsid w:val="004E4F90"/>
    <w:rsid w:val="004E4FBC"/>
    <w:rsid w:val="004E4FE2"/>
    <w:rsid w:val="004E506B"/>
    <w:rsid w:val="004E5107"/>
    <w:rsid w:val="004E5109"/>
    <w:rsid w:val="004E51DF"/>
    <w:rsid w:val="004E52D9"/>
    <w:rsid w:val="004E532E"/>
    <w:rsid w:val="004E5380"/>
    <w:rsid w:val="004E53B9"/>
    <w:rsid w:val="004E541A"/>
    <w:rsid w:val="004E5443"/>
    <w:rsid w:val="004E5572"/>
    <w:rsid w:val="004E5577"/>
    <w:rsid w:val="004E567B"/>
    <w:rsid w:val="004E576B"/>
    <w:rsid w:val="004E577B"/>
    <w:rsid w:val="004E5785"/>
    <w:rsid w:val="004E57A7"/>
    <w:rsid w:val="004E5802"/>
    <w:rsid w:val="004E5814"/>
    <w:rsid w:val="004E5835"/>
    <w:rsid w:val="004E588D"/>
    <w:rsid w:val="004E58BB"/>
    <w:rsid w:val="004E595D"/>
    <w:rsid w:val="004E597A"/>
    <w:rsid w:val="004E5C47"/>
    <w:rsid w:val="004E5CD3"/>
    <w:rsid w:val="004E5DF2"/>
    <w:rsid w:val="004E5E31"/>
    <w:rsid w:val="004E5E82"/>
    <w:rsid w:val="004E5EC7"/>
    <w:rsid w:val="004E5FA0"/>
    <w:rsid w:val="004E5FDF"/>
    <w:rsid w:val="004E600E"/>
    <w:rsid w:val="004E6099"/>
    <w:rsid w:val="004E6270"/>
    <w:rsid w:val="004E6316"/>
    <w:rsid w:val="004E636C"/>
    <w:rsid w:val="004E6370"/>
    <w:rsid w:val="004E63F6"/>
    <w:rsid w:val="004E63F9"/>
    <w:rsid w:val="004E644B"/>
    <w:rsid w:val="004E6493"/>
    <w:rsid w:val="004E654B"/>
    <w:rsid w:val="004E665D"/>
    <w:rsid w:val="004E6863"/>
    <w:rsid w:val="004E68F8"/>
    <w:rsid w:val="004E693A"/>
    <w:rsid w:val="004E695D"/>
    <w:rsid w:val="004E6972"/>
    <w:rsid w:val="004E6A84"/>
    <w:rsid w:val="004E6AED"/>
    <w:rsid w:val="004E6B14"/>
    <w:rsid w:val="004E6BAB"/>
    <w:rsid w:val="004E6C4E"/>
    <w:rsid w:val="004E6C51"/>
    <w:rsid w:val="004E6C5E"/>
    <w:rsid w:val="004E6D5F"/>
    <w:rsid w:val="004E6DA6"/>
    <w:rsid w:val="004E6EE7"/>
    <w:rsid w:val="004E6F52"/>
    <w:rsid w:val="004E6FE4"/>
    <w:rsid w:val="004E705D"/>
    <w:rsid w:val="004E7111"/>
    <w:rsid w:val="004E71D7"/>
    <w:rsid w:val="004E71E7"/>
    <w:rsid w:val="004E71F4"/>
    <w:rsid w:val="004E7203"/>
    <w:rsid w:val="004E7404"/>
    <w:rsid w:val="004E743F"/>
    <w:rsid w:val="004E7524"/>
    <w:rsid w:val="004E75B2"/>
    <w:rsid w:val="004E7707"/>
    <w:rsid w:val="004E7751"/>
    <w:rsid w:val="004E77CE"/>
    <w:rsid w:val="004E77E9"/>
    <w:rsid w:val="004E785F"/>
    <w:rsid w:val="004E793E"/>
    <w:rsid w:val="004E7A68"/>
    <w:rsid w:val="004E7A91"/>
    <w:rsid w:val="004E7AB9"/>
    <w:rsid w:val="004E7BA7"/>
    <w:rsid w:val="004E7BE9"/>
    <w:rsid w:val="004E7D1D"/>
    <w:rsid w:val="004E7D75"/>
    <w:rsid w:val="004E7E53"/>
    <w:rsid w:val="004E7F7A"/>
    <w:rsid w:val="004F00E7"/>
    <w:rsid w:val="004F01F9"/>
    <w:rsid w:val="004F023E"/>
    <w:rsid w:val="004F0284"/>
    <w:rsid w:val="004F029A"/>
    <w:rsid w:val="004F032C"/>
    <w:rsid w:val="004F036F"/>
    <w:rsid w:val="004F03E0"/>
    <w:rsid w:val="004F03EF"/>
    <w:rsid w:val="004F0516"/>
    <w:rsid w:val="004F05FF"/>
    <w:rsid w:val="004F0611"/>
    <w:rsid w:val="004F0628"/>
    <w:rsid w:val="004F06B0"/>
    <w:rsid w:val="004F0913"/>
    <w:rsid w:val="004F09F0"/>
    <w:rsid w:val="004F09F2"/>
    <w:rsid w:val="004F0A53"/>
    <w:rsid w:val="004F0C68"/>
    <w:rsid w:val="004F0C84"/>
    <w:rsid w:val="004F0CDF"/>
    <w:rsid w:val="004F0DEE"/>
    <w:rsid w:val="004F0E10"/>
    <w:rsid w:val="004F0E11"/>
    <w:rsid w:val="004F0E4B"/>
    <w:rsid w:val="004F0E5E"/>
    <w:rsid w:val="004F0EF6"/>
    <w:rsid w:val="004F0F3A"/>
    <w:rsid w:val="004F1085"/>
    <w:rsid w:val="004F10AD"/>
    <w:rsid w:val="004F10E9"/>
    <w:rsid w:val="004F10FA"/>
    <w:rsid w:val="004F1107"/>
    <w:rsid w:val="004F1319"/>
    <w:rsid w:val="004F1390"/>
    <w:rsid w:val="004F173E"/>
    <w:rsid w:val="004F1741"/>
    <w:rsid w:val="004F174F"/>
    <w:rsid w:val="004F1750"/>
    <w:rsid w:val="004F17C5"/>
    <w:rsid w:val="004F197B"/>
    <w:rsid w:val="004F198B"/>
    <w:rsid w:val="004F19A6"/>
    <w:rsid w:val="004F1A0E"/>
    <w:rsid w:val="004F1A50"/>
    <w:rsid w:val="004F1A5C"/>
    <w:rsid w:val="004F1A9F"/>
    <w:rsid w:val="004F1AC6"/>
    <w:rsid w:val="004F1C97"/>
    <w:rsid w:val="004F1CA7"/>
    <w:rsid w:val="004F1D6C"/>
    <w:rsid w:val="004F1D7E"/>
    <w:rsid w:val="004F1DD0"/>
    <w:rsid w:val="004F1E90"/>
    <w:rsid w:val="004F1E93"/>
    <w:rsid w:val="004F20B2"/>
    <w:rsid w:val="004F20D9"/>
    <w:rsid w:val="004F210A"/>
    <w:rsid w:val="004F2167"/>
    <w:rsid w:val="004F2169"/>
    <w:rsid w:val="004F21E1"/>
    <w:rsid w:val="004F22D0"/>
    <w:rsid w:val="004F237B"/>
    <w:rsid w:val="004F2447"/>
    <w:rsid w:val="004F2491"/>
    <w:rsid w:val="004F2520"/>
    <w:rsid w:val="004F2557"/>
    <w:rsid w:val="004F25EA"/>
    <w:rsid w:val="004F26D8"/>
    <w:rsid w:val="004F26E3"/>
    <w:rsid w:val="004F284F"/>
    <w:rsid w:val="004F2932"/>
    <w:rsid w:val="004F295D"/>
    <w:rsid w:val="004F29F0"/>
    <w:rsid w:val="004F2A5C"/>
    <w:rsid w:val="004F2AB5"/>
    <w:rsid w:val="004F2ACD"/>
    <w:rsid w:val="004F2B02"/>
    <w:rsid w:val="004F2B5C"/>
    <w:rsid w:val="004F2BAE"/>
    <w:rsid w:val="004F2C01"/>
    <w:rsid w:val="004F2C23"/>
    <w:rsid w:val="004F2C41"/>
    <w:rsid w:val="004F2C6A"/>
    <w:rsid w:val="004F2D12"/>
    <w:rsid w:val="004F2D4F"/>
    <w:rsid w:val="004F2DB6"/>
    <w:rsid w:val="004F2E8B"/>
    <w:rsid w:val="004F2E8C"/>
    <w:rsid w:val="004F2F71"/>
    <w:rsid w:val="004F2F87"/>
    <w:rsid w:val="004F3027"/>
    <w:rsid w:val="004F3032"/>
    <w:rsid w:val="004F30CD"/>
    <w:rsid w:val="004F3137"/>
    <w:rsid w:val="004F31A3"/>
    <w:rsid w:val="004F31ED"/>
    <w:rsid w:val="004F3220"/>
    <w:rsid w:val="004F324F"/>
    <w:rsid w:val="004F32B3"/>
    <w:rsid w:val="004F333A"/>
    <w:rsid w:val="004F3419"/>
    <w:rsid w:val="004F35AA"/>
    <w:rsid w:val="004F35EC"/>
    <w:rsid w:val="004F3664"/>
    <w:rsid w:val="004F37CC"/>
    <w:rsid w:val="004F3834"/>
    <w:rsid w:val="004F38D6"/>
    <w:rsid w:val="004F39C0"/>
    <w:rsid w:val="004F39E2"/>
    <w:rsid w:val="004F3A9C"/>
    <w:rsid w:val="004F3B1B"/>
    <w:rsid w:val="004F3C2C"/>
    <w:rsid w:val="004F3C72"/>
    <w:rsid w:val="004F3CBE"/>
    <w:rsid w:val="004F3CCF"/>
    <w:rsid w:val="004F3D06"/>
    <w:rsid w:val="004F3D11"/>
    <w:rsid w:val="004F3D64"/>
    <w:rsid w:val="004F3EF3"/>
    <w:rsid w:val="004F3FA8"/>
    <w:rsid w:val="004F3FBD"/>
    <w:rsid w:val="004F4021"/>
    <w:rsid w:val="004F407C"/>
    <w:rsid w:val="004F4081"/>
    <w:rsid w:val="004F4088"/>
    <w:rsid w:val="004F4098"/>
    <w:rsid w:val="004F40D2"/>
    <w:rsid w:val="004F410A"/>
    <w:rsid w:val="004F418D"/>
    <w:rsid w:val="004F423C"/>
    <w:rsid w:val="004F424B"/>
    <w:rsid w:val="004F431A"/>
    <w:rsid w:val="004F4345"/>
    <w:rsid w:val="004F43DF"/>
    <w:rsid w:val="004F43E0"/>
    <w:rsid w:val="004F4409"/>
    <w:rsid w:val="004F4469"/>
    <w:rsid w:val="004F4564"/>
    <w:rsid w:val="004F45F0"/>
    <w:rsid w:val="004F46EC"/>
    <w:rsid w:val="004F46F2"/>
    <w:rsid w:val="004F47CF"/>
    <w:rsid w:val="004F47F9"/>
    <w:rsid w:val="004F4976"/>
    <w:rsid w:val="004F4AB7"/>
    <w:rsid w:val="004F4B16"/>
    <w:rsid w:val="004F4B18"/>
    <w:rsid w:val="004F4B92"/>
    <w:rsid w:val="004F4C37"/>
    <w:rsid w:val="004F4C53"/>
    <w:rsid w:val="004F4C5D"/>
    <w:rsid w:val="004F4CA3"/>
    <w:rsid w:val="004F4CC5"/>
    <w:rsid w:val="004F4D12"/>
    <w:rsid w:val="004F4D93"/>
    <w:rsid w:val="004F4EF6"/>
    <w:rsid w:val="004F4F76"/>
    <w:rsid w:val="004F4FFE"/>
    <w:rsid w:val="004F509A"/>
    <w:rsid w:val="004F526D"/>
    <w:rsid w:val="004F5297"/>
    <w:rsid w:val="004F5304"/>
    <w:rsid w:val="004F533F"/>
    <w:rsid w:val="004F5393"/>
    <w:rsid w:val="004F562B"/>
    <w:rsid w:val="004F5687"/>
    <w:rsid w:val="004F5801"/>
    <w:rsid w:val="004F5924"/>
    <w:rsid w:val="004F5A66"/>
    <w:rsid w:val="004F5AA2"/>
    <w:rsid w:val="004F5C42"/>
    <w:rsid w:val="004F5CDF"/>
    <w:rsid w:val="004F5CF1"/>
    <w:rsid w:val="004F5CFB"/>
    <w:rsid w:val="004F5D50"/>
    <w:rsid w:val="004F5DBC"/>
    <w:rsid w:val="004F5DFD"/>
    <w:rsid w:val="004F5E16"/>
    <w:rsid w:val="004F5E65"/>
    <w:rsid w:val="004F5E93"/>
    <w:rsid w:val="004F5EA8"/>
    <w:rsid w:val="004F5F11"/>
    <w:rsid w:val="004F5F32"/>
    <w:rsid w:val="004F6028"/>
    <w:rsid w:val="004F6036"/>
    <w:rsid w:val="004F609B"/>
    <w:rsid w:val="004F60F1"/>
    <w:rsid w:val="004F6145"/>
    <w:rsid w:val="004F6187"/>
    <w:rsid w:val="004F61B0"/>
    <w:rsid w:val="004F61BF"/>
    <w:rsid w:val="004F61F5"/>
    <w:rsid w:val="004F6334"/>
    <w:rsid w:val="004F6353"/>
    <w:rsid w:val="004F6367"/>
    <w:rsid w:val="004F636C"/>
    <w:rsid w:val="004F63B5"/>
    <w:rsid w:val="004F63E6"/>
    <w:rsid w:val="004F6517"/>
    <w:rsid w:val="004F6645"/>
    <w:rsid w:val="004F66A6"/>
    <w:rsid w:val="004F66A7"/>
    <w:rsid w:val="004F6744"/>
    <w:rsid w:val="004F6953"/>
    <w:rsid w:val="004F6981"/>
    <w:rsid w:val="004F69B2"/>
    <w:rsid w:val="004F69B6"/>
    <w:rsid w:val="004F69DD"/>
    <w:rsid w:val="004F6A80"/>
    <w:rsid w:val="004F6B10"/>
    <w:rsid w:val="004F6D8D"/>
    <w:rsid w:val="004F6DE5"/>
    <w:rsid w:val="004F6E23"/>
    <w:rsid w:val="004F6E63"/>
    <w:rsid w:val="004F6F12"/>
    <w:rsid w:val="004F6F32"/>
    <w:rsid w:val="004F70A2"/>
    <w:rsid w:val="004F70C1"/>
    <w:rsid w:val="004F70DE"/>
    <w:rsid w:val="004F716C"/>
    <w:rsid w:val="004F7177"/>
    <w:rsid w:val="004F71EC"/>
    <w:rsid w:val="004F7268"/>
    <w:rsid w:val="004F72E0"/>
    <w:rsid w:val="004F733A"/>
    <w:rsid w:val="004F747D"/>
    <w:rsid w:val="004F7515"/>
    <w:rsid w:val="004F7540"/>
    <w:rsid w:val="004F7598"/>
    <w:rsid w:val="004F759D"/>
    <w:rsid w:val="004F75A4"/>
    <w:rsid w:val="004F75CE"/>
    <w:rsid w:val="004F7606"/>
    <w:rsid w:val="004F76D6"/>
    <w:rsid w:val="004F77A8"/>
    <w:rsid w:val="004F77AA"/>
    <w:rsid w:val="004F77C9"/>
    <w:rsid w:val="004F7801"/>
    <w:rsid w:val="004F7847"/>
    <w:rsid w:val="004F78BB"/>
    <w:rsid w:val="004F78E7"/>
    <w:rsid w:val="004F798D"/>
    <w:rsid w:val="004F79B0"/>
    <w:rsid w:val="004F7BBA"/>
    <w:rsid w:val="004F7C12"/>
    <w:rsid w:val="004F7C56"/>
    <w:rsid w:val="004F7CF9"/>
    <w:rsid w:val="004F7F20"/>
    <w:rsid w:val="004F7FC7"/>
    <w:rsid w:val="005000B6"/>
    <w:rsid w:val="00500136"/>
    <w:rsid w:val="00500145"/>
    <w:rsid w:val="005001A9"/>
    <w:rsid w:val="00500284"/>
    <w:rsid w:val="005002D6"/>
    <w:rsid w:val="0050030C"/>
    <w:rsid w:val="0050031A"/>
    <w:rsid w:val="0050035B"/>
    <w:rsid w:val="00500430"/>
    <w:rsid w:val="00500458"/>
    <w:rsid w:val="00500691"/>
    <w:rsid w:val="00500778"/>
    <w:rsid w:val="00500782"/>
    <w:rsid w:val="005007D4"/>
    <w:rsid w:val="005007F3"/>
    <w:rsid w:val="00500809"/>
    <w:rsid w:val="00500828"/>
    <w:rsid w:val="00500845"/>
    <w:rsid w:val="00500855"/>
    <w:rsid w:val="00500898"/>
    <w:rsid w:val="005008CB"/>
    <w:rsid w:val="005008D5"/>
    <w:rsid w:val="00500A75"/>
    <w:rsid w:val="00500B85"/>
    <w:rsid w:val="00500BC9"/>
    <w:rsid w:val="00500CF1"/>
    <w:rsid w:val="00500D8F"/>
    <w:rsid w:val="00500DB8"/>
    <w:rsid w:val="00500E45"/>
    <w:rsid w:val="00500E86"/>
    <w:rsid w:val="00500EF9"/>
    <w:rsid w:val="00501018"/>
    <w:rsid w:val="00501071"/>
    <w:rsid w:val="00501145"/>
    <w:rsid w:val="00501148"/>
    <w:rsid w:val="0050116F"/>
    <w:rsid w:val="00501218"/>
    <w:rsid w:val="005013B9"/>
    <w:rsid w:val="0050140A"/>
    <w:rsid w:val="0050140D"/>
    <w:rsid w:val="00501444"/>
    <w:rsid w:val="00501498"/>
    <w:rsid w:val="00501520"/>
    <w:rsid w:val="00501562"/>
    <w:rsid w:val="0050156E"/>
    <w:rsid w:val="005015B8"/>
    <w:rsid w:val="00501635"/>
    <w:rsid w:val="00501636"/>
    <w:rsid w:val="0050166E"/>
    <w:rsid w:val="005016D6"/>
    <w:rsid w:val="005016F5"/>
    <w:rsid w:val="005017C0"/>
    <w:rsid w:val="00501836"/>
    <w:rsid w:val="00501870"/>
    <w:rsid w:val="00501918"/>
    <w:rsid w:val="00501941"/>
    <w:rsid w:val="00501A01"/>
    <w:rsid w:val="00501A09"/>
    <w:rsid w:val="00501A0F"/>
    <w:rsid w:val="00501A7B"/>
    <w:rsid w:val="00501ABB"/>
    <w:rsid w:val="00501B20"/>
    <w:rsid w:val="00501B6C"/>
    <w:rsid w:val="00501B77"/>
    <w:rsid w:val="00501B84"/>
    <w:rsid w:val="00501BA1"/>
    <w:rsid w:val="00501C04"/>
    <w:rsid w:val="00501C3E"/>
    <w:rsid w:val="00501CBE"/>
    <w:rsid w:val="00501D44"/>
    <w:rsid w:val="00501D5E"/>
    <w:rsid w:val="00501D77"/>
    <w:rsid w:val="00501DC6"/>
    <w:rsid w:val="00501E42"/>
    <w:rsid w:val="00501E49"/>
    <w:rsid w:val="00501E64"/>
    <w:rsid w:val="00501E77"/>
    <w:rsid w:val="00501F19"/>
    <w:rsid w:val="00501F29"/>
    <w:rsid w:val="00501F49"/>
    <w:rsid w:val="00501F4E"/>
    <w:rsid w:val="00501F51"/>
    <w:rsid w:val="00501F96"/>
    <w:rsid w:val="0050206D"/>
    <w:rsid w:val="00502089"/>
    <w:rsid w:val="00502090"/>
    <w:rsid w:val="005020F7"/>
    <w:rsid w:val="00502102"/>
    <w:rsid w:val="00502168"/>
    <w:rsid w:val="0050225C"/>
    <w:rsid w:val="005022BF"/>
    <w:rsid w:val="0050237A"/>
    <w:rsid w:val="005023E2"/>
    <w:rsid w:val="00502417"/>
    <w:rsid w:val="00502426"/>
    <w:rsid w:val="00502456"/>
    <w:rsid w:val="005024B7"/>
    <w:rsid w:val="005024D5"/>
    <w:rsid w:val="0050253A"/>
    <w:rsid w:val="00502569"/>
    <w:rsid w:val="005025A8"/>
    <w:rsid w:val="005026A8"/>
    <w:rsid w:val="005026B2"/>
    <w:rsid w:val="005026F0"/>
    <w:rsid w:val="00502892"/>
    <w:rsid w:val="005028B2"/>
    <w:rsid w:val="005028CF"/>
    <w:rsid w:val="005029E7"/>
    <w:rsid w:val="00502A3C"/>
    <w:rsid w:val="00502A9D"/>
    <w:rsid w:val="00502AFD"/>
    <w:rsid w:val="00502B0D"/>
    <w:rsid w:val="00502B42"/>
    <w:rsid w:val="00502B96"/>
    <w:rsid w:val="00502C4A"/>
    <w:rsid w:val="00502EF1"/>
    <w:rsid w:val="00502F2C"/>
    <w:rsid w:val="00502F68"/>
    <w:rsid w:val="00502F94"/>
    <w:rsid w:val="005030BD"/>
    <w:rsid w:val="005030E5"/>
    <w:rsid w:val="0050315A"/>
    <w:rsid w:val="00503171"/>
    <w:rsid w:val="00503258"/>
    <w:rsid w:val="00503276"/>
    <w:rsid w:val="005032CD"/>
    <w:rsid w:val="00503353"/>
    <w:rsid w:val="0050338B"/>
    <w:rsid w:val="00503391"/>
    <w:rsid w:val="0050349B"/>
    <w:rsid w:val="0050353B"/>
    <w:rsid w:val="005036AA"/>
    <w:rsid w:val="0050375E"/>
    <w:rsid w:val="00503775"/>
    <w:rsid w:val="00503853"/>
    <w:rsid w:val="00503888"/>
    <w:rsid w:val="00503987"/>
    <w:rsid w:val="005039A6"/>
    <w:rsid w:val="00503A12"/>
    <w:rsid w:val="00503B67"/>
    <w:rsid w:val="00503BC3"/>
    <w:rsid w:val="00503BC6"/>
    <w:rsid w:val="00503C99"/>
    <w:rsid w:val="00503DA7"/>
    <w:rsid w:val="00503F19"/>
    <w:rsid w:val="00503F52"/>
    <w:rsid w:val="00503F6E"/>
    <w:rsid w:val="00503F98"/>
    <w:rsid w:val="00504030"/>
    <w:rsid w:val="0050405D"/>
    <w:rsid w:val="0050407D"/>
    <w:rsid w:val="0050416D"/>
    <w:rsid w:val="005041ED"/>
    <w:rsid w:val="0050422B"/>
    <w:rsid w:val="00504236"/>
    <w:rsid w:val="00504345"/>
    <w:rsid w:val="00504358"/>
    <w:rsid w:val="005043EC"/>
    <w:rsid w:val="005043EF"/>
    <w:rsid w:val="0050444A"/>
    <w:rsid w:val="00504499"/>
    <w:rsid w:val="0050453A"/>
    <w:rsid w:val="00504616"/>
    <w:rsid w:val="005046E8"/>
    <w:rsid w:val="005048ED"/>
    <w:rsid w:val="00504AF0"/>
    <w:rsid w:val="00504B2D"/>
    <w:rsid w:val="00504B85"/>
    <w:rsid w:val="00504CF9"/>
    <w:rsid w:val="00504DBA"/>
    <w:rsid w:val="00504DD3"/>
    <w:rsid w:val="00504E0D"/>
    <w:rsid w:val="00504E21"/>
    <w:rsid w:val="00504E87"/>
    <w:rsid w:val="00504F58"/>
    <w:rsid w:val="00504FFA"/>
    <w:rsid w:val="0050505E"/>
    <w:rsid w:val="00505093"/>
    <w:rsid w:val="005051AC"/>
    <w:rsid w:val="00505229"/>
    <w:rsid w:val="0050522B"/>
    <w:rsid w:val="00505253"/>
    <w:rsid w:val="00505339"/>
    <w:rsid w:val="005054AC"/>
    <w:rsid w:val="0050552B"/>
    <w:rsid w:val="0050556D"/>
    <w:rsid w:val="00505644"/>
    <w:rsid w:val="0050565B"/>
    <w:rsid w:val="0050572C"/>
    <w:rsid w:val="00505775"/>
    <w:rsid w:val="00505899"/>
    <w:rsid w:val="005058C9"/>
    <w:rsid w:val="005058F0"/>
    <w:rsid w:val="00505A43"/>
    <w:rsid w:val="00505C1D"/>
    <w:rsid w:val="00505C90"/>
    <w:rsid w:val="00505CF6"/>
    <w:rsid w:val="00505DD6"/>
    <w:rsid w:val="00505E1C"/>
    <w:rsid w:val="00505E57"/>
    <w:rsid w:val="00505EA9"/>
    <w:rsid w:val="00505ECB"/>
    <w:rsid w:val="00505F03"/>
    <w:rsid w:val="00505F3A"/>
    <w:rsid w:val="00505F61"/>
    <w:rsid w:val="00506059"/>
    <w:rsid w:val="005060D1"/>
    <w:rsid w:val="00506121"/>
    <w:rsid w:val="00506126"/>
    <w:rsid w:val="00506228"/>
    <w:rsid w:val="00506251"/>
    <w:rsid w:val="00506304"/>
    <w:rsid w:val="00506310"/>
    <w:rsid w:val="0050636B"/>
    <w:rsid w:val="0050642E"/>
    <w:rsid w:val="005064B0"/>
    <w:rsid w:val="00506592"/>
    <w:rsid w:val="00506634"/>
    <w:rsid w:val="005066AA"/>
    <w:rsid w:val="005066BD"/>
    <w:rsid w:val="0050673E"/>
    <w:rsid w:val="0050677E"/>
    <w:rsid w:val="00506785"/>
    <w:rsid w:val="00506813"/>
    <w:rsid w:val="00506839"/>
    <w:rsid w:val="005069CB"/>
    <w:rsid w:val="00506B8C"/>
    <w:rsid w:val="00506C1B"/>
    <w:rsid w:val="00506C3D"/>
    <w:rsid w:val="00506C3F"/>
    <w:rsid w:val="00506CBE"/>
    <w:rsid w:val="00506D5E"/>
    <w:rsid w:val="00506D6E"/>
    <w:rsid w:val="00506E83"/>
    <w:rsid w:val="00506E9A"/>
    <w:rsid w:val="00506ECD"/>
    <w:rsid w:val="00506FB0"/>
    <w:rsid w:val="00506FEE"/>
    <w:rsid w:val="0050704A"/>
    <w:rsid w:val="005070E1"/>
    <w:rsid w:val="005070FD"/>
    <w:rsid w:val="0050712C"/>
    <w:rsid w:val="0050743C"/>
    <w:rsid w:val="005074BA"/>
    <w:rsid w:val="00507588"/>
    <w:rsid w:val="005075C0"/>
    <w:rsid w:val="005076D0"/>
    <w:rsid w:val="00507726"/>
    <w:rsid w:val="005077EF"/>
    <w:rsid w:val="0050786E"/>
    <w:rsid w:val="005078BF"/>
    <w:rsid w:val="00507A18"/>
    <w:rsid w:val="00507AA9"/>
    <w:rsid w:val="00507AFB"/>
    <w:rsid w:val="00507B0F"/>
    <w:rsid w:val="00507BB0"/>
    <w:rsid w:val="00507BC7"/>
    <w:rsid w:val="00507DD3"/>
    <w:rsid w:val="00507F0D"/>
    <w:rsid w:val="00507F0F"/>
    <w:rsid w:val="00507F34"/>
    <w:rsid w:val="00507F37"/>
    <w:rsid w:val="0051008A"/>
    <w:rsid w:val="00510152"/>
    <w:rsid w:val="005102CB"/>
    <w:rsid w:val="005103C7"/>
    <w:rsid w:val="005104B9"/>
    <w:rsid w:val="00510501"/>
    <w:rsid w:val="00510552"/>
    <w:rsid w:val="00510553"/>
    <w:rsid w:val="00510596"/>
    <w:rsid w:val="00510630"/>
    <w:rsid w:val="00510746"/>
    <w:rsid w:val="0051083A"/>
    <w:rsid w:val="0051087C"/>
    <w:rsid w:val="005109E1"/>
    <w:rsid w:val="005109FE"/>
    <w:rsid w:val="00510A6D"/>
    <w:rsid w:val="00510A94"/>
    <w:rsid w:val="00510AA2"/>
    <w:rsid w:val="00510B3A"/>
    <w:rsid w:val="00510B60"/>
    <w:rsid w:val="00510B72"/>
    <w:rsid w:val="00510BF0"/>
    <w:rsid w:val="00510C33"/>
    <w:rsid w:val="00510C5E"/>
    <w:rsid w:val="00510DF7"/>
    <w:rsid w:val="00510E56"/>
    <w:rsid w:val="00510E62"/>
    <w:rsid w:val="00510F43"/>
    <w:rsid w:val="00510F50"/>
    <w:rsid w:val="00510F97"/>
    <w:rsid w:val="00510FFB"/>
    <w:rsid w:val="00511072"/>
    <w:rsid w:val="00511080"/>
    <w:rsid w:val="0051115F"/>
    <w:rsid w:val="0051116C"/>
    <w:rsid w:val="00511196"/>
    <w:rsid w:val="005111AE"/>
    <w:rsid w:val="0051120D"/>
    <w:rsid w:val="00511244"/>
    <w:rsid w:val="00511268"/>
    <w:rsid w:val="00511369"/>
    <w:rsid w:val="005113CD"/>
    <w:rsid w:val="00511462"/>
    <w:rsid w:val="00511590"/>
    <w:rsid w:val="005115C6"/>
    <w:rsid w:val="00511629"/>
    <w:rsid w:val="0051164A"/>
    <w:rsid w:val="00511791"/>
    <w:rsid w:val="0051181D"/>
    <w:rsid w:val="00511831"/>
    <w:rsid w:val="0051189E"/>
    <w:rsid w:val="005118E5"/>
    <w:rsid w:val="005118E8"/>
    <w:rsid w:val="005118FD"/>
    <w:rsid w:val="00511961"/>
    <w:rsid w:val="005119AE"/>
    <w:rsid w:val="00511A1F"/>
    <w:rsid w:val="00511A7A"/>
    <w:rsid w:val="00511ADD"/>
    <w:rsid w:val="00511B1F"/>
    <w:rsid w:val="00511B47"/>
    <w:rsid w:val="00511C26"/>
    <w:rsid w:val="00511C9E"/>
    <w:rsid w:val="00511D9E"/>
    <w:rsid w:val="00511DD1"/>
    <w:rsid w:val="00511E64"/>
    <w:rsid w:val="00511EBC"/>
    <w:rsid w:val="00511EE2"/>
    <w:rsid w:val="00511F08"/>
    <w:rsid w:val="00511F4B"/>
    <w:rsid w:val="00512063"/>
    <w:rsid w:val="005120CE"/>
    <w:rsid w:val="005120F2"/>
    <w:rsid w:val="0051217F"/>
    <w:rsid w:val="005121E9"/>
    <w:rsid w:val="00512226"/>
    <w:rsid w:val="005122C7"/>
    <w:rsid w:val="005122E0"/>
    <w:rsid w:val="00512338"/>
    <w:rsid w:val="0051233F"/>
    <w:rsid w:val="00512486"/>
    <w:rsid w:val="0051249A"/>
    <w:rsid w:val="0051250E"/>
    <w:rsid w:val="00512525"/>
    <w:rsid w:val="005126AD"/>
    <w:rsid w:val="005126BF"/>
    <w:rsid w:val="0051274C"/>
    <w:rsid w:val="0051276A"/>
    <w:rsid w:val="005128C4"/>
    <w:rsid w:val="00512A84"/>
    <w:rsid w:val="00512ABB"/>
    <w:rsid w:val="00512B51"/>
    <w:rsid w:val="00512BFE"/>
    <w:rsid w:val="00512DF2"/>
    <w:rsid w:val="00512E0E"/>
    <w:rsid w:val="00512E1E"/>
    <w:rsid w:val="00512E87"/>
    <w:rsid w:val="00512FB6"/>
    <w:rsid w:val="00512FDE"/>
    <w:rsid w:val="00512FF7"/>
    <w:rsid w:val="0051310E"/>
    <w:rsid w:val="00513192"/>
    <w:rsid w:val="005133BB"/>
    <w:rsid w:val="005133CF"/>
    <w:rsid w:val="00513423"/>
    <w:rsid w:val="0051342E"/>
    <w:rsid w:val="005134C2"/>
    <w:rsid w:val="005134F8"/>
    <w:rsid w:val="0051365F"/>
    <w:rsid w:val="005136F9"/>
    <w:rsid w:val="00513799"/>
    <w:rsid w:val="005137EC"/>
    <w:rsid w:val="00513844"/>
    <w:rsid w:val="00513893"/>
    <w:rsid w:val="005138E0"/>
    <w:rsid w:val="00513902"/>
    <w:rsid w:val="00513910"/>
    <w:rsid w:val="00513A12"/>
    <w:rsid w:val="00513A1A"/>
    <w:rsid w:val="00513BB4"/>
    <w:rsid w:val="00513BD8"/>
    <w:rsid w:val="00513BEC"/>
    <w:rsid w:val="00513C7F"/>
    <w:rsid w:val="00513CF2"/>
    <w:rsid w:val="00513D9D"/>
    <w:rsid w:val="00513FD9"/>
    <w:rsid w:val="0051401E"/>
    <w:rsid w:val="0051407E"/>
    <w:rsid w:val="005140A0"/>
    <w:rsid w:val="005140F2"/>
    <w:rsid w:val="00514131"/>
    <w:rsid w:val="00514162"/>
    <w:rsid w:val="00514208"/>
    <w:rsid w:val="0051438D"/>
    <w:rsid w:val="005144BD"/>
    <w:rsid w:val="005144C7"/>
    <w:rsid w:val="005144C9"/>
    <w:rsid w:val="005144FE"/>
    <w:rsid w:val="00514598"/>
    <w:rsid w:val="00514622"/>
    <w:rsid w:val="00514754"/>
    <w:rsid w:val="005147F4"/>
    <w:rsid w:val="00514863"/>
    <w:rsid w:val="00514A86"/>
    <w:rsid w:val="00514A8E"/>
    <w:rsid w:val="00514AA8"/>
    <w:rsid w:val="00514CCF"/>
    <w:rsid w:val="00514D34"/>
    <w:rsid w:val="00514DA4"/>
    <w:rsid w:val="00514E17"/>
    <w:rsid w:val="00514EBF"/>
    <w:rsid w:val="0051503D"/>
    <w:rsid w:val="00515095"/>
    <w:rsid w:val="0051514A"/>
    <w:rsid w:val="005151BE"/>
    <w:rsid w:val="005152E6"/>
    <w:rsid w:val="005152F5"/>
    <w:rsid w:val="0051530F"/>
    <w:rsid w:val="00515336"/>
    <w:rsid w:val="0051538D"/>
    <w:rsid w:val="005153A8"/>
    <w:rsid w:val="00515454"/>
    <w:rsid w:val="00515495"/>
    <w:rsid w:val="005154BE"/>
    <w:rsid w:val="005156FB"/>
    <w:rsid w:val="005157DB"/>
    <w:rsid w:val="00515806"/>
    <w:rsid w:val="00515953"/>
    <w:rsid w:val="005159F8"/>
    <w:rsid w:val="00515A30"/>
    <w:rsid w:val="00515A5E"/>
    <w:rsid w:val="00515A76"/>
    <w:rsid w:val="00515AC9"/>
    <w:rsid w:val="00515AEA"/>
    <w:rsid w:val="00515B52"/>
    <w:rsid w:val="00515B62"/>
    <w:rsid w:val="00515BCF"/>
    <w:rsid w:val="00515C98"/>
    <w:rsid w:val="00515D80"/>
    <w:rsid w:val="00515E06"/>
    <w:rsid w:val="00515E64"/>
    <w:rsid w:val="00515F93"/>
    <w:rsid w:val="00516031"/>
    <w:rsid w:val="0051603B"/>
    <w:rsid w:val="0051617B"/>
    <w:rsid w:val="00516273"/>
    <w:rsid w:val="00516394"/>
    <w:rsid w:val="00516442"/>
    <w:rsid w:val="0051648B"/>
    <w:rsid w:val="005164D9"/>
    <w:rsid w:val="005164E7"/>
    <w:rsid w:val="00516550"/>
    <w:rsid w:val="005165AB"/>
    <w:rsid w:val="005165FA"/>
    <w:rsid w:val="00516633"/>
    <w:rsid w:val="0051673D"/>
    <w:rsid w:val="00516785"/>
    <w:rsid w:val="00516852"/>
    <w:rsid w:val="00516A40"/>
    <w:rsid w:val="00516B07"/>
    <w:rsid w:val="00516C12"/>
    <w:rsid w:val="00516CF4"/>
    <w:rsid w:val="00516D2F"/>
    <w:rsid w:val="00516D38"/>
    <w:rsid w:val="00516DB8"/>
    <w:rsid w:val="00516DF1"/>
    <w:rsid w:val="00516EB2"/>
    <w:rsid w:val="00517064"/>
    <w:rsid w:val="005170B8"/>
    <w:rsid w:val="005170C7"/>
    <w:rsid w:val="005171BE"/>
    <w:rsid w:val="00517225"/>
    <w:rsid w:val="005172CF"/>
    <w:rsid w:val="005173DF"/>
    <w:rsid w:val="005173F2"/>
    <w:rsid w:val="0051742B"/>
    <w:rsid w:val="005174C5"/>
    <w:rsid w:val="00517517"/>
    <w:rsid w:val="0051755D"/>
    <w:rsid w:val="0051756B"/>
    <w:rsid w:val="0051756F"/>
    <w:rsid w:val="005175E4"/>
    <w:rsid w:val="005176B1"/>
    <w:rsid w:val="005177AD"/>
    <w:rsid w:val="005177FC"/>
    <w:rsid w:val="00517A91"/>
    <w:rsid w:val="00517AAB"/>
    <w:rsid w:val="00517AB5"/>
    <w:rsid w:val="00517AD4"/>
    <w:rsid w:val="00517BC1"/>
    <w:rsid w:val="00517C9B"/>
    <w:rsid w:val="00517D92"/>
    <w:rsid w:val="00517E0C"/>
    <w:rsid w:val="00517F47"/>
    <w:rsid w:val="00517F7E"/>
    <w:rsid w:val="00520034"/>
    <w:rsid w:val="00520071"/>
    <w:rsid w:val="0052007E"/>
    <w:rsid w:val="005203D8"/>
    <w:rsid w:val="005204A9"/>
    <w:rsid w:val="005204E3"/>
    <w:rsid w:val="0052062B"/>
    <w:rsid w:val="0052067C"/>
    <w:rsid w:val="0052088C"/>
    <w:rsid w:val="00520944"/>
    <w:rsid w:val="005209BC"/>
    <w:rsid w:val="00520AA1"/>
    <w:rsid w:val="00520B09"/>
    <w:rsid w:val="00520B1C"/>
    <w:rsid w:val="00520B27"/>
    <w:rsid w:val="00520BDC"/>
    <w:rsid w:val="00520CB7"/>
    <w:rsid w:val="00520D1E"/>
    <w:rsid w:val="00520DB5"/>
    <w:rsid w:val="00520E3F"/>
    <w:rsid w:val="00520E7A"/>
    <w:rsid w:val="00520FBA"/>
    <w:rsid w:val="00520FBE"/>
    <w:rsid w:val="0052127B"/>
    <w:rsid w:val="005212B7"/>
    <w:rsid w:val="005212BF"/>
    <w:rsid w:val="005213AB"/>
    <w:rsid w:val="00521461"/>
    <w:rsid w:val="005214AD"/>
    <w:rsid w:val="005214DB"/>
    <w:rsid w:val="00521698"/>
    <w:rsid w:val="005216E5"/>
    <w:rsid w:val="00521731"/>
    <w:rsid w:val="00521753"/>
    <w:rsid w:val="00521757"/>
    <w:rsid w:val="0052177B"/>
    <w:rsid w:val="00521792"/>
    <w:rsid w:val="00521A02"/>
    <w:rsid w:val="00521AB1"/>
    <w:rsid w:val="00521AD3"/>
    <w:rsid w:val="00521C78"/>
    <w:rsid w:val="00521CB4"/>
    <w:rsid w:val="00521E1D"/>
    <w:rsid w:val="00521E24"/>
    <w:rsid w:val="00521F32"/>
    <w:rsid w:val="00521F96"/>
    <w:rsid w:val="00521FE4"/>
    <w:rsid w:val="00522064"/>
    <w:rsid w:val="005220A6"/>
    <w:rsid w:val="005220D4"/>
    <w:rsid w:val="00522356"/>
    <w:rsid w:val="00522456"/>
    <w:rsid w:val="00522477"/>
    <w:rsid w:val="0052248A"/>
    <w:rsid w:val="00522499"/>
    <w:rsid w:val="0052250C"/>
    <w:rsid w:val="00522651"/>
    <w:rsid w:val="00522671"/>
    <w:rsid w:val="00522718"/>
    <w:rsid w:val="005227CE"/>
    <w:rsid w:val="00522811"/>
    <w:rsid w:val="00522823"/>
    <w:rsid w:val="005229C8"/>
    <w:rsid w:val="00522A9D"/>
    <w:rsid w:val="00522B62"/>
    <w:rsid w:val="00522B9A"/>
    <w:rsid w:val="00522C62"/>
    <w:rsid w:val="00522C8F"/>
    <w:rsid w:val="00522C92"/>
    <w:rsid w:val="00522D1B"/>
    <w:rsid w:val="00522E2C"/>
    <w:rsid w:val="00522E37"/>
    <w:rsid w:val="00522E5B"/>
    <w:rsid w:val="00522E99"/>
    <w:rsid w:val="00522ECD"/>
    <w:rsid w:val="00522FDA"/>
    <w:rsid w:val="0052302C"/>
    <w:rsid w:val="00523060"/>
    <w:rsid w:val="00523064"/>
    <w:rsid w:val="0052309D"/>
    <w:rsid w:val="005231AF"/>
    <w:rsid w:val="00523235"/>
    <w:rsid w:val="00523279"/>
    <w:rsid w:val="00523356"/>
    <w:rsid w:val="005233A4"/>
    <w:rsid w:val="00523465"/>
    <w:rsid w:val="00523555"/>
    <w:rsid w:val="005236AD"/>
    <w:rsid w:val="005236BE"/>
    <w:rsid w:val="00523779"/>
    <w:rsid w:val="005237D2"/>
    <w:rsid w:val="00523842"/>
    <w:rsid w:val="00523896"/>
    <w:rsid w:val="005238D7"/>
    <w:rsid w:val="00523935"/>
    <w:rsid w:val="005239CC"/>
    <w:rsid w:val="00523A89"/>
    <w:rsid w:val="00523AB3"/>
    <w:rsid w:val="00523B17"/>
    <w:rsid w:val="00523B28"/>
    <w:rsid w:val="00523BD8"/>
    <w:rsid w:val="00523C3D"/>
    <w:rsid w:val="00523CF3"/>
    <w:rsid w:val="00523DAF"/>
    <w:rsid w:val="00523DFC"/>
    <w:rsid w:val="00523E17"/>
    <w:rsid w:val="00523E5A"/>
    <w:rsid w:val="00523EF1"/>
    <w:rsid w:val="00523F08"/>
    <w:rsid w:val="00523F1B"/>
    <w:rsid w:val="0052419D"/>
    <w:rsid w:val="005241C8"/>
    <w:rsid w:val="005241FE"/>
    <w:rsid w:val="00524383"/>
    <w:rsid w:val="005243A4"/>
    <w:rsid w:val="00524430"/>
    <w:rsid w:val="0052443C"/>
    <w:rsid w:val="00524471"/>
    <w:rsid w:val="005244AD"/>
    <w:rsid w:val="005244F6"/>
    <w:rsid w:val="00524562"/>
    <w:rsid w:val="005245B1"/>
    <w:rsid w:val="005246A4"/>
    <w:rsid w:val="005246FF"/>
    <w:rsid w:val="005247BB"/>
    <w:rsid w:val="00524895"/>
    <w:rsid w:val="005249F9"/>
    <w:rsid w:val="00524A21"/>
    <w:rsid w:val="00524AC1"/>
    <w:rsid w:val="00524AD8"/>
    <w:rsid w:val="00524B66"/>
    <w:rsid w:val="00524C36"/>
    <w:rsid w:val="00524C83"/>
    <w:rsid w:val="00524CA8"/>
    <w:rsid w:val="00524D14"/>
    <w:rsid w:val="00524D3F"/>
    <w:rsid w:val="00524F82"/>
    <w:rsid w:val="00524FC0"/>
    <w:rsid w:val="00525076"/>
    <w:rsid w:val="005250C1"/>
    <w:rsid w:val="005250FD"/>
    <w:rsid w:val="00525105"/>
    <w:rsid w:val="00525114"/>
    <w:rsid w:val="0052511D"/>
    <w:rsid w:val="0052521F"/>
    <w:rsid w:val="00525231"/>
    <w:rsid w:val="005252C7"/>
    <w:rsid w:val="0052532C"/>
    <w:rsid w:val="0052533B"/>
    <w:rsid w:val="0052536F"/>
    <w:rsid w:val="00525509"/>
    <w:rsid w:val="00525675"/>
    <w:rsid w:val="005256E5"/>
    <w:rsid w:val="00525700"/>
    <w:rsid w:val="00525780"/>
    <w:rsid w:val="0052583D"/>
    <w:rsid w:val="005259A2"/>
    <w:rsid w:val="005259FC"/>
    <w:rsid w:val="00525A0E"/>
    <w:rsid w:val="00525A3C"/>
    <w:rsid w:val="00525AFE"/>
    <w:rsid w:val="00525B00"/>
    <w:rsid w:val="00525C5E"/>
    <w:rsid w:val="00525CBB"/>
    <w:rsid w:val="00525CBD"/>
    <w:rsid w:val="00525CE8"/>
    <w:rsid w:val="00525D92"/>
    <w:rsid w:val="00525DB8"/>
    <w:rsid w:val="00525DD9"/>
    <w:rsid w:val="00525ECC"/>
    <w:rsid w:val="00526024"/>
    <w:rsid w:val="0052607C"/>
    <w:rsid w:val="00526086"/>
    <w:rsid w:val="005260F5"/>
    <w:rsid w:val="0052613A"/>
    <w:rsid w:val="00526184"/>
    <w:rsid w:val="00526277"/>
    <w:rsid w:val="005262DB"/>
    <w:rsid w:val="00526326"/>
    <w:rsid w:val="005263CF"/>
    <w:rsid w:val="005263D1"/>
    <w:rsid w:val="00526538"/>
    <w:rsid w:val="005265B1"/>
    <w:rsid w:val="005265E2"/>
    <w:rsid w:val="005265F7"/>
    <w:rsid w:val="00526652"/>
    <w:rsid w:val="0052666C"/>
    <w:rsid w:val="0052668F"/>
    <w:rsid w:val="0052669B"/>
    <w:rsid w:val="0052674F"/>
    <w:rsid w:val="005267C5"/>
    <w:rsid w:val="0052685D"/>
    <w:rsid w:val="005268F3"/>
    <w:rsid w:val="00526921"/>
    <w:rsid w:val="0052695A"/>
    <w:rsid w:val="00526A40"/>
    <w:rsid w:val="00526AA8"/>
    <w:rsid w:val="00526AE5"/>
    <w:rsid w:val="00526AFA"/>
    <w:rsid w:val="00526D89"/>
    <w:rsid w:val="00526DD9"/>
    <w:rsid w:val="00526E39"/>
    <w:rsid w:val="00526EF2"/>
    <w:rsid w:val="00526F7B"/>
    <w:rsid w:val="0052710D"/>
    <w:rsid w:val="00527158"/>
    <w:rsid w:val="0052717E"/>
    <w:rsid w:val="005271E1"/>
    <w:rsid w:val="005272B4"/>
    <w:rsid w:val="005272DB"/>
    <w:rsid w:val="00527348"/>
    <w:rsid w:val="00527415"/>
    <w:rsid w:val="00527511"/>
    <w:rsid w:val="00527616"/>
    <w:rsid w:val="00527643"/>
    <w:rsid w:val="005276B7"/>
    <w:rsid w:val="005276BA"/>
    <w:rsid w:val="005276E7"/>
    <w:rsid w:val="005276EC"/>
    <w:rsid w:val="00527784"/>
    <w:rsid w:val="005278F3"/>
    <w:rsid w:val="00527942"/>
    <w:rsid w:val="00527A36"/>
    <w:rsid w:val="00527A46"/>
    <w:rsid w:val="00527A54"/>
    <w:rsid w:val="00527AD2"/>
    <w:rsid w:val="00527AD3"/>
    <w:rsid w:val="00527B29"/>
    <w:rsid w:val="00527B95"/>
    <w:rsid w:val="00527BA6"/>
    <w:rsid w:val="00527CCE"/>
    <w:rsid w:val="00527E9E"/>
    <w:rsid w:val="00527F44"/>
    <w:rsid w:val="00527F64"/>
    <w:rsid w:val="005301F2"/>
    <w:rsid w:val="005301F8"/>
    <w:rsid w:val="0053020B"/>
    <w:rsid w:val="0053026E"/>
    <w:rsid w:val="005302C3"/>
    <w:rsid w:val="005303DD"/>
    <w:rsid w:val="00530439"/>
    <w:rsid w:val="005305E9"/>
    <w:rsid w:val="0053062B"/>
    <w:rsid w:val="00530639"/>
    <w:rsid w:val="00530745"/>
    <w:rsid w:val="005307CA"/>
    <w:rsid w:val="00530812"/>
    <w:rsid w:val="00530831"/>
    <w:rsid w:val="00530876"/>
    <w:rsid w:val="005308A8"/>
    <w:rsid w:val="005308DA"/>
    <w:rsid w:val="005308E3"/>
    <w:rsid w:val="00530A18"/>
    <w:rsid w:val="00530B5D"/>
    <w:rsid w:val="00530BE4"/>
    <w:rsid w:val="00530C22"/>
    <w:rsid w:val="00530C8F"/>
    <w:rsid w:val="00530CA0"/>
    <w:rsid w:val="00530CC4"/>
    <w:rsid w:val="00530D16"/>
    <w:rsid w:val="00530D22"/>
    <w:rsid w:val="00530EC0"/>
    <w:rsid w:val="00530F35"/>
    <w:rsid w:val="00530FC9"/>
    <w:rsid w:val="00531106"/>
    <w:rsid w:val="005311F0"/>
    <w:rsid w:val="00531218"/>
    <w:rsid w:val="005312CC"/>
    <w:rsid w:val="005312FC"/>
    <w:rsid w:val="0053133E"/>
    <w:rsid w:val="0053143B"/>
    <w:rsid w:val="00531563"/>
    <w:rsid w:val="0053156A"/>
    <w:rsid w:val="005317EC"/>
    <w:rsid w:val="00531824"/>
    <w:rsid w:val="00531978"/>
    <w:rsid w:val="00531B01"/>
    <w:rsid w:val="00531B21"/>
    <w:rsid w:val="00531BA6"/>
    <w:rsid w:val="00531BD7"/>
    <w:rsid w:val="00531C3A"/>
    <w:rsid w:val="00531C7A"/>
    <w:rsid w:val="00531C7D"/>
    <w:rsid w:val="00531C97"/>
    <w:rsid w:val="00531DB2"/>
    <w:rsid w:val="00531E30"/>
    <w:rsid w:val="00531F28"/>
    <w:rsid w:val="00531F35"/>
    <w:rsid w:val="0053207F"/>
    <w:rsid w:val="0053217C"/>
    <w:rsid w:val="005321D9"/>
    <w:rsid w:val="00532229"/>
    <w:rsid w:val="00532260"/>
    <w:rsid w:val="005322FE"/>
    <w:rsid w:val="005323E0"/>
    <w:rsid w:val="005323E1"/>
    <w:rsid w:val="0053241F"/>
    <w:rsid w:val="0053243D"/>
    <w:rsid w:val="00532658"/>
    <w:rsid w:val="00532679"/>
    <w:rsid w:val="0053272D"/>
    <w:rsid w:val="00532825"/>
    <w:rsid w:val="00532826"/>
    <w:rsid w:val="005328B7"/>
    <w:rsid w:val="005328C4"/>
    <w:rsid w:val="00532904"/>
    <w:rsid w:val="00532961"/>
    <w:rsid w:val="00532A4B"/>
    <w:rsid w:val="00532B98"/>
    <w:rsid w:val="00532C61"/>
    <w:rsid w:val="00532C6D"/>
    <w:rsid w:val="00532C78"/>
    <w:rsid w:val="00532D22"/>
    <w:rsid w:val="00532D70"/>
    <w:rsid w:val="00532E44"/>
    <w:rsid w:val="00532F03"/>
    <w:rsid w:val="00533016"/>
    <w:rsid w:val="005330D3"/>
    <w:rsid w:val="005330DE"/>
    <w:rsid w:val="00533243"/>
    <w:rsid w:val="005332A9"/>
    <w:rsid w:val="00533374"/>
    <w:rsid w:val="00533397"/>
    <w:rsid w:val="005333DC"/>
    <w:rsid w:val="00533472"/>
    <w:rsid w:val="005334A5"/>
    <w:rsid w:val="0053356A"/>
    <w:rsid w:val="0053365E"/>
    <w:rsid w:val="00533701"/>
    <w:rsid w:val="0053370B"/>
    <w:rsid w:val="00533770"/>
    <w:rsid w:val="0053378C"/>
    <w:rsid w:val="00533832"/>
    <w:rsid w:val="00533833"/>
    <w:rsid w:val="005339AB"/>
    <w:rsid w:val="005339D2"/>
    <w:rsid w:val="005339E1"/>
    <w:rsid w:val="005339F5"/>
    <w:rsid w:val="00533ACB"/>
    <w:rsid w:val="00533AFE"/>
    <w:rsid w:val="00533B96"/>
    <w:rsid w:val="00533C58"/>
    <w:rsid w:val="00533E70"/>
    <w:rsid w:val="00533E8C"/>
    <w:rsid w:val="00533E9C"/>
    <w:rsid w:val="00533EEE"/>
    <w:rsid w:val="00533F78"/>
    <w:rsid w:val="00533F9A"/>
    <w:rsid w:val="00533FC9"/>
    <w:rsid w:val="0053401B"/>
    <w:rsid w:val="00534044"/>
    <w:rsid w:val="005342A0"/>
    <w:rsid w:val="0053432E"/>
    <w:rsid w:val="00534515"/>
    <w:rsid w:val="00534525"/>
    <w:rsid w:val="00534530"/>
    <w:rsid w:val="0053458B"/>
    <w:rsid w:val="005345D4"/>
    <w:rsid w:val="005345DB"/>
    <w:rsid w:val="005345F1"/>
    <w:rsid w:val="00534669"/>
    <w:rsid w:val="00534680"/>
    <w:rsid w:val="00534742"/>
    <w:rsid w:val="005347E7"/>
    <w:rsid w:val="00534908"/>
    <w:rsid w:val="00534991"/>
    <w:rsid w:val="00534AA6"/>
    <w:rsid w:val="00534BC1"/>
    <w:rsid w:val="00534C72"/>
    <w:rsid w:val="00534CC0"/>
    <w:rsid w:val="00534E51"/>
    <w:rsid w:val="00534E89"/>
    <w:rsid w:val="00534EEC"/>
    <w:rsid w:val="00534EFE"/>
    <w:rsid w:val="00534F3E"/>
    <w:rsid w:val="00535015"/>
    <w:rsid w:val="00535035"/>
    <w:rsid w:val="00535061"/>
    <w:rsid w:val="0053508F"/>
    <w:rsid w:val="005350A8"/>
    <w:rsid w:val="00535190"/>
    <w:rsid w:val="005351A0"/>
    <w:rsid w:val="005351C4"/>
    <w:rsid w:val="0053524A"/>
    <w:rsid w:val="0053529F"/>
    <w:rsid w:val="00535366"/>
    <w:rsid w:val="005353DA"/>
    <w:rsid w:val="005355A3"/>
    <w:rsid w:val="005355B7"/>
    <w:rsid w:val="00535632"/>
    <w:rsid w:val="0053569E"/>
    <w:rsid w:val="005356AF"/>
    <w:rsid w:val="005356C8"/>
    <w:rsid w:val="005356DF"/>
    <w:rsid w:val="00535734"/>
    <w:rsid w:val="00535771"/>
    <w:rsid w:val="005357A2"/>
    <w:rsid w:val="005357E1"/>
    <w:rsid w:val="00535860"/>
    <w:rsid w:val="00535902"/>
    <w:rsid w:val="00535947"/>
    <w:rsid w:val="0053599F"/>
    <w:rsid w:val="005359BE"/>
    <w:rsid w:val="005359F7"/>
    <w:rsid w:val="00535A00"/>
    <w:rsid w:val="00535A50"/>
    <w:rsid w:val="00535AB0"/>
    <w:rsid w:val="00535BBA"/>
    <w:rsid w:val="00535C59"/>
    <w:rsid w:val="00535E00"/>
    <w:rsid w:val="00535E93"/>
    <w:rsid w:val="00535FA3"/>
    <w:rsid w:val="00536018"/>
    <w:rsid w:val="0053603D"/>
    <w:rsid w:val="00536069"/>
    <w:rsid w:val="005360B8"/>
    <w:rsid w:val="00536181"/>
    <w:rsid w:val="005361CF"/>
    <w:rsid w:val="005362A3"/>
    <w:rsid w:val="00536359"/>
    <w:rsid w:val="00536398"/>
    <w:rsid w:val="005363FE"/>
    <w:rsid w:val="0053649E"/>
    <w:rsid w:val="00536517"/>
    <w:rsid w:val="0053668B"/>
    <w:rsid w:val="00536724"/>
    <w:rsid w:val="0053680F"/>
    <w:rsid w:val="0053684E"/>
    <w:rsid w:val="0053688E"/>
    <w:rsid w:val="005368B3"/>
    <w:rsid w:val="00536A74"/>
    <w:rsid w:val="00536B22"/>
    <w:rsid w:val="00536B47"/>
    <w:rsid w:val="00536B5A"/>
    <w:rsid w:val="00536B7D"/>
    <w:rsid w:val="00536BA7"/>
    <w:rsid w:val="00536C42"/>
    <w:rsid w:val="00536D49"/>
    <w:rsid w:val="00536D52"/>
    <w:rsid w:val="00536D53"/>
    <w:rsid w:val="00536D9B"/>
    <w:rsid w:val="00536DF8"/>
    <w:rsid w:val="00536E89"/>
    <w:rsid w:val="00536EB8"/>
    <w:rsid w:val="00536EDE"/>
    <w:rsid w:val="00536F13"/>
    <w:rsid w:val="00536FC0"/>
    <w:rsid w:val="0053703B"/>
    <w:rsid w:val="0053704B"/>
    <w:rsid w:val="005370BF"/>
    <w:rsid w:val="00537138"/>
    <w:rsid w:val="0053721C"/>
    <w:rsid w:val="00537242"/>
    <w:rsid w:val="00537277"/>
    <w:rsid w:val="00537293"/>
    <w:rsid w:val="0053731A"/>
    <w:rsid w:val="0053732D"/>
    <w:rsid w:val="00537403"/>
    <w:rsid w:val="0053742A"/>
    <w:rsid w:val="00537465"/>
    <w:rsid w:val="005374F6"/>
    <w:rsid w:val="0053752F"/>
    <w:rsid w:val="0053753B"/>
    <w:rsid w:val="00537548"/>
    <w:rsid w:val="005375AC"/>
    <w:rsid w:val="005376CE"/>
    <w:rsid w:val="0053773C"/>
    <w:rsid w:val="005377A7"/>
    <w:rsid w:val="005377AA"/>
    <w:rsid w:val="005377C2"/>
    <w:rsid w:val="005377FA"/>
    <w:rsid w:val="00537819"/>
    <w:rsid w:val="00537823"/>
    <w:rsid w:val="005378F0"/>
    <w:rsid w:val="0053792C"/>
    <w:rsid w:val="0053794C"/>
    <w:rsid w:val="00537951"/>
    <w:rsid w:val="005379C6"/>
    <w:rsid w:val="00537A6F"/>
    <w:rsid w:val="00537A8E"/>
    <w:rsid w:val="00537A98"/>
    <w:rsid w:val="00537AA0"/>
    <w:rsid w:val="00537BE0"/>
    <w:rsid w:val="00537C5B"/>
    <w:rsid w:val="00537C85"/>
    <w:rsid w:val="00537F07"/>
    <w:rsid w:val="00537F24"/>
    <w:rsid w:val="00537F66"/>
    <w:rsid w:val="00537FE0"/>
    <w:rsid w:val="005401D3"/>
    <w:rsid w:val="00540296"/>
    <w:rsid w:val="005402CA"/>
    <w:rsid w:val="0054031A"/>
    <w:rsid w:val="005403B8"/>
    <w:rsid w:val="005403BA"/>
    <w:rsid w:val="0054041A"/>
    <w:rsid w:val="00540434"/>
    <w:rsid w:val="00540492"/>
    <w:rsid w:val="005404FB"/>
    <w:rsid w:val="005406DD"/>
    <w:rsid w:val="005407A6"/>
    <w:rsid w:val="005407C9"/>
    <w:rsid w:val="00540882"/>
    <w:rsid w:val="005409C2"/>
    <w:rsid w:val="005409C4"/>
    <w:rsid w:val="00540A38"/>
    <w:rsid w:val="00540B20"/>
    <w:rsid w:val="00540B80"/>
    <w:rsid w:val="00540B9E"/>
    <w:rsid w:val="00540BB3"/>
    <w:rsid w:val="00540CA2"/>
    <w:rsid w:val="00540CD2"/>
    <w:rsid w:val="00540DE2"/>
    <w:rsid w:val="00540EAB"/>
    <w:rsid w:val="00540F40"/>
    <w:rsid w:val="00540FBA"/>
    <w:rsid w:val="00540FE1"/>
    <w:rsid w:val="00541004"/>
    <w:rsid w:val="0054103A"/>
    <w:rsid w:val="00541063"/>
    <w:rsid w:val="0054110B"/>
    <w:rsid w:val="005411EB"/>
    <w:rsid w:val="00541220"/>
    <w:rsid w:val="0054125D"/>
    <w:rsid w:val="00541362"/>
    <w:rsid w:val="005413BE"/>
    <w:rsid w:val="005414C6"/>
    <w:rsid w:val="005414F3"/>
    <w:rsid w:val="0054155D"/>
    <w:rsid w:val="0054157E"/>
    <w:rsid w:val="00541597"/>
    <w:rsid w:val="005415F3"/>
    <w:rsid w:val="005417C2"/>
    <w:rsid w:val="0054181A"/>
    <w:rsid w:val="005418CD"/>
    <w:rsid w:val="00541926"/>
    <w:rsid w:val="00541A97"/>
    <w:rsid w:val="00541B22"/>
    <w:rsid w:val="00541B38"/>
    <w:rsid w:val="00541B45"/>
    <w:rsid w:val="00541B4D"/>
    <w:rsid w:val="00541BE9"/>
    <w:rsid w:val="00541C0F"/>
    <w:rsid w:val="00541D29"/>
    <w:rsid w:val="00541FDD"/>
    <w:rsid w:val="00541FFE"/>
    <w:rsid w:val="00542055"/>
    <w:rsid w:val="005420D2"/>
    <w:rsid w:val="005421AF"/>
    <w:rsid w:val="0054222B"/>
    <w:rsid w:val="005422AC"/>
    <w:rsid w:val="0054233B"/>
    <w:rsid w:val="00542343"/>
    <w:rsid w:val="0054244B"/>
    <w:rsid w:val="0054246A"/>
    <w:rsid w:val="0054248E"/>
    <w:rsid w:val="00542506"/>
    <w:rsid w:val="005425A8"/>
    <w:rsid w:val="00542846"/>
    <w:rsid w:val="00542AD4"/>
    <w:rsid w:val="00542B03"/>
    <w:rsid w:val="00542B8B"/>
    <w:rsid w:val="00542C31"/>
    <w:rsid w:val="00542C55"/>
    <w:rsid w:val="00542C6C"/>
    <w:rsid w:val="00542CAB"/>
    <w:rsid w:val="00542CE2"/>
    <w:rsid w:val="00542CE6"/>
    <w:rsid w:val="00542DDA"/>
    <w:rsid w:val="00542E7F"/>
    <w:rsid w:val="00542EDD"/>
    <w:rsid w:val="00542F5C"/>
    <w:rsid w:val="00542FA5"/>
    <w:rsid w:val="00542FDA"/>
    <w:rsid w:val="00543067"/>
    <w:rsid w:val="00543068"/>
    <w:rsid w:val="005431A9"/>
    <w:rsid w:val="005431E0"/>
    <w:rsid w:val="0054326F"/>
    <w:rsid w:val="005432B9"/>
    <w:rsid w:val="0054334A"/>
    <w:rsid w:val="00543354"/>
    <w:rsid w:val="00543372"/>
    <w:rsid w:val="005433A8"/>
    <w:rsid w:val="005433D2"/>
    <w:rsid w:val="0054346E"/>
    <w:rsid w:val="0054349F"/>
    <w:rsid w:val="005434AE"/>
    <w:rsid w:val="005434D3"/>
    <w:rsid w:val="0054353C"/>
    <w:rsid w:val="0054355D"/>
    <w:rsid w:val="00543608"/>
    <w:rsid w:val="005436A9"/>
    <w:rsid w:val="005436F0"/>
    <w:rsid w:val="005437AE"/>
    <w:rsid w:val="005437D4"/>
    <w:rsid w:val="005437F6"/>
    <w:rsid w:val="0054389C"/>
    <w:rsid w:val="005439CE"/>
    <w:rsid w:val="005439FB"/>
    <w:rsid w:val="00543A99"/>
    <w:rsid w:val="00543B96"/>
    <w:rsid w:val="00543BF4"/>
    <w:rsid w:val="00543D7D"/>
    <w:rsid w:val="00543DE5"/>
    <w:rsid w:val="00543E6F"/>
    <w:rsid w:val="00543E8C"/>
    <w:rsid w:val="00543EC0"/>
    <w:rsid w:val="00543F23"/>
    <w:rsid w:val="00543F63"/>
    <w:rsid w:val="00544001"/>
    <w:rsid w:val="00544040"/>
    <w:rsid w:val="00544075"/>
    <w:rsid w:val="005440B9"/>
    <w:rsid w:val="0054417D"/>
    <w:rsid w:val="005441E8"/>
    <w:rsid w:val="00544279"/>
    <w:rsid w:val="005442A8"/>
    <w:rsid w:val="005442AD"/>
    <w:rsid w:val="00544366"/>
    <w:rsid w:val="005443B7"/>
    <w:rsid w:val="0054441F"/>
    <w:rsid w:val="005444AA"/>
    <w:rsid w:val="005444B6"/>
    <w:rsid w:val="00544619"/>
    <w:rsid w:val="00544637"/>
    <w:rsid w:val="00544672"/>
    <w:rsid w:val="0054468E"/>
    <w:rsid w:val="00544698"/>
    <w:rsid w:val="0054470F"/>
    <w:rsid w:val="005447DF"/>
    <w:rsid w:val="00544839"/>
    <w:rsid w:val="00544849"/>
    <w:rsid w:val="0054484F"/>
    <w:rsid w:val="00544921"/>
    <w:rsid w:val="005449A5"/>
    <w:rsid w:val="005449F6"/>
    <w:rsid w:val="00544AB5"/>
    <w:rsid w:val="00544ABE"/>
    <w:rsid w:val="00544B47"/>
    <w:rsid w:val="00544B79"/>
    <w:rsid w:val="00544B7A"/>
    <w:rsid w:val="00544C10"/>
    <w:rsid w:val="00544DEF"/>
    <w:rsid w:val="00544F0F"/>
    <w:rsid w:val="00544F74"/>
    <w:rsid w:val="00544FAB"/>
    <w:rsid w:val="00545194"/>
    <w:rsid w:val="005451E2"/>
    <w:rsid w:val="0054520B"/>
    <w:rsid w:val="00545323"/>
    <w:rsid w:val="0054539F"/>
    <w:rsid w:val="005453AB"/>
    <w:rsid w:val="00545418"/>
    <w:rsid w:val="0054542C"/>
    <w:rsid w:val="00545433"/>
    <w:rsid w:val="00545575"/>
    <w:rsid w:val="005455DC"/>
    <w:rsid w:val="0054568F"/>
    <w:rsid w:val="00545781"/>
    <w:rsid w:val="005457E2"/>
    <w:rsid w:val="005459A8"/>
    <w:rsid w:val="00545A6C"/>
    <w:rsid w:val="00545AB4"/>
    <w:rsid w:val="00545B61"/>
    <w:rsid w:val="00545BBD"/>
    <w:rsid w:val="00545C26"/>
    <w:rsid w:val="00545C69"/>
    <w:rsid w:val="00545D2F"/>
    <w:rsid w:val="00545D52"/>
    <w:rsid w:val="00545DA7"/>
    <w:rsid w:val="00545E8E"/>
    <w:rsid w:val="00545EE0"/>
    <w:rsid w:val="00545F53"/>
    <w:rsid w:val="00546014"/>
    <w:rsid w:val="005460AA"/>
    <w:rsid w:val="005460CD"/>
    <w:rsid w:val="005460E0"/>
    <w:rsid w:val="00546121"/>
    <w:rsid w:val="00546134"/>
    <w:rsid w:val="005462A2"/>
    <w:rsid w:val="005463A8"/>
    <w:rsid w:val="005463BD"/>
    <w:rsid w:val="005463CA"/>
    <w:rsid w:val="005465A4"/>
    <w:rsid w:val="005465C2"/>
    <w:rsid w:val="0054673A"/>
    <w:rsid w:val="005467BF"/>
    <w:rsid w:val="005467F5"/>
    <w:rsid w:val="0054680D"/>
    <w:rsid w:val="00546938"/>
    <w:rsid w:val="00546A44"/>
    <w:rsid w:val="00546B01"/>
    <w:rsid w:val="00546B8F"/>
    <w:rsid w:val="00546BA4"/>
    <w:rsid w:val="00546BEB"/>
    <w:rsid w:val="00546CF4"/>
    <w:rsid w:val="00546D0B"/>
    <w:rsid w:val="00546D48"/>
    <w:rsid w:val="00546E24"/>
    <w:rsid w:val="00546E49"/>
    <w:rsid w:val="00546E57"/>
    <w:rsid w:val="00546EAF"/>
    <w:rsid w:val="00546F1A"/>
    <w:rsid w:val="0054704E"/>
    <w:rsid w:val="00547087"/>
    <w:rsid w:val="00547265"/>
    <w:rsid w:val="005472D7"/>
    <w:rsid w:val="005473C2"/>
    <w:rsid w:val="005473CD"/>
    <w:rsid w:val="0054752F"/>
    <w:rsid w:val="0054761A"/>
    <w:rsid w:val="005476A4"/>
    <w:rsid w:val="00547808"/>
    <w:rsid w:val="00547963"/>
    <w:rsid w:val="00547999"/>
    <w:rsid w:val="005479A1"/>
    <w:rsid w:val="005479DA"/>
    <w:rsid w:val="00547B37"/>
    <w:rsid w:val="00547B54"/>
    <w:rsid w:val="00547B95"/>
    <w:rsid w:val="00547C7F"/>
    <w:rsid w:val="00547D7B"/>
    <w:rsid w:val="00547DBA"/>
    <w:rsid w:val="00547DCD"/>
    <w:rsid w:val="00547DEE"/>
    <w:rsid w:val="00547E57"/>
    <w:rsid w:val="00547EA1"/>
    <w:rsid w:val="00550128"/>
    <w:rsid w:val="005501CD"/>
    <w:rsid w:val="00550372"/>
    <w:rsid w:val="005503E2"/>
    <w:rsid w:val="0055042F"/>
    <w:rsid w:val="005504DA"/>
    <w:rsid w:val="005506C4"/>
    <w:rsid w:val="00550715"/>
    <w:rsid w:val="0055076A"/>
    <w:rsid w:val="005508CC"/>
    <w:rsid w:val="0055094A"/>
    <w:rsid w:val="005509DE"/>
    <w:rsid w:val="00550A18"/>
    <w:rsid w:val="00550AFE"/>
    <w:rsid w:val="00550C34"/>
    <w:rsid w:val="00550C69"/>
    <w:rsid w:val="00550D07"/>
    <w:rsid w:val="00550E20"/>
    <w:rsid w:val="00550E48"/>
    <w:rsid w:val="00550E59"/>
    <w:rsid w:val="00550E6E"/>
    <w:rsid w:val="00550EEE"/>
    <w:rsid w:val="0055107A"/>
    <w:rsid w:val="0055112A"/>
    <w:rsid w:val="0055112C"/>
    <w:rsid w:val="00551168"/>
    <w:rsid w:val="005512D8"/>
    <w:rsid w:val="00551359"/>
    <w:rsid w:val="005513BC"/>
    <w:rsid w:val="005513DB"/>
    <w:rsid w:val="00551415"/>
    <w:rsid w:val="0055145E"/>
    <w:rsid w:val="00551471"/>
    <w:rsid w:val="005514E3"/>
    <w:rsid w:val="00551519"/>
    <w:rsid w:val="00551656"/>
    <w:rsid w:val="005516F6"/>
    <w:rsid w:val="0055172A"/>
    <w:rsid w:val="005517A9"/>
    <w:rsid w:val="005517DB"/>
    <w:rsid w:val="00551821"/>
    <w:rsid w:val="0055187D"/>
    <w:rsid w:val="005519C1"/>
    <w:rsid w:val="00551A18"/>
    <w:rsid w:val="00551AAA"/>
    <w:rsid w:val="00551B3F"/>
    <w:rsid w:val="00551B9E"/>
    <w:rsid w:val="00551BF9"/>
    <w:rsid w:val="00551C47"/>
    <w:rsid w:val="00551DA8"/>
    <w:rsid w:val="00551E4B"/>
    <w:rsid w:val="00551EB9"/>
    <w:rsid w:val="00551F5B"/>
    <w:rsid w:val="00551FEA"/>
    <w:rsid w:val="00551FF6"/>
    <w:rsid w:val="00552029"/>
    <w:rsid w:val="005520CB"/>
    <w:rsid w:val="005520F5"/>
    <w:rsid w:val="005520FE"/>
    <w:rsid w:val="005521A2"/>
    <w:rsid w:val="005521AA"/>
    <w:rsid w:val="00552201"/>
    <w:rsid w:val="0055220E"/>
    <w:rsid w:val="00552310"/>
    <w:rsid w:val="00552343"/>
    <w:rsid w:val="0055238A"/>
    <w:rsid w:val="005523CF"/>
    <w:rsid w:val="005525A4"/>
    <w:rsid w:val="005525A9"/>
    <w:rsid w:val="005525FB"/>
    <w:rsid w:val="005526D5"/>
    <w:rsid w:val="00552703"/>
    <w:rsid w:val="00552772"/>
    <w:rsid w:val="005529BF"/>
    <w:rsid w:val="00552A6E"/>
    <w:rsid w:val="00552B0F"/>
    <w:rsid w:val="00552B8B"/>
    <w:rsid w:val="00552C7E"/>
    <w:rsid w:val="00552CB2"/>
    <w:rsid w:val="00552D28"/>
    <w:rsid w:val="00552DCC"/>
    <w:rsid w:val="00552E1E"/>
    <w:rsid w:val="00552E72"/>
    <w:rsid w:val="00552EE3"/>
    <w:rsid w:val="00552F2A"/>
    <w:rsid w:val="00552F3C"/>
    <w:rsid w:val="00552F94"/>
    <w:rsid w:val="0055302E"/>
    <w:rsid w:val="005531EB"/>
    <w:rsid w:val="00553249"/>
    <w:rsid w:val="00553285"/>
    <w:rsid w:val="0055328D"/>
    <w:rsid w:val="0055336D"/>
    <w:rsid w:val="005534C5"/>
    <w:rsid w:val="005534F0"/>
    <w:rsid w:val="005534F6"/>
    <w:rsid w:val="00553516"/>
    <w:rsid w:val="00553652"/>
    <w:rsid w:val="0055367B"/>
    <w:rsid w:val="005536C0"/>
    <w:rsid w:val="00553795"/>
    <w:rsid w:val="005537BB"/>
    <w:rsid w:val="005537C5"/>
    <w:rsid w:val="00553864"/>
    <w:rsid w:val="00553877"/>
    <w:rsid w:val="005538D6"/>
    <w:rsid w:val="00553A66"/>
    <w:rsid w:val="00553B3D"/>
    <w:rsid w:val="00553B57"/>
    <w:rsid w:val="00553B73"/>
    <w:rsid w:val="00553B80"/>
    <w:rsid w:val="00553C70"/>
    <w:rsid w:val="00553C7E"/>
    <w:rsid w:val="00553CA0"/>
    <w:rsid w:val="00553CCA"/>
    <w:rsid w:val="00553D51"/>
    <w:rsid w:val="00553D9B"/>
    <w:rsid w:val="00553DA0"/>
    <w:rsid w:val="00553E3D"/>
    <w:rsid w:val="00553E98"/>
    <w:rsid w:val="005540C1"/>
    <w:rsid w:val="005540EB"/>
    <w:rsid w:val="00554131"/>
    <w:rsid w:val="00554225"/>
    <w:rsid w:val="00554241"/>
    <w:rsid w:val="00554273"/>
    <w:rsid w:val="0055445C"/>
    <w:rsid w:val="00554461"/>
    <w:rsid w:val="00554519"/>
    <w:rsid w:val="00554562"/>
    <w:rsid w:val="005545FA"/>
    <w:rsid w:val="0055472A"/>
    <w:rsid w:val="005547A8"/>
    <w:rsid w:val="0055491F"/>
    <w:rsid w:val="00554963"/>
    <w:rsid w:val="00554977"/>
    <w:rsid w:val="005549AC"/>
    <w:rsid w:val="005549EA"/>
    <w:rsid w:val="005549EE"/>
    <w:rsid w:val="00554A38"/>
    <w:rsid w:val="00554A92"/>
    <w:rsid w:val="00554B23"/>
    <w:rsid w:val="00554BE5"/>
    <w:rsid w:val="00554C17"/>
    <w:rsid w:val="00554DAD"/>
    <w:rsid w:val="00554DCB"/>
    <w:rsid w:val="00554DFA"/>
    <w:rsid w:val="00554E17"/>
    <w:rsid w:val="00554E24"/>
    <w:rsid w:val="00554FCB"/>
    <w:rsid w:val="00555000"/>
    <w:rsid w:val="00555044"/>
    <w:rsid w:val="005550AA"/>
    <w:rsid w:val="005550D9"/>
    <w:rsid w:val="00555108"/>
    <w:rsid w:val="0055522C"/>
    <w:rsid w:val="00555326"/>
    <w:rsid w:val="00555356"/>
    <w:rsid w:val="00555374"/>
    <w:rsid w:val="005553EA"/>
    <w:rsid w:val="00555520"/>
    <w:rsid w:val="005556B1"/>
    <w:rsid w:val="005556F1"/>
    <w:rsid w:val="00555779"/>
    <w:rsid w:val="005557B1"/>
    <w:rsid w:val="005557B3"/>
    <w:rsid w:val="005558E4"/>
    <w:rsid w:val="0055599D"/>
    <w:rsid w:val="005559DE"/>
    <w:rsid w:val="00555A1C"/>
    <w:rsid w:val="00555A2E"/>
    <w:rsid w:val="00555BEC"/>
    <w:rsid w:val="00555BED"/>
    <w:rsid w:val="00555BFB"/>
    <w:rsid w:val="00555C7B"/>
    <w:rsid w:val="00555CEB"/>
    <w:rsid w:val="00555D1C"/>
    <w:rsid w:val="00555D97"/>
    <w:rsid w:val="00555DBA"/>
    <w:rsid w:val="00555DD8"/>
    <w:rsid w:val="00555EAB"/>
    <w:rsid w:val="00555EFD"/>
    <w:rsid w:val="00555F16"/>
    <w:rsid w:val="00555F35"/>
    <w:rsid w:val="00555FA0"/>
    <w:rsid w:val="00555FD5"/>
    <w:rsid w:val="00555FD8"/>
    <w:rsid w:val="00556042"/>
    <w:rsid w:val="0055609D"/>
    <w:rsid w:val="005560FD"/>
    <w:rsid w:val="0055610D"/>
    <w:rsid w:val="00556150"/>
    <w:rsid w:val="0055627E"/>
    <w:rsid w:val="005563FD"/>
    <w:rsid w:val="0055640D"/>
    <w:rsid w:val="00556465"/>
    <w:rsid w:val="0055657F"/>
    <w:rsid w:val="0055658A"/>
    <w:rsid w:val="005565E1"/>
    <w:rsid w:val="005565FD"/>
    <w:rsid w:val="005566C9"/>
    <w:rsid w:val="00556813"/>
    <w:rsid w:val="00556855"/>
    <w:rsid w:val="00556938"/>
    <w:rsid w:val="0055696F"/>
    <w:rsid w:val="00556995"/>
    <w:rsid w:val="00556A26"/>
    <w:rsid w:val="00556A7E"/>
    <w:rsid w:val="00556AA2"/>
    <w:rsid w:val="00556C9E"/>
    <w:rsid w:val="00556D58"/>
    <w:rsid w:val="00556D6B"/>
    <w:rsid w:val="00556E03"/>
    <w:rsid w:val="00556E61"/>
    <w:rsid w:val="00556E6C"/>
    <w:rsid w:val="00556E8F"/>
    <w:rsid w:val="00556F55"/>
    <w:rsid w:val="0055700C"/>
    <w:rsid w:val="00557061"/>
    <w:rsid w:val="00557090"/>
    <w:rsid w:val="00557205"/>
    <w:rsid w:val="005572CB"/>
    <w:rsid w:val="005573B7"/>
    <w:rsid w:val="005573F8"/>
    <w:rsid w:val="00557444"/>
    <w:rsid w:val="0055749E"/>
    <w:rsid w:val="005574D3"/>
    <w:rsid w:val="005574DA"/>
    <w:rsid w:val="00557502"/>
    <w:rsid w:val="0055752E"/>
    <w:rsid w:val="005575F1"/>
    <w:rsid w:val="00557677"/>
    <w:rsid w:val="005576AD"/>
    <w:rsid w:val="00557724"/>
    <w:rsid w:val="005577A5"/>
    <w:rsid w:val="005578E9"/>
    <w:rsid w:val="00557A00"/>
    <w:rsid w:val="00557A36"/>
    <w:rsid w:val="00557A38"/>
    <w:rsid w:val="00557A8E"/>
    <w:rsid w:val="00557AFD"/>
    <w:rsid w:val="00557B39"/>
    <w:rsid w:val="00557B84"/>
    <w:rsid w:val="00557B91"/>
    <w:rsid w:val="00557CC2"/>
    <w:rsid w:val="00557CC9"/>
    <w:rsid w:val="00557D37"/>
    <w:rsid w:val="00557E41"/>
    <w:rsid w:val="00557EC6"/>
    <w:rsid w:val="00557F58"/>
    <w:rsid w:val="00557F8D"/>
    <w:rsid w:val="0056002B"/>
    <w:rsid w:val="00560071"/>
    <w:rsid w:val="005600FC"/>
    <w:rsid w:val="0056019A"/>
    <w:rsid w:val="005601BC"/>
    <w:rsid w:val="0056021D"/>
    <w:rsid w:val="00560244"/>
    <w:rsid w:val="0056046A"/>
    <w:rsid w:val="00560529"/>
    <w:rsid w:val="0056083B"/>
    <w:rsid w:val="0056083C"/>
    <w:rsid w:val="005608AB"/>
    <w:rsid w:val="00560C0B"/>
    <w:rsid w:val="00560CFF"/>
    <w:rsid w:val="00560E47"/>
    <w:rsid w:val="00560EEA"/>
    <w:rsid w:val="005610BB"/>
    <w:rsid w:val="005610FD"/>
    <w:rsid w:val="0056117B"/>
    <w:rsid w:val="0056117E"/>
    <w:rsid w:val="0056125A"/>
    <w:rsid w:val="00561284"/>
    <w:rsid w:val="0056139A"/>
    <w:rsid w:val="0056143B"/>
    <w:rsid w:val="005614EA"/>
    <w:rsid w:val="005614FF"/>
    <w:rsid w:val="00561509"/>
    <w:rsid w:val="0056150E"/>
    <w:rsid w:val="00561552"/>
    <w:rsid w:val="00561558"/>
    <w:rsid w:val="00561645"/>
    <w:rsid w:val="00561672"/>
    <w:rsid w:val="005616CE"/>
    <w:rsid w:val="0056175E"/>
    <w:rsid w:val="00561893"/>
    <w:rsid w:val="005618FD"/>
    <w:rsid w:val="005619B7"/>
    <w:rsid w:val="00561AA7"/>
    <w:rsid w:val="00561B84"/>
    <w:rsid w:val="00561BD9"/>
    <w:rsid w:val="00561C17"/>
    <w:rsid w:val="00561CB1"/>
    <w:rsid w:val="00561D76"/>
    <w:rsid w:val="00561DBC"/>
    <w:rsid w:val="00561E10"/>
    <w:rsid w:val="00561FD0"/>
    <w:rsid w:val="00562040"/>
    <w:rsid w:val="00562064"/>
    <w:rsid w:val="005620F2"/>
    <w:rsid w:val="005621C4"/>
    <w:rsid w:val="00562230"/>
    <w:rsid w:val="005622D2"/>
    <w:rsid w:val="005622F1"/>
    <w:rsid w:val="00562363"/>
    <w:rsid w:val="005623D3"/>
    <w:rsid w:val="0056249A"/>
    <w:rsid w:val="005624AB"/>
    <w:rsid w:val="00562579"/>
    <w:rsid w:val="005625C2"/>
    <w:rsid w:val="005625E8"/>
    <w:rsid w:val="00562637"/>
    <w:rsid w:val="0056264A"/>
    <w:rsid w:val="00562700"/>
    <w:rsid w:val="00562881"/>
    <w:rsid w:val="005628EE"/>
    <w:rsid w:val="0056292F"/>
    <w:rsid w:val="0056296D"/>
    <w:rsid w:val="0056298C"/>
    <w:rsid w:val="00562A48"/>
    <w:rsid w:val="00562A4C"/>
    <w:rsid w:val="00562AC2"/>
    <w:rsid w:val="00562B3C"/>
    <w:rsid w:val="00562C2F"/>
    <w:rsid w:val="00562CDB"/>
    <w:rsid w:val="00562D4A"/>
    <w:rsid w:val="00562D5E"/>
    <w:rsid w:val="00562E5F"/>
    <w:rsid w:val="00562EA4"/>
    <w:rsid w:val="00562EBD"/>
    <w:rsid w:val="00562F17"/>
    <w:rsid w:val="00562F47"/>
    <w:rsid w:val="00562FA1"/>
    <w:rsid w:val="00562FE3"/>
    <w:rsid w:val="00563081"/>
    <w:rsid w:val="005630EB"/>
    <w:rsid w:val="00563139"/>
    <w:rsid w:val="0056321E"/>
    <w:rsid w:val="00563220"/>
    <w:rsid w:val="0056323B"/>
    <w:rsid w:val="005632BB"/>
    <w:rsid w:val="0056348C"/>
    <w:rsid w:val="005635C0"/>
    <w:rsid w:val="005635C6"/>
    <w:rsid w:val="005635C8"/>
    <w:rsid w:val="00563652"/>
    <w:rsid w:val="005636EE"/>
    <w:rsid w:val="00563726"/>
    <w:rsid w:val="00563768"/>
    <w:rsid w:val="005637DF"/>
    <w:rsid w:val="00563983"/>
    <w:rsid w:val="0056398F"/>
    <w:rsid w:val="005639C0"/>
    <w:rsid w:val="00563A00"/>
    <w:rsid w:val="00563A48"/>
    <w:rsid w:val="00563A9A"/>
    <w:rsid w:val="00563AA8"/>
    <w:rsid w:val="00563B21"/>
    <w:rsid w:val="00563BF5"/>
    <w:rsid w:val="00563C04"/>
    <w:rsid w:val="00563C1C"/>
    <w:rsid w:val="00563D4D"/>
    <w:rsid w:val="00563DE9"/>
    <w:rsid w:val="00563F13"/>
    <w:rsid w:val="00563F5F"/>
    <w:rsid w:val="00564005"/>
    <w:rsid w:val="00564143"/>
    <w:rsid w:val="00564176"/>
    <w:rsid w:val="005641B9"/>
    <w:rsid w:val="005641BB"/>
    <w:rsid w:val="005641DA"/>
    <w:rsid w:val="00564258"/>
    <w:rsid w:val="0056433C"/>
    <w:rsid w:val="0056433E"/>
    <w:rsid w:val="00564352"/>
    <w:rsid w:val="00564547"/>
    <w:rsid w:val="00564577"/>
    <w:rsid w:val="00564598"/>
    <w:rsid w:val="00564609"/>
    <w:rsid w:val="00564659"/>
    <w:rsid w:val="00564740"/>
    <w:rsid w:val="005647BD"/>
    <w:rsid w:val="00564814"/>
    <w:rsid w:val="005648C9"/>
    <w:rsid w:val="0056496E"/>
    <w:rsid w:val="0056497E"/>
    <w:rsid w:val="005649C6"/>
    <w:rsid w:val="00564A90"/>
    <w:rsid w:val="00564BC2"/>
    <w:rsid w:val="00564BE9"/>
    <w:rsid w:val="00564BF6"/>
    <w:rsid w:val="00564C16"/>
    <w:rsid w:val="00564CF6"/>
    <w:rsid w:val="00564DD3"/>
    <w:rsid w:val="00564F49"/>
    <w:rsid w:val="00564F6C"/>
    <w:rsid w:val="005650D0"/>
    <w:rsid w:val="00565132"/>
    <w:rsid w:val="00565160"/>
    <w:rsid w:val="00565214"/>
    <w:rsid w:val="00565282"/>
    <w:rsid w:val="00565295"/>
    <w:rsid w:val="00565378"/>
    <w:rsid w:val="0056547D"/>
    <w:rsid w:val="005654A3"/>
    <w:rsid w:val="005654A4"/>
    <w:rsid w:val="005654E8"/>
    <w:rsid w:val="0056550D"/>
    <w:rsid w:val="0056562B"/>
    <w:rsid w:val="0056562C"/>
    <w:rsid w:val="00565631"/>
    <w:rsid w:val="00565734"/>
    <w:rsid w:val="0056582C"/>
    <w:rsid w:val="00565844"/>
    <w:rsid w:val="005658A0"/>
    <w:rsid w:val="00565968"/>
    <w:rsid w:val="005659F1"/>
    <w:rsid w:val="00565A07"/>
    <w:rsid w:val="00565A70"/>
    <w:rsid w:val="00565AF3"/>
    <w:rsid w:val="00565C46"/>
    <w:rsid w:val="00565C5C"/>
    <w:rsid w:val="00565D09"/>
    <w:rsid w:val="00565DB1"/>
    <w:rsid w:val="00565DCC"/>
    <w:rsid w:val="00565E35"/>
    <w:rsid w:val="00565E64"/>
    <w:rsid w:val="00565EF0"/>
    <w:rsid w:val="00565FC9"/>
    <w:rsid w:val="00566150"/>
    <w:rsid w:val="00566216"/>
    <w:rsid w:val="005664A3"/>
    <w:rsid w:val="00566538"/>
    <w:rsid w:val="00566650"/>
    <w:rsid w:val="005667CB"/>
    <w:rsid w:val="00566804"/>
    <w:rsid w:val="005668D8"/>
    <w:rsid w:val="00566998"/>
    <w:rsid w:val="00566A12"/>
    <w:rsid w:val="00566A64"/>
    <w:rsid w:val="00566AC1"/>
    <w:rsid w:val="00566ACF"/>
    <w:rsid w:val="00566B95"/>
    <w:rsid w:val="00566BFE"/>
    <w:rsid w:val="00566C65"/>
    <w:rsid w:val="00566D17"/>
    <w:rsid w:val="00566D92"/>
    <w:rsid w:val="00566D97"/>
    <w:rsid w:val="00566EAA"/>
    <w:rsid w:val="00566FD7"/>
    <w:rsid w:val="005670A6"/>
    <w:rsid w:val="005670EE"/>
    <w:rsid w:val="0056716B"/>
    <w:rsid w:val="00567175"/>
    <w:rsid w:val="005672A2"/>
    <w:rsid w:val="00567332"/>
    <w:rsid w:val="005673A6"/>
    <w:rsid w:val="005673C0"/>
    <w:rsid w:val="005673D8"/>
    <w:rsid w:val="005674B7"/>
    <w:rsid w:val="00567503"/>
    <w:rsid w:val="00567531"/>
    <w:rsid w:val="0056756D"/>
    <w:rsid w:val="00567593"/>
    <w:rsid w:val="005675B0"/>
    <w:rsid w:val="00567625"/>
    <w:rsid w:val="0056766C"/>
    <w:rsid w:val="005676EC"/>
    <w:rsid w:val="005676F8"/>
    <w:rsid w:val="0056771D"/>
    <w:rsid w:val="005677BB"/>
    <w:rsid w:val="00567836"/>
    <w:rsid w:val="00567885"/>
    <w:rsid w:val="005678AF"/>
    <w:rsid w:val="0056799A"/>
    <w:rsid w:val="005679FF"/>
    <w:rsid w:val="00567A12"/>
    <w:rsid w:val="00567A1A"/>
    <w:rsid w:val="00567B5E"/>
    <w:rsid w:val="00567BB1"/>
    <w:rsid w:val="00567BC7"/>
    <w:rsid w:val="00567BDD"/>
    <w:rsid w:val="00567BE1"/>
    <w:rsid w:val="00567C09"/>
    <w:rsid w:val="00567C1B"/>
    <w:rsid w:val="00567CBF"/>
    <w:rsid w:val="00567D45"/>
    <w:rsid w:val="00567EAD"/>
    <w:rsid w:val="00567FBC"/>
    <w:rsid w:val="00567FF6"/>
    <w:rsid w:val="0057001E"/>
    <w:rsid w:val="005700B7"/>
    <w:rsid w:val="005700F5"/>
    <w:rsid w:val="00570121"/>
    <w:rsid w:val="005701B8"/>
    <w:rsid w:val="005701EC"/>
    <w:rsid w:val="005701FE"/>
    <w:rsid w:val="0057020E"/>
    <w:rsid w:val="00570277"/>
    <w:rsid w:val="005702E7"/>
    <w:rsid w:val="00570322"/>
    <w:rsid w:val="00570352"/>
    <w:rsid w:val="00570469"/>
    <w:rsid w:val="00570488"/>
    <w:rsid w:val="00570577"/>
    <w:rsid w:val="005705D6"/>
    <w:rsid w:val="005705D8"/>
    <w:rsid w:val="005706CD"/>
    <w:rsid w:val="00570766"/>
    <w:rsid w:val="005707C3"/>
    <w:rsid w:val="00570816"/>
    <w:rsid w:val="00570851"/>
    <w:rsid w:val="00570945"/>
    <w:rsid w:val="005709A4"/>
    <w:rsid w:val="005709F4"/>
    <w:rsid w:val="00570A0D"/>
    <w:rsid w:val="00570A7D"/>
    <w:rsid w:val="00570AE9"/>
    <w:rsid w:val="00570B07"/>
    <w:rsid w:val="00570B56"/>
    <w:rsid w:val="00570B83"/>
    <w:rsid w:val="00570CC4"/>
    <w:rsid w:val="00570EB1"/>
    <w:rsid w:val="00570EF6"/>
    <w:rsid w:val="00571110"/>
    <w:rsid w:val="00571118"/>
    <w:rsid w:val="00571152"/>
    <w:rsid w:val="005712E5"/>
    <w:rsid w:val="005713AB"/>
    <w:rsid w:val="00571435"/>
    <w:rsid w:val="0057144E"/>
    <w:rsid w:val="00571502"/>
    <w:rsid w:val="00571595"/>
    <w:rsid w:val="0057159B"/>
    <w:rsid w:val="005715A5"/>
    <w:rsid w:val="005715A6"/>
    <w:rsid w:val="0057170A"/>
    <w:rsid w:val="005717CB"/>
    <w:rsid w:val="00571808"/>
    <w:rsid w:val="00571991"/>
    <w:rsid w:val="005719C5"/>
    <w:rsid w:val="00571A20"/>
    <w:rsid w:val="00571B5E"/>
    <w:rsid w:val="00571BB2"/>
    <w:rsid w:val="00571C11"/>
    <w:rsid w:val="00571C51"/>
    <w:rsid w:val="00571C5E"/>
    <w:rsid w:val="00571CDD"/>
    <w:rsid w:val="00571EBF"/>
    <w:rsid w:val="00571F6B"/>
    <w:rsid w:val="00571FA4"/>
    <w:rsid w:val="00571FC7"/>
    <w:rsid w:val="00572014"/>
    <w:rsid w:val="005720C1"/>
    <w:rsid w:val="005720EA"/>
    <w:rsid w:val="00572247"/>
    <w:rsid w:val="00572259"/>
    <w:rsid w:val="005723F3"/>
    <w:rsid w:val="005723F9"/>
    <w:rsid w:val="0057264C"/>
    <w:rsid w:val="0057269F"/>
    <w:rsid w:val="005726A2"/>
    <w:rsid w:val="005726BE"/>
    <w:rsid w:val="00572775"/>
    <w:rsid w:val="005727FD"/>
    <w:rsid w:val="00572812"/>
    <w:rsid w:val="00572869"/>
    <w:rsid w:val="00572981"/>
    <w:rsid w:val="00572AA9"/>
    <w:rsid w:val="00572B4A"/>
    <w:rsid w:val="00572B9D"/>
    <w:rsid w:val="00572BA0"/>
    <w:rsid w:val="00572C15"/>
    <w:rsid w:val="00572C2A"/>
    <w:rsid w:val="00572C53"/>
    <w:rsid w:val="00572C56"/>
    <w:rsid w:val="00572D90"/>
    <w:rsid w:val="00572E0C"/>
    <w:rsid w:val="00572F30"/>
    <w:rsid w:val="00572F76"/>
    <w:rsid w:val="00573133"/>
    <w:rsid w:val="00573162"/>
    <w:rsid w:val="005734E6"/>
    <w:rsid w:val="00573554"/>
    <w:rsid w:val="005735BF"/>
    <w:rsid w:val="005735C6"/>
    <w:rsid w:val="00573620"/>
    <w:rsid w:val="00573670"/>
    <w:rsid w:val="005736EB"/>
    <w:rsid w:val="005737B2"/>
    <w:rsid w:val="005737F1"/>
    <w:rsid w:val="0057383C"/>
    <w:rsid w:val="00573974"/>
    <w:rsid w:val="00573A74"/>
    <w:rsid w:val="00573A7A"/>
    <w:rsid w:val="00573AB7"/>
    <w:rsid w:val="00573C65"/>
    <w:rsid w:val="00573CC6"/>
    <w:rsid w:val="00573CFD"/>
    <w:rsid w:val="00573D4B"/>
    <w:rsid w:val="00573D56"/>
    <w:rsid w:val="00573DC9"/>
    <w:rsid w:val="00573DFD"/>
    <w:rsid w:val="00573E47"/>
    <w:rsid w:val="00573F0B"/>
    <w:rsid w:val="00573F29"/>
    <w:rsid w:val="005740B3"/>
    <w:rsid w:val="005740C7"/>
    <w:rsid w:val="00574109"/>
    <w:rsid w:val="0057417D"/>
    <w:rsid w:val="00574193"/>
    <w:rsid w:val="005741DD"/>
    <w:rsid w:val="0057426D"/>
    <w:rsid w:val="0057427D"/>
    <w:rsid w:val="005742DE"/>
    <w:rsid w:val="005742F5"/>
    <w:rsid w:val="0057433D"/>
    <w:rsid w:val="00574369"/>
    <w:rsid w:val="0057438B"/>
    <w:rsid w:val="005743BB"/>
    <w:rsid w:val="005744CE"/>
    <w:rsid w:val="0057450C"/>
    <w:rsid w:val="00574521"/>
    <w:rsid w:val="0057453C"/>
    <w:rsid w:val="0057458D"/>
    <w:rsid w:val="005745B7"/>
    <w:rsid w:val="0057462C"/>
    <w:rsid w:val="0057466C"/>
    <w:rsid w:val="0057467B"/>
    <w:rsid w:val="005746A8"/>
    <w:rsid w:val="00574775"/>
    <w:rsid w:val="00574777"/>
    <w:rsid w:val="005747E9"/>
    <w:rsid w:val="0057485E"/>
    <w:rsid w:val="00574A6E"/>
    <w:rsid w:val="00574A8B"/>
    <w:rsid w:val="00574AD2"/>
    <w:rsid w:val="00574B02"/>
    <w:rsid w:val="00574B45"/>
    <w:rsid w:val="00574BC4"/>
    <w:rsid w:val="00574C66"/>
    <w:rsid w:val="00574D00"/>
    <w:rsid w:val="00574D19"/>
    <w:rsid w:val="00574DB3"/>
    <w:rsid w:val="00574E58"/>
    <w:rsid w:val="00574EAE"/>
    <w:rsid w:val="00574F7C"/>
    <w:rsid w:val="00575065"/>
    <w:rsid w:val="0057513B"/>
    <w:rsid w:val="005751C5"/>
    <w:rsid w:val="0057520F"/>
    <w:rsid w:val="00575225"/>
    <w:rsid w:val="0057525E"/>
    <w:rsid w:val="00575274"/>
    <w:rsid w:val="005752A6"/>
    <w:rsid w:val="005755ED"/>
    <w:rsid w:val="00575629"/>
    <w:rsid w:val="005756B7"/>
    <w:rsid w:val="0057572B"/>
    <w:rsid w:val="0057576A"/>
    <w:rsid w:val="005757D9"/>
    <w:rsid w:val="00575874"/>
    <w:rsid w:val="005758AC"/>
    <w:rsid w:val="005758B2"/>
    <w:rsid w:val="005758C5"/>
    <w:rsid w:val="00575946"/>
    <w:rsid w:val="005759E3"/>
    <w:rsid w:val="00575A5F"/>
    <w:rsid w:val="00575AE6"/>
    <w:rsid w:val="00575B75"/>
    <w:rsid w:val="00575C27"/>
    <w:rsid w:val="00575D1B"/>
    <w:rsid w:val="00575DB3"/>
    <w:rsid w:val="00575DBA"/>
    <w:rsid w:val="00575DCF"/>
    <w:rsid w:val="00575DEF"/>
    <w:rsid w:val="00575E5D"/>
    <w:rsid w:val="00575F18"/>
    <w:rsid w:val="0057608E"/>
    <w:rsid w:val="005760A4"/>
    <w:rsid w:val="00576109"/>
    <w:rsid w:val="00576161"/>
    <w:rsid w:val="005762CC"/>
    <w:rsid w:val="005762D2"/>
    <w:rsid w:val="0057634F"/>
    <w:rsid w:val="0057637D"/>
    <w:rsid w:val="00576385"/>
    <w:rsid w:val="00576429"/>
    <w:rsid w:val="0057643A"/>
    <w:rsid w:val="0057649E"/>
    <w:rsid w:val="0057655B"/>
    <w:rsid w:val="00576686"/>
    <w:rsid w:val="005766B4"/>
    <w:rsid w:val="0057670D"/>
    <w:rsid w:val="0057671F"/>
    <w:rsid w:val="0057695F"/>
    <w:rsid w:val="00576973"/>
    <w:rsid w:val="00576B4D"/>
    <w:rsid w:val="00576B7F"/>
    <w:rsid w:val="00576C1D"/>
    <w:rsid w:val="00576C27"/>
    <w:rsid w:val="00576C37"/>
    <w:rsid w:val="00576C3B"/>
    <w:rsid w:val="00576CB4"/>
    <w:rsid w:val="00576E39"/>
    <w:rsid w:val="00576EC7"/>
    <w:rsid w:val="00576EE9"/>
    <w:rsid w:val="00576FCA"/>
    <w:rsid w:val="0057704D"/>
    <w:rsid w:val="005770C7"/>
    <w:rsid w:val="00577152"/>
    <w:rsid w:val="00577159"/>
    <w:rsid w:val="005771C5"/>
    <w:rsid w:val="005772B2"/>
    <w:rsid w:val="00577305"/>
    <w:rsid w:val="00577312"/>
    <w:rsid w:val="0057731F"/>
    <w:rsid w:val="00577326"/>
    <w:rsid w:val="0057734F"/>
    <w:rsid w:val="0057736B"/>
    <w:rsid w:val="00577378"/>
    <w:rsid w:val="00577517"/>
    <w:rsid w:val="00577696"/>
    <w:rsid w:val="005776B2"/>
    <w:rsid w:val="005778A4"/>
    <w:rsid w:val="00577959"/>
    <w:rsid w:val="00577AC8"/>
    <w:rsid w:val="00577AD0"/>
    <w:rsid w:val="00577AF1"/>
    <w:rsid w:val="00577B17"/>
    <w:rsid w:val="00577B4D"/>
    <w:rsid w:val="00577BEE"/>
    <w:rsid w:val="00577CA5"/>
    <w:rsid w:val="00577CC8"/>
    <w:rsid w:val="00577D5F"/>
    <w:rsid w:val="00577E12"/>
    <w:rsid w:val="00577E48"/>
    <w:rsid w:val="00577EF5"/>
    <w:rsid w:val="00577F09"/>
    <w:rsid w:val="00577F57"/>
    <w:rsid w:val="00577F8D"/>
    <w:rsid w:val="00577F95"/>
    <w:rsid w:val="00580021"/>
    <w:rsid w:val="0058010D"/>
    <w:rsid w:val="005803AB"/>
    <w:rsid w:val="005803C0"/>
    <w:rsid w:val="0058041C"/>
    <w:rsid w:val="0058055B"/>
    <w:rsid w:val="0058056C"/>
    <w:rsid w:val="0058059E"/>
    <w:rsid w:val="00580745"/>
    <w:rsid w:val="00580790"/>
    <w:rsid w:val="005807C6"/>
    <w:rsid w:val="005807E8"/>
    <w:rsid w:val="005807EC"/>
    <w:rsid w:val="0058081C"/>
    <w:rsid w:val="005808B3"/>
    <w:rsid w:val="00580A0A"/>
    <w:rsid w:val="00580AD2"/>
    <w:rsid w:val="00580B05"/>
    <w:rsid w:val="00580B55"/>
    <w:rsid w:val="00580C76"/>
    <w:rsid w:val="00580CC5"/>
    <w:rsid w:val="00580D67"/>
    <w:rsid w:val="00580E80"/>
    <w:rsid w:val="00581092"/>
    <w:rsid w:val="0058109F"/>
    <w:rsid w:val="00581120"/>
    <w:rsid w:val="0058118F"/>
    <w:rsid w:val="0058119C"/>
    <w:rsid w:val="005811A6"/>
    <w:rsid w:val="005811B0"/>
    <w:rsid w:val="0058122F"/>
    <w:rsid w:val="005812ED"/>
    <w:rsid w:val="005813B1"/>
    <w:rsid w:val="00581403"/>
    <w:rsid w:val="005814D1"/>
    <w:rsid w:val="00581567"/>
    <w:rsid w:val="00581683"/>
    <w:rsid w:val="005817C0"/>
    <w:rsid w:val="005817E3"/>
    <w:rsid w:val="005818E2"/>
    <w:rsid w:val="00581921"/>
    <w:rsid w:val="00581ADA"/>
    <w:rsid w:val="00581AE2"/>
    <w:rsid w:val="00581B2F"/>
    <w:rsid w:val="00581B55"/>
    <w:rsid w:val="00581C28"/>
    <w:rsid w:val="00581CD2"/>
    <w:rsid w:val="00581CF0"/>
    <w:rsid w:val="00581FDD"/>
    <w:rsid w:val="0058200A"/>
    <w:rsid w:val="0058207F"/>
    <w:rsid w:val="005821D7"/>
    <w:rsid w:val="005821E3"/>
    <w:rsid w:val="005821FB"/>
    <w:rsid w:val="0058222A"/>
    <w:rsid w:val="005822F1"/>
    <w:rsid w:val="0058235C"/>
    <w:rsid w:val="00582378"/>
    <w:rsid w:val="005823BA"/>
    <w:rsid w:val="005823C5"/>
    <w:rsid w:val="0058245F"/>
    <w:rsid w:val="00582580"/>
    <w:rsid w:val="005826E5"/>
    <w:rsid w:val="00582730"/>
    <w:rsid w:val="005828DC"/>
    <w:rsid w:val="0058296C"/>
    <w:rsid w:val="005829EC"/>
    <w:rsid w:val="00582A08"/>
    <w:rsid w:val="00582A60"/>
    <w:rsid w:val="00582A88"/>
    <w:rsid w:val="00582B2C"/>
    <w:rsid w:val="00582B47"/>
    <w:rsid w:val="00582C44"/>
    <w:rsid w:val="00582D00"/>
    <w:rsid w:val="00582D23"/>
    <w:rsid w:val="00582F5B"/>
    <w:rsid w:val="00583026"/>
    <w:rsid w:val="00583056"/>
    <w:rsid w:val="0058306B"/>
    <w:rsid w:val="005830D2"/>
    <w:rsid w:val="00583132"/>
    <w:rsid w:val="005832B3"/>
    <w:rsid w:val="00583344"/>
    <w:rsid w:val="00583375"/>
    <w:rsid w:val="0058340B"/>
    <w:rsid w:val="00583437"/>
    <w:rsid w:val="00583446"/>
    <w:rsid w:val="0058346C"/>
    <w:rsid w:val="00583539"/>
    <w:rsid w:val="005835AE"/>
    <w:rsid w:val="005835AF"/>
    <w:rsid w:val="005835FE"/>
    <w:rsid w:val="00583619"/>
    <w:rsid w:val="005836DF"/>
    <w:rsid w:val="005836FD"/>
    <w:rsid w:val="005837C0"/>
    <w:rsid w:val="0058389B"/>
    <w:rsid w:val="005838A6"/>
    <w:rsid w:val="005838C0"/>
    <w:rsid w:val="00583943"/>
    <w:rsid w:val="00583A4A"/>
    <w:rsid w:val="00583A56"/>
    <w:rsid w:val="00583A60"/>
    <w:rsid w:val="00583A73"/>
    <w:rsid w:val="00583A96"/>
    <w:rsid w:val="00583AB8"/>
    <w:rsid w:val="00583B49"/>
    <w:rsid w:val="00583BC7"/>
    <w:rsid w:val="00583C4A"/>
    <w:rsid w:val="00583CFC"/>
    <w:rsid w:val="00583D1E"/>
    <w:rsid w:val="00583D60"/>
    <w:rsid w:val="00583D98"/>
    <w:rsid w:val="00583DC3"/>
    <w:rsid w:val="00583DE9"/>
    <w:rsid w:val="00583E07"/>
    <w:rsid w:val="00583E9F"/>
    <w:rsid w:val="00583F74"/>
    <w:rsid w:val="00583FF3"/>
    <w:rsid w:val="0058402A"/>
    <w:rsid w:val="00584138"/>
    <w:rsid w:val="00584200"/>
    <w:rsid w:val="005843F8"/>
    <w:rsid w:val="00584401"/>
    <w:rsid w:val="0058444B"/>
    <w:rsid w:val="00584563"/>
    <w:rsid w:val="00584779"/>
    <w:rsid w:val="005847BA"/>
    <w:rsid w:val="005847BC"/>
    <w:rsid w:val="00584856"/>
    <w:rsid w:val="005848CD"/>
    <w:rsid w:val="0058492D"/>
    <w:rsid w:val="005849DC"/>
    <w:rsid w:val="00584AAD"/>
    <w:rsid w:val="00584B5B"/>
    <w:rsid w:val="00584BE7"/>
    <w:rsid w:val="00584C78"/>
    <w:rsid w:val="00584C83"/>
    <w:rsid w:val="00584D26"/>
    <w:rsid w:val="00584D47"/>
    <w:rsid w:val="00584D52"/>
    <w:rsid w:val="00584DFB"/>
    <w:rsid w:val="00584F89"/>
    <w:rsid w:val="0058503F"/>
    <w:rsid w:val="00585064"/>
    <w:rsid w:val="00585261"/>
    <w:rsid w:val="00585271"/>
    <w:rsid w:val="005852AB"/>
    <w:rsid w:val="00585319"/>
    <w:rsid w:val="00585369"/>
    <w:rsid w:val="00585390"/>
    <w:rsid w:val="00585397"/>
    <w:rsid w:val="005853C4"/>
    <w:rsid w:val="00585568"/>
    <w:rsid w:val="005855B9"/>
    <w:rsid w:val="00585776"/>
    <w:rsid w:val="00585846"/>
    <w:rsid w:val="005858D8"/>
    <w:rsid w:val="0058593F"/>
    <w:rsid w:val="0058596E"/>
    <w:rsid w:val="00585979"/>
    <w:rsid w:val="00585990"/>
    <w:rsid w:val="005859C5"/>
    <w:rsid w:val="005859C9"/>
    <w:rsid w:val="005859CD"/>
    <w:rsid w:val="00585A37"/>
    <w:rsid w:val="00585A44"/>
    <w:rsid w:val="00585B53"/>
    <w:rsid w:val="00585BB4"/>
    <w:rsid w:val="00585C21"/>
    <w:rsid w:val="00585C9A"/>
    <w:rsid w:val="00585CD2"/>
    <w:rsid w:val="00585D04"/>
    <w:rsid w:val="00585D26"/>
    <w:rsid w:val="00585D52"/>
    <w:rsid w:val="00585E6B"/>
    <w:rsid w:val="00585E78"/>
    <w:rsid w:val="00585F92"/>
    <w:rsid w:val="00586165"/>
    <w:rsid w:val="005861C5"/>
    <w:rsid w:val="00586258"/>
    <w:rsid w:val="005862FA"/>
    <w:rsid w:val="005863D8"/>
    <w:rsid w:val="0058657F"/>
    <w:rsid w:val="00586596"/>
    <w:rsid w:val="00586605"/>
    <w:rsid w:val="00586856"/>
    <w:rsid w:val="0058689E"/>
    <w:rsid w:val="005868DE"/>
    <w:rsid w:val="00586910"/>
    <w:rsid w:val="00586945"/>
    <w:rsid w:val="00586A20"/>
    <w:rsid w:val="00586A44"/>
    <w:rsid w:val="00586A45"/>
    <w:rsid w:val="00586AD5"/>
    <w:rsid w:val="00586BA2"/>
    <w:rsid w:val="00586C28"/>
    <w:rsid w:val="00586C60"/>
    <w:rsid w:val="00586CAF"/>
    <w:rsid w:val="00586CFD"/>
    <w:rsid w:val="00586D8A"/>
    <w:rsid w:val="00586D9D"/>
    <w:rsid w:val="00586EA3"/>
    <w:rsid w:val="00586F1B"/>
    <w:rsid w:val="00587063"/>
    <w:rsid w:val="0058708F"/>
    <w:rsid w:val="0058709D"/>
    <w:rsid w:val="005870FE"/>
    <w:rsid w:val="00587104"/>
    <w:rsid w:val="0058711B"/>
    <w:rsid w:val="0058712D"/>
    <w:rsid w:val="005871C8"/>
    <w:rsid w:val="005871E1"/>
    <w:rsid w:val="00587209"/>
    <w:rsid w:val="005872D1"/>
    <w:rsid w:val="005872F4"/>
    <w:rsid w:val="00587370"/>
    <w:rsid w:val="005873C0"/>
    <w:rsid w:val="00587558"/>
    <w:rsid w:val="00587582"/>
    <w:rsid w:val="00587641"/>
    <w:rsid w:val="00587654"/>
    <w:rsid w:val="00587676"/>
    <w:rsid w:val="005876CE"/>
    <w:rsid w:val="00587720"/>
    <w:rsid w:val="0058773C"/>
    <w:rsid w:val="005877AC"/>
    <w:rsid w:val="00587836"/>
    <w:rsid w:val="00587842"/>
    <w:rsid w:val="0058787F"/>
    <w:rsid w:val="0058789C"/>
    <w:rsid w:val="00587B60"/>
    <w:rsid w:val="00587B9B"/>
    <w:rsid w:val="00587BD2"/>
    <w:rsid w:val="00587C16"/>
    <w:rsid w:val="00587C27"/>
    <w:rsid w:val="00587C2A"/>
    <w:rsid w:val="00587C93"/>
    <w:rsid w:val="00587D2D"/>
    <w:rsid w:val="0058AB8F"/>
    <w:rsid w:val="00590021"/>
    <w:rsid w:val="0059007E"/>
    <w:rsid w:val="005901B6"/>
    <w:rsid w:val="005901D1"/>
    <w:rsid w:val="00590268"/>
    <w:rsid w:val="00590271"/>
    <w:rsid w:val="0059033D"/>
    <w:rsid w:val="00590445"/>
    <w:rsid w:val="005904FF"/>
    <w:rsid w:val="00590516"/>
    <w:rsid w:val="005905BA"/>
    <w:rsid w:val="00590603"/>
    <w:rsid w:val="00590618"/>
    <w:rsid w:val="0059065D"/>
    <w:rsid w:val="00590688"/>
    <w:rsid w:val="0059068E"/>
    <w:rsid w:val="00590767"/>
    <w:rsid w:val="00590836"/>
    <w:rsid w:val="00590852"/>
    <w:rsid w:val="005908F5"/>
    <w:rsid w:val="00590953"/>
    <w:rsid w:val="00590A25"/>
    <w:rsid w:val="00590B68"/>
    <w:rsid w:val="00590BCD"/>
    <w:rsid w:val="00590C42"/>
    <w:rsid w:val="00590D94"/>
    <w:rsid w:val="00590DDA"/>
    <w:rsid w:val="00590F29"/>
    <w:rsid w:val="00590F49"/>
    <w:rsid w:val="00590F4A"/>
    <w:rsid w:val="00591063"/>
    <w:rsid w:val="00591069"/>
    <w:rsid w:val="0059108F"/>
    <w:rsid w:val="0059116A"/>
    <w:rsid w:val="005911C2"/>
    <w:rsid w:val="005911ED"/>
    <w:rsid w:val="005911FA"/>
    <w:rsid w:val="0059121B"/>
    <w:rsid w:val="00591277"/>
    <w:rsid w:val="005912EE"/>
    <w:rsid w:val="0059135A"/>
    <w:rsid w:val="005913B5"/>
    <w:rsid w:val="0059145F"/>
    <w:rsid w:val="00591469"/>
    <w:rsid w:val="005914EA"/>
    <w:rsid w:val="00591565"/>
    <w:rsid w:val="005916CF"/>
    <w:rsid w:val="005916DD"/>
    <w:rsid w:val="005917E4"/>
    <w:rsid w:val="00591812"/>
    <w:rsid w:val="00591858"/>
    <w:rsid w:val="00591A33"/>
    <w:rsid w:val="00591A5C"/>
    <w:rsid w:val="00591A5E"/>
    <w:rsid w:val="00591AA6"/>
    <w:rsid w:val="00591B14"/>
    <w:rsid w:val="00591B34"/>
    <w:rsid w:val="00591C81"/>
    <w:rsid w:val="00591CC1"/>
    <w:rsid w:val="00591CCC"/>
    <w:rsid w:val="00591D4E"/>
    <w:rsid w:val="00591D70"/>
    <w:rsid w:val="00591E15"/>
    <w:rsid w:val="00591E27"/>
    <w:rsid w:val="00591E8F"/>
    <w:rsid w:val="00591F1F"/>
    <w:rsid w:val="00591F5D"/>
    <w:rsid w:val="00591FDE"/>
    <w:rsid w:val="00592064"/>
    <w:rsid w:val="0059206D"/>
    <w:rsid w:val="0059208D"/>
    <w:rsid w:val="0059224A"/>
    <w:rsid w:val="00592269"/>
    <w:rsid w:val="0059234D"/>
    <w:rsid w:val="005923C4"/>
    <w:rsid w:val="005923FD"/>
    <w:rsid w:val="00592435"/>
    <w:rsid w:val="005924DC"/>
    <w:rsid w:val="005925C3"/>
    <w:rsid w:val="00592611"/>
    <w:rsid w:val="00592688"/>
    <w:rsid w:val="005926AC"/>
    <w:rsid w:val="0059285B"/>
    <w:rsid w:val="00592868"/>
    <w:rsid w:val="00592877"/>
    <w:rsid w:val="0059287A"/>
    <w:rsid w:val="005928B3"/>
    <w:rsid w:val="00592907"/>
    <w:rsid w:val="0059295E"/>
    <w:rsid w:val="00592961"/>
    <w:rsid w:val="00592A4F"/>
    <w:rsid w:val="00592A50"/>
    <w:rsid w:val="00592AE0"/>
    <w:rsid w:val="00592B95"/>
    <w:rsid w:val="00592D02"/>
    <w:rsid w:val="00592D04"/>
    <w:rsid w:val="00592E73"/>
    <w:rsid w:val="00592EA0"/>
    <w:rsid w:val="00592EBA"/>
    <w:rsid w:val="00592EE2"/>
    <w:rsid w:val="00592F5A"/>
    <w:rsid w:val="00592FAD"/>
    <w:rsid w:val="00592FEB"/>
    <w:rsid w:val="00593126"/>
    <w:rsid w:val="005931BC"/>
    <w:rsid w:val="0059326D"/>
    <w:rsid w:val="0059329B"/>
    <w:rsid w:val="005932C6"/>
    <w:rsid w:val="005932FC"/>
    <w:rsid w:val="005932FD"/>
    <w:rsid w:val="00593307"/>
    <w:rsid w:val="005933FF"/>
    <w:rsid w:val="00593494"/>
    <w:rsid w:val="005936F2"/>
    <w:rsid w:val="0059385D"/>
    <w:rsid w:val="0059387A"/>
    <w:rsid w:val="005938DB"/>
    <w:rsid w:val="00593987"/>
    <w:rsid w:val="00593A23"/>
    <w:rsid w:val="00593BB8"/>
    <w:rsid w:val="00593C9A"/>
    <w:rsid w:val="00593CBD"/>
    <w:rsid w:val="00593D1E"/>
    <w:rsid w:val="00593D46"/>
    <w:rsid w:val="00593E68"/>
    <w:rsid w:val="00593F75"/>
    <w:rsid w:val="00594033"/>
    <w:rsid w:val="0059419A"/>
    <w:rsid w:val="0059451C"/>
    <w:rsid w:val="00594545"/>
    <w:rsid w:val="00594610"/>
    <w:rsid w:val="00594622"/>
    <w:rsid w:val="0059466F"/>
    <w:rsid w:val="00594698"/>
    <w:rsid w:val="005946AB"/>
    <w:rsid w:val="005946D6"/>
    <w:rsid w:val="005946E4"/>
    <w:rsid w:val="0059480D"/>
    <w:rsid w:val="00594894"/>
    <w:rsid w:val="005948CE"/>
    <w:rsid w:val="005948E4"/>
    <w:rsid w:val="0059495C"/>
    <w:rsid w:val="00594A5D"/>
    <w:rsid w:val="00594AD4"/>
    <w:rsid w:val="00594B82"/>
    <w:rsid w:val="00594CDA"/>
    <w:rsid w:val="00594D12"/>
    <w:rsid w:val="00594E44"/>
    <w:rsid w:val="00594E9F"/>
    <w:rsid w:val="00594F5B"/>
    <w:rsid w:val="00594F82"/>
    <w:rsid w:val="00595051"/>
    <w:rsid w:val="00595084"/>
    <w:rsid w:val="00595121"/>
    <w:rsid w:val="005951A6"/>
    <w:rsid w:val="00595229"/>
    <w:rsid w:val="00595270"/>
    <w:rsid w:val="0059527A"/>
    <w:rsid w:val="0059537A"/>
    <w:rsid w:val="0059539A"/>
    <w:rsid w:val="005953EA"/>
    <w:rsid w:val="005953EB"/>
    <w:rsid w:val="00595453"/>
    <w:rsid w:val="0059545C"/>
    <w:rsid w:val="00595466"/>
    <w:rsid w:val="00595571"/>
    <w:rsid w:val="0059559D"/>
    <w:rsid w:val="0059564C"/>
    <w:rsid w:val="0059567C"/>
    <w:rsid w:val="005956EC"/>
    <w:rsid w:val="00595726"/>
    <w:rsid w:val="00595762"/>
    <w:rsid w:val="0059579B"/>
    <w:rsid w:val="0059579F"/>
    <w:rsid w:val="005957AA"/>
    <w:rsid w:val="0059583E"/>
    <w:rsid w:val="005958B7"/>
    <w:rsid w:val="0059591D"/>
    <w:rsid w:val="00595944"/>
    <w:rsid w:val="00595A0D"/>
    <w:rsid w:val="00595A7D"/>
    <w:rsid w:val="00595AE5"/>
    <w:rsid w:val="00595B8B"/>
    <w:rsid w:val="00595C5B"/>
    <w:rsid w:val="00595C85"/>
    <w:rsid w:val="00595D14"/>
    <w:rsid w:val="00595E8D"/>
    <w:rsid w:val="00595F38"/>
    <w:rsid w:val="005960A2"/>
    <w:rsid w:val="005960F3"/>
    <w:rsid w:val="00596135"/>
    <w:rsid w:val="0059619A"/>
    <w:rsid w:val="00596205"/>
    <w:rsid w:val="005962A9"/>
    <w:rsid w:val="005962C9"/>
    <w:rsid w:val="005962F4"/>
    <w:rsid w:val="0059635E"/>
    <w:rsid w:val="005963B9"/>
    <w:rsid w:val="0059650B"/>
    <w:rsid w:val="0059650C"/>
    <w:rsid w:val="00596532"/>
    <w:rsid w:val="005965CE"/>
    <w:rsid w:val="0059667B"/>
    <w:rsid w:val="0059669E"/>
    <w:rsid w:val="005966B7"/>
    <w:rsid w:val="005966F1"/>
    <w:rsid w:val="00596730"/>
    <w:rsid w:val="00596820"/>
    <w:rsid w:val="00596995"/>
    <w:rsid w:val="005969E4"/>
    <w:rsid w:val="005969F5"/>
    <w:rsid w:val="00596AE2"/>
    <w:rsid w:val="00596BC8"/>
    <w:rsid w:val="00596DFB"/>
    <w:rsid w:val="00596E0A"/>
    <w:rsid w:val="00596E12"/>
    <w:rsid w:val="00596E69"/>
    <w:rsid w:val="00596F4B"/>
    <w:rsid w:val="00596F4C"/>
    <w:rsid w:val="005970A9"/>
    <w:rsid w:val="005970CC"/>
    <w:rsid w:val="00597186"/>
    <w:rsid w:val="0059718F"/>
    <w:rsid w:val="005971F3"/>
    <w:rsid w:val="005971F7"/>
    <w:rsid w:val="005971FA"/>
    <w:rsid w:val="0059720D"/>
    <w:rsid w:val="00597248"/>
    <w:rsid w:val="00597284"/>
    <w:rsid w:val="0059728F"/>
    <w:rsid w:val="005972A5"/>
    <w:rsid w:val="005972F0"/>
    <w:rsid w:val="00597333"/>
    <w:rsid w:val="00597354"/>
    <w:rsid w:val="00597359"/>
    <w:rsid w:val="00597412"/>
    <w:rsid w:val="005974B8"/>
    <w:rsid w:val="0059754B"/>
    <w:rsid w:val="00597551"/>
    <w:rsid w:val="005975D4"/>
    <w:rsid w:val="005977A9"/>
    <w:rsid w:val="005977ED"/>
    <w:rsid w:val="005977FD"/>
    <w:rsid w:val="0059786C"/>
    <w:rsid w:val="0059794C"/>
    <w:rsid w:val="005979EC"/>
    <w:rsid w:val="00597A25"/>
    <w:rsid w:val="00597A96"/>
    <w:rsid w:val="00597ABA"/>
    <w:rsid w:val="00597B30"/>
    <w:rsid w:val="00597B59"/>
    <w:rsid w:val="00597BDF"/>
    <w:rsid w:val="00597BE7"/>
    <w:rsid w:val="00597C24"/>
    <w:rsid w:val="00597C9E"/>
    <w:rsid w:val="00597DAC"/>
    <w:rsid w:val="00597DB4"/>
    <w:rsid w:val="00597DED"/>
    <w:rsid w:val="00597E44"/>
    <w:rsid w:val="00597F4A"/>
    <w:rsid w:val="005A000B"/>
    <w:rsid w:val="005A0105"/>
    <w:rsid w:val="005A012E"/>
    <w:rsid w:val="005A01B6"/>
    <w:rsid w:val="005A027B"/>
    <w:rsid w:val="005A0372"/>
    <w:rsid w:val="005A038C"/>
    <w:rsid w:val="005A03AD"/>
    <w:rsid w:val="005A03ED"/>
    <w:rsid w:val="005A044A"/>
    <w:rsid w:val="005A049F"/>
    <w:rsid w:val="005A04A4"/>
    <w:rsid w:val="005A04C2"/>
    <w:rsid w:val="005A0568"/>
    <w:rsid w:val="005A05F9"/>
    <w:rsid w:val="005A060A"/>
    <w:rsid w:val="005A0637"/>
    <w:rsid w:val="005A0741"/>
    <w:rsid w:val="005A07AC"/>
    <w:rsid w:val="005A07D6"/>
    <w:rsid w:val="005A08DC"/>
    <w:rsid w:val="005A091B"/>
    <w:rsid w:val="005A0953"/>
    <w:rsid w:val="005A0AB7"/>
    <w:rsid w:val="005A0ABA"/>
    <w:rsid w:val="005A0B03"/>
    <w:rsid w:val="005A0B6C"/>
    <w:rsid w:val="005A0C26"/>
    <w:rsid w:val="005A0C58"/>
    <w:rsid w:val="005A0CAB"/>
    <w:rsid w:val="005A0CE1"/>
    <w:rsid w:val="005A0EC8"/>
    <w:rsid w:val="005A0EDA"/>
    <w:rsid w:val="005A106E"/>
    <w:rsid w:val="005A10DB"/>
    <w:rsid w:val="005A113B"/>
    <w:rsid w:val="005A11E2"/>
    <w:rsid w:val="005A1371"/>
    <w:rsid w:val="005A13AA"/>
    <w:rsid w:val="005A144C"/>
    <w:rsid w:val="005A1508"/>
    <w:rsid w:val="005A152B"/>
    <w:rsid w:val="005A158B"/>
    <w:rsid w:val="005A1738"/>
    <w:rsid w:val="005A17D1"/>
    <w:rsid w:val="005A181A"/>
    <w:rsid w:val="005A1828"/>
    <w:rsid w:val="005A186B"/>
    <w:rsid w:val="005A1887"/>
    <w:rsid w:val="005A1989"/>
    <w:rsid w:val="005A19B9"/>
    <w:rsid w:val="005A19E6"/>
    <w:rsid w:val="005A19F5"/>
    <w:rsid w:val="005A1A55"/>
    <w:rsid w:val="005A1B72"/>
    <w:rsid w:val="005A1C42"/>
    <w:rsid w:val="005A1C7E"/>
    <w:rsid w:val="005A1C93"/>
    <w:rsid w:val="005A1CFB"/>
    <w:rsid w:val="005A1D26"/>
    <w:rsid w:val="005A1D8E"/>
    <w:rsid w:val="005A1E4A"/>
    <w:rsid w:val="005A1E50"/>
    <w:rsid w:val="005A1E75"/>
    <w:rsid w:val="005A1EAF"/>
    <w:rsid w:val="005A1EBD"/>
    <w:rsid w:val="005A1EDF"/>
    <w:rsid w:val="005A1F7D"/>
    <w:rsid w:val="005A1F81"/>
    <w:rsid w:val="005A2126"/>
    <w:rsid w:val="005A2164"/>
    <w:rsid w:val="005A2399"/>
    <w:rsid w:val="005A23AC"/>
    <w:rsid w:val="005A243A"/>
    <w:rsid w:val="005A2488"/>
    <w:rsid w:val="005A248B"/>
    <w:rsid w:val="005A2498"/>
    <w:rsid w:val="005A2506"/>
    <w:rsid w:val="005A2597"/>
    <w:rsid w:val="005A26B6"/>
    <w:rsid w:val="005A26DC"/>
    <w:rsid w:val="005A2858"/>
    <w:rsid w:val="005A28EE"/>
    <w:rsid w:val="005A2938"/>
    <w:rsid w:val="005A299B"/>
    <w:rsid w:val="005A29B6"/>
    <w:rsid w:val="005A2A0D"/>
    <w:rsid w:val="005A2ABD"/>
    <w:rsid w:val="005A2BFD"/>
    <w:rsid w:val="005A2C41"/>
    <w:rsid w:val="005A2CA5"/>
    <w:rsid w:val="005A2CD7"/>
    <w:rsid w:val="005A2CF1"/>
    <w:rsid w:val="005A2DAD"/>
    <w:rsid w:val="005A2F0E"/>
    <w:rsid w:val="005A2FB0"/>
    <w:rsid w:val="005A2FC8"/>
    <w:rsid w:val="005A308B"/>
    <w:rsid w:val="005A30DF"/>
    <w:rsid w:val="005A3140"/>
    <w:rsid w:val="005A31AB"/>
    <w:rsid w:val="005A31EC"/>
    <w:rsid w:val="005A3228"/>
    <w:rsid w:val="005A3251"/>
    <w:rsid w:val="005A3286"/>
    <w:rsid w:val="005A328B"/>
    <w:rsid w:val="005A345B"/>
    <w:rsid w:val="005A3519"/>
    <w:rsid w:val="005A3552"/>
    <w:rsid w:val="005A3777"/>
    <w:rsid w:val="005A3865"/>
    <w:rsid w:val="005A3910"/>
    <w:rsid w:val="005A3930"/>
    <w:rsid w:val="005A3937"/>
    <w:rsid w:val="005A393D"/>
    <w:rsid w:val="005A3957"/>
    <w:rsid w:val="005A3963"/>
    <w:rsid w:val="005A39E3"/>
    <w:rsid w:val="005A39FE"/>
    <w:rsid w:val="005A3AF3"/>
    <w:rsid w:val="005A3B35"/>
    <w:rsid w:val="005A3B3D"/>
    <w:rsid w:val="005A3B78"/>
    <w:rsid w:val="005A3BD7"/>
    <w:rsid w:val="005A3BE5"/>
    <w:rsid w:val="005A3C78"/>
    <w:rsid w:val="005A3D3A"/>
    <w:rsid w:val="005A3D55"/>
    <w:rsid w:val="005A3DB6"/>
    <w:rsid w:val="005A3DBC"/>
    <w:rsid w:val="005A3F3E"/>
    <w:rsid w:val="005A3F89"/>
    <w:rsid w:val="005A3F8B"/>
    <w:rsid w:val="005A3F92"/>
    <w:rsid w:val="005A4018"/>
    <w:rsid w:val="005A403F"/>
    <w:rsid w:val="005A4101"/>
    <w:rsid w:val="005A4238"/>
    <w:rsid w:val="005A425C"/>
    <w:rsid w:val="005A42D2"/>
    <w:rsid w:val="005A4324"/>
    <w:rsid w:val="005A4450"/>
    <w:rsid w:val="005A448E"/>
    <w:rsid w:val="005A4588"/>
    <w:rsid w:val="005A45DF"/>
    <w:rsid w:val="005A4653"/>
    <w:rsid w:val="005A4687"/>
    <w:rsid w:val="005A4895"/>
    <w:rsid w:val="005A48E4"/>
    <w:rsid w:val="005A48EE"/>
    <w:rsid w:val="005A4951"/>
    <w:rsid w:val="005A4A0A"/>
    <w:rsid w:val="005A4A58"/>
    <w:rsid w:val="005A4B05"/>
    <w:rsid w:val="005A4B47"/>
    <w:rsid w:val="005A4B53"/>
    <w:rsid w:val="005A4BAF"/>
    <w:rsid w:val="005A4C28"/>
    <w:rsid w:val="005A4D0C"/>
    <w:rsid w:val="005A4D25"/>
    <w:rsid w:val="005A4DF9"/>
    <w:rsid w:val="005A4E3D"/>
    <w:rsid w:val="005A4EB9"/>
    <w:rsid w:val="005A4FB6"/>
    <w:rsid w:val="005A50DB"/>
    <w:rsid w:val="005A52B6"/>
    <w:rsid w:val="005A52F5"/>
    <w:rsid w:val="005A53BE"/>
    <w:rsid w:val="005A53D7"/>
    <w:rsid w:val="005A5445"/>
    <w:rsid w:val="005A545D"/>
    <w:rsid w:val="005A554E"/>
    <w:rsid w:val="005A5552"/>
    <w:rsid w:val="005A569F"/>
    <w:rsid w:val="005A56EE"/>
    <w:rsid w:val="005A5753"/>
    <w:rsid w:val="005A57BD"/>
    <w:rsid w:val="005A57BF"/>
    <w:rsid w:val="005A5820"/>
    <w:rsid w:val="005A590C"/>
    <w:rsid w:val="005A5928"/>
    <w:rsid w:val="005A595C"/>
    <w:rsid w:val="005A5977"/>
    <w:rsid w:val="005A59D4"/>
    <w:rsid w:val="005A5B38"/>
    <w:rsid w:val="005A5BA6"/>
    <w:rsid w:val="005A5BC4"/>
    <w:rsid w:val="005A5C09"/>
    <w:rsid w:val="005A5C69"/>
    <w:rsid w:val="005A5C9E"/>
    <w:rsid w:val="005A5CE0"/>
    <w:rsid w:val="005A5D8F"/>
    <w:rsid w:val="005A6064"/>
    <w:rsid w:val="005A60C3"/>
    <w:rsid w:val="005A614F"/>
    <w:rsid w:val="005A61B6"/>
    <w:rsid w:val="005A6290"/>
    <w:rsid w:val="005A6429"/>
    <w:rsid w:val="005A647B"/>
    <w:rsid w:val="005A64CA"/>
    <w:rsid w:val="005A6745"/>
    <w:rsid w:val="005A679F"/>
    <w:rsid w:val="005A68AD"/>
    <w:rsid w:val="005A6921"/>
    <w:rsid w:val="005A6943"/>
    <w:rsid w:val="005A6A48"/>
    <w:rsid w:val="005A6AB1"/>
    <w:rsid w:val="005A6AD9"/>
    <w:rsid w:val="005A6B4A"/>
    <w:rsid w:val="005A6B60"/>
    <w:rsid w:val="005A6BA3"/>
    <w:rsid w:val="005A6D08"/>
    <w:rsid w:val="005A6DE1"/>
    <w:rsid w:val="005A6E36"/>
    <w:rsid w:val="005A6EFE"/>
    <w:rsid w:val="005A6F55"/>
    <w:rsid w:val="005A6F6A"/>
    <w:rsid w:val="005A6FB2"/>
    <w:rsid w:val="005A7170"/>
    <w:rsid w:val="005A71C8"/>
    <w:rsid w:val="005A7209"/>
    <w:rsid w:val="005A7226"/>
    <w:rsid w:val="005A7273"/>
    <w:rsid w:val="005A72E3"/>
    <w:rsid w:val="005A7301"/>
    <w:rsid w:val="005A732F"/>
    <w:rsid w:val="005A73C9"/>
    <w:rsid w:val="005A743B"/>
    <w:rsid w:val="005A7638"/>
    <w:rsid w:val="005A76C6"/>
    <w:rsid w:val="005A76F3"/>
    <w:rsid w:val="005A7820"/>
    <w:rsid w:val="005A782B"/>
    <w:rsid w:val="005A78BB"/>
    <w:rsid w:val="005A78C5"/>
    <w:rsid w:val="005A7981"/>
    <w:rsid w:val="005A79D8"/>
    <w:rsid w:val="005A7A3E"/>
    <w:rsid w:val="005A7AE3"/>
    <w:rsid w:val="005A7B12"/>
    <w:rsid w:val="005A7BBB"/>
    <w:rsid w:val="005A7C22"/>
    <w:rsid w:val="005A7CEF"/>
    <w:rsid w:val="005A7D02"/>
    <w:rsid w:val="005A7D62"/>
    <w:rsid w:val="005A7DCD"/>
    <w:rsid w:val="005A7DD8"/>
    <w:rsid w:val="005A7E0D"/>
    <w:rsid w:val="005A7E2F"/>
    <w:rsid w:val="005A7E8E"/>
    <w:rsid w:val="005A7EE5"/>
    <w:rsid w:val="005A7F05"/>
    <w:rsid w:val="005A7F39"/>
    <w:rsid w:val="005A7F63"/>
    <w:rsid w:val="005A7FA7"/>
    <w:rsid w:val="005B0043"/>
    <w:rsid w:val="005B0055"/>
    <w:rsid w:val="005B0121"/>
    <w:rsid w:val="005B01D9"/>
    <w:rsid w:val="005B020D"/>
    <w:rsid w:val="005B029D"/>
    <w:rsid w:val="005B02A1"/>
    <w:rsid w:val="005B02AE"/>
    <w:rsid w:val="005B02CD"/>
    <w:rsid w:val="005B02DF"/>
    <w:rsid w:val="005B02E7"/>
    <w:rsid w:val="005B03F1"/>
    <w:rsid w:val="005B04BA"/>
    <w:rsid w:val="005B050F"/>
    <w:rsid w:val="005B063D"/>
    <w:rsid w:val="005B0650"/>
    <w:rsid w:val="005B06B3"/>
    <w:rsid w:val="005B07FE"/>
    <w:rsid w:val="005B088A"/>
    <w:rsid w:val="005B0934"/>
    <w:rsid w:val="005B09F4"/>
    <w:rsid w:val="005B0A38"/>
    <w:rsid w:val="005B0A4E"/>
    <w:rsid w:val="005B0B6E"/>
    <w:rsid w:val="005B0BEC"/>
    <w:rsid w:val="005B0CA9"/>
    <w:rsid w:val="005B0E35"/>
    <w:rsid w:val="005B0E3B"/>
    <w:rsid w:val="005B0E58"/>
    <w:rsid w:val="005B0F49"/>
    <w:rsid w:val="005B0FE5"/>
    <w:rsid w:val="005B1051"/>
    <w:rsid w:val="005B10F2"/>
    <w:rsid w:val="005B11BE"/>
    <w:rsid w:val="005B11C9"/>
    <w:rsid w:val="005B120A"/>
    <w:rsid w:val="005B1232"/>
    <w:rsid w:val="005B12DF"/>
    <w:rsid w:val="005B1307"/>
    <w:rsid w:val="005B1422"/>
    <w:rsid w:val="005B1455"/>
    <w:rsid w:val="005B14C4"/>
    <w:rsid w:val="005B152E"/>
    <w:rsid w:val="005B1564"/>
    <w:rsid w:val="005B168C"/>
    <w:rsid w:val="005B1745"/>
    <w:rsid w:val="005B1756"/>
    <w:rsid w:val="005B182D"/>
    <w:rsid w:val="005B1925"/>
    <w:rsid w:val="005B1ABD"/>
    <w:rsid w:val="005B1AC1"/>
    <w:rsid w:val="005B1B13"/>
    <w:rsid w:val="005B1BA4"/>
    <w:rsid w:val="005B1BEF"/>
    <w:rsid w:val="005B1D41"/>
    <w:rsid w:val="005B1D42"/>
    <w:rsid w:val="005B1D54"/>
    <w:rsid w:val="005B1D9C"/>
    <w:rsid w:val="005B1DBA"/>
    <w:rsid w:val="005B1E7B"/>
    <w:rsid w:val="005B1E9E"/>
    <w:rsid w:val="005B1F70"/>
    <w:rsid w:val="005B2150"/>
    <w:rsid w:val="005B21C3"/>
    <w:rsid w:val="005B2284"/>
    <w:rsid w:val="005B22A8"/>
    <w:rsid w:val="005B23E9"/>
    <w:rsid w:val="005B252E"/>
    <w:rsid w:val="005B26D1"/>
    <w:rsid w:val="005B26E3"/>
    <w:rsid w:val="005B26EF"/>
    <w:rsid w:val="005B2718"/>
    <w:rsid w:val="005B279E"/>
    <w:rsid w:val="005B27C8"/>
    <w:rsid w:val="005B281F"/>
    <w:rsid w:val="005B2851"/>
    <w:rsid w:val="005B28AB"/>
    <w:rsid w:val="005B28C0"/>
    <w:rsid w:val="005B2921"/>
    <w:rsid w:val="005B2938"/>
    <w:rsid w:val="005B2A67"/>
    <w:rsid w:val="005B2A6C"/>
    <w:rsid w:val="005B2AA1"/>
    <w:rsid w:val="005B2C60"/>
    <w:rsid w:val="005B2CBE"/>
    <w:rsid w:val="005B2D7B"/>
    <w:rsid w:val="005B2E75"/>
    <w:rsid w:val="005B3104"/>
    <w:rsid w:val="005B31BE"/>
    <w:rsid w:val="005B32FD"/>
    <w:rsid w:val="005B33BF"/>
    <w:rsid w:val="005B34FC"/>
    <w:rsid w:val="005B3539"/>
    <w:rsid w:val="005B3624"/>
    <w:rsid w:val="005B367F"/>
    <w:rsid w:val="005B369A"/>
    <w:rsid w:val="005B3783"/>
    <w:rsid w:val="005B381D"/>
    <w:rsid w:val="005B3867"/>
    <w:rsid w:val="005B3876"/>
    <w:rsid w:val="005B3899"/>
    <w:rsid w:val="005B3961"/>
    <w:rsid w:val="005B39C5"/>
    <w:rsid w:val="005B3A95"/>
    <w:rsid w:val="005B3B67"/>
    <w:rsid w:val="005B3CB8"/>
    <w:rsid w:val="005B3CF8"/>
    <w:rsid w:val="005B3D34"/>
    <w:rsid w:val="005B3E50"/>
    <w:rsid w:val="005B3F18"/>
    <w:rsid w:val="005B3F94"/>
    <w:rsid w:val="005B3FD0"/>
    <w:rsid w:val="005B4080"/>
    <w:rsid w:val="005B4157"/>
    <w:rsid w:val="005B41DE"/>
    <w:rsid w:val="005B41E0"/>
    <w:rsid w:val="005B4276"/>
    <w:rsid w:val="005B429A"/>
    <w:rsid w:val="005B42DB"/>
    <w:rsid w:val="005B4399"/>
    <w:rsid w:val="005B43B8"/>
    <w:rsid w:val="005B43F7"/>
    <w:rsid w:val="005B4514"/>
    <w:rsid w:val="005B458D"/>
    <w:rsid w:val="005B45C2"/>
    <w:rsid w:val="005B4617"/>
    <w:rsid w:val="005B468D"/>
    <w:rsid w:val="005B47C2"/>
    <w:rsid w:val="005B485D"/>
    <w:rsid w:val="005B48B9"/>
    <w:rsid w:val="005B4987"/>
    <w:rsid w:val="005B499D"/>
    <w:rsid w:val="005B49CD"/>
    <w:rsid w:val="005B4CC7"/>
    <w:rsid w:val="005B4D01"/>
    <w:rsid w:val="005B4E0B"/>
    <w:rsid w:val="005B4E3D"/>
    <w:rsid w:val="005B4E8E"/>
    <w:rsid w:val="005B4EC6"/>
    <w:rsid w:val="005B4ED5"/>
    <w:rsid w:val="005B4F41"/>
    <w:rsid w:val="005B4FE4"/>
    <w:rsid w:val="005B50E4"/>
    <w:rsid w:val="005B534F"/>
    <w:rsid w:val="005B53B9"/>
    <w:rsid w:val="005B5516"/>
    <w:rsid w:val="005B55F5"/>
    <w:rsid w:val="005B5618"/>
    <w:rsid w:val="005B5661"/>
    <w:rsid w:val="005B57B3"/>
    <w:rsid w:val="005B57F2"/>
    <w:rsid w:val="005B57F5"/>
    <w:rsid w:val="005B5813"/>
    <w:rsid w:val="005B58FB"/>
    <w:rsid w:val="005B58FF"/>
    <w:rsid w:val="005B5922"/>
    <w:rsid w:val="005B5A03"/>
    <w:rsid w:val="005B5A3A"/>
    <w:rsid w:val="005B5AA3"/>
    <w:rsid w:val="005B5AC2"/>
    <w:rsid w:val="005B5ACB"/>
    <w:rsid w:val="005B5AF8"/>
    <w:rsid w:val="005B5B43"/>
    <w:rsid w:val="005B5B6C"/>
    <w:rsid w:val="005B5B84"/>
    <w:rsid w:val="005B5B93"/>
    <w:rsid w:val="005B5BA6"/>
    <w:rsid w:val="005B5BCB"/>
    <w:rsid w:val="005B5BED"/>
    <w:rsid w:val="005B5C2D"/>
    <w:rsid w:val="005B5C63"/>
    <w:rsid w:val="005B5C9C"/>
    <w:rsid w:val="005B5D72"/>
    <w:rsid w:val="005B5D92"/>
    <w:rsid w:val="005B5D96"/>
    <w:rsid w:val="005B5E1F"/>
    <w:rsid w:val="005B5E2A"/>
    <w:rsid w:val="005B5E2E"/>
    <w:rsid w:val="005B5E77"/>
    <w:rsid w:val="005B600B"/>
    <w:rsid w:val="005B6092"/>
    <w:rsid w:val="005B60D9"/>
    <w:rsid w:val="005B6171"/>
    <w:rsid w:val="005B617E"/>
    <w:rsid w:val="005B61FB"/>
    <w:rsid w:val="005B6217"/>
    <w:rsid w:val="005B6349"/>
    <w:rsid w:val="005B6393"/>
    <w:rsid w:val="005B639E"/>
    <w:rsid w:val="005B63E1"/>
    <w:rsid w:val="005B6481"/>
    <w:rsid w:val="005B6506"/>
    <w:rsid w:val="005B6549"/>
    <w:rsid w:val="005B6602"/>
    <w:rsid w:val="005B667A"/>
    <w:rsid w:val="005B6697"/>
    <w:rsid w:val="005B66BC"/>
    <w:rsid w:val="005B6756"/>
    <w:rsid w:val="005B677D"/>
    <w:rsid w:val="005B67CC"/>
    <w:rsid w:val="005B67FC"/>
    <w:rsid w:val="005B6803"/>
    <w:rsid w:val="005B69A5"/>
    <w:rsid w:val="005B6A74"/>
    <w:rsid w:val="005B6ABC"/>
    <w:rsid w:val="005B6B1E"/>
    <w:rsid w:val="005B6BA0"/>
    <w:rsid w:val="005B6BBD"/>
    <w:rsid w:val="005B6BC0"/>
    <w:rsid w:val="005B6BC4"/>
    <w:rsid w:val="005B6C00"/>
    <w:rsid w:val="005B6CE8"/>
    <w:rsid w:val="005B6E76"/>
    <w:rsid w:val="005B6ED1"/>
    <w:rsid w:val="005B6EF8"/>
    <w:rsid w:val="005B6F44"/>
    <w:rsid w:val="005B6F4A"/>
    <w:rsid w:val="005B6FDF"/>
    <w:rsid w:val="005B7029"/>
    <w:rsid w:val="005B709E"/>
    <w:rsid w:val="005B70A4"/>
    <w:rsid w:val="005B70DA"/>
    <w:rsid w:val="005B7211"/>
    <w:rsid w:val="005B72B0"/>
    <w:rsid w:val="005B72B4"/>
    <w:rsid w:val="005B734C"/>
    <w:rsid w:val="005B742E"/>
    <w:rsid w:val="005B74C5"/>
    <w:rsid w:val="005B75D6"/>
    <w:rsid w:val="005B764F"/>
    <w:rsid w:val="005B7657"/>
    <w:rsid w:val="005B77A0"/>
    <w:rsid w:val="005B77A2"/>
    <w:rsid w:val="005B78C7"/>
    <w:rsid w:val="005B78EF"/>
    <w:rsid w:val="005B7900"/>
    <w:rsid w:val="005B7A10"/>
    <w:rsid w:val="005B7A1C"/>
    <w:rsid w:val="005B7BAC"/>
    <w:rsid w:val="005B7C4E"/>
    <w:rsid w:val="005B7C87"/>
    <w:rsid w:val="005B7CC5"/>
    <w:rsid w:val="005B7CEA"/>
    <w:rsid w:val="005B7E23"/>
    <w:rsid w:val="005B7E4A"/>
    <w:rsid w:val="005B7E4F"/>
    <w:rsid w:val="005B7ECA"/>
    <w:rsid w:val="005B7F6C"/>
    <w:rsid w:val="005B7F7A"/>
    <w:rsid w:val="005B7FA7"/>
    <w:rsid w:val="005C020B"/>
    <w:rsid w:val="005C02A4"/>
    <w:rsid w:val="005C0359"/>
    <w:rsid w:val="005C039C"/>
    <w:rsid w:val="005C0402"/>
    <w:rsid w:val="005C0460"/>
    <w:rsid w:val="005C05BC"/>
    <w:rsid w:val="005C0686"/>
    <w:rsid w:val="005C06FC"/>
    <w:rsid w:val="005C0791"/>
    <w:rsid w:val="005C07C6"/>
    <w:rsid w:val="005C07EF"/>
    <w:rsid w:val="005C0807"/>
    <w:rsid w:val="005C08A8"/>
    <w:rsid w:val="005C08E5"/>
    <w:rsid w:val="005C0904"/>
    <w:rsid w:val="005C0A60"/>
    <w:rsid w:val="005C0B3A"/>
    <w:rsid w:val="005C0C07"/>
    <w:rsid w:val="005C0C26"/>
    <w:rsid w:val="005C0C6A"/>
    <w:rsid w:val="005C0D3F"/>
    <w:rsid w:val="005C0DCB"/>
    <w:rsid w:val="005C0E62"/>
    <w:rsid w:val="005C0EDA"/>
    <w:rsid w:val="005C0EF3"/>
    <w:rsid w:val="005C0FF9"/>
    <w:rsid w:val="005C10B1"/>
    <w:rsid w:val="005C10B4"/>
    <w:rsid w:val="005C1126"/>
    <w:rsid w:val="005C11C4"/>
    <w:rsid w:val="005C1203"/>
    <w:rsid w:val="005C1229"/>
    <w:rsid w:val="005C123D"/>
    <w:rsid w:val="005C134E"/>
    <w:rsid w:val="005C1370"/>
    <w:rsid w:val="005C13E3"/>
    <w:rsid w:val="005C15DC"/>
    <w:rsid w:val="005C15F4"/>
    <w:rsid w:val="005C1714"/>
    <w:rsid w:val="005C186D"/>
    <w:rsid w:val="005C18DD"/>
    <w:rsid w:val="005C1946"/>
    <w:rsid w:val="005C1A22"/>
    <w:rsid w:val="005C1A3F"/>
    <w:rsid w:val="005C1A4A"/>
    <w:rsid w:val="005C1AB7"/>
    <w:rsid w:val="005C1B0E"/>
    <w:rsid w:val="005C1BA0"/>
    <w:rsid w:val="005C1BD4"/>
    <w:rsid w:val="005C1C67"/>
    <w:rsid w:val="005C1C9C"/>
    <w:rsid w:val="005C1D44"/>
    <w:rsid w:val="005C1D7A"/>
    <w:rsid w:val="005C1DBD"/>
    <w:rsid w:val="005C1DEB"/>
    <w:rsid w:val="005C1ECD"/>
    <w:rsid w:val="005C1F24"/>
    <w:rsid w:val="005C1F2F"/>
    <w:rsid w:val="005C1F71"/>
    <w:rsid w:val="005C2020"/>
    <w:rsid w:val="005C20D2"/>
    <w:rsid w:val="005C229C"/>
    <w:rsid w:val="005C22B1"/>
    <w:rsid w:val="005C22B6"/>
    <w:rsid w:val="005C22C7"/>
    <w:rsid w:val="005C22E3"/>
    <w:rsid w:val="005C2363"/>
    <w:rsid w:val="005C2374"/>
    <w:rsid w:val="005C23C3"/>
    <w:rsid w:val="005C2467"/>
    <w:rsid w:val="005C2558"/>
    <w:rsid w:val="005C2688"/>
    <w:rsid w:val="005C2734"/>
    <w:rsid w:val="005C28CF"/>
    <w:rsid w:val="005C295B"/>
    <w:rsid w:val="005C2A01"/>
    <w:rsid w:val="005C2B44"/>
    <w:rsid w:val="005C2B64"/>
    <w:rsid w:val="005C2BF0"/>
    <w:rsid w:val="005C2DDB"/>
    <w:rsid w:val="005C2E2B"/>
    <w:rsid w:val="005C2E50"/>
    <w:rsid w:val="005C2F45"/>
    <w:rsid w:val="005C3050"/>
    <w:rsid w:val="005C30A9"/>
    <w:rsid w:val="005C31A5"/>
    <w:rsid w:val="005C3217"/>
    <w:rsid w:val="005C327D"/>
    <w:rsid w:val="005C32BD"/>
    <w:rsid w:val="005C32FE"/>
    <w:rsid w:val="005C3406"/>
    <w:rsid w:val="005C342B"/>
    <w:rsid w:val="005C342D"/>
    <w:rsid w:val="005C34BE"/>
    <w:rsid w:val="005C34F0"/>
    <w:rsid w:val="005C3537"/>
    <w:rsid w:val="005C363E"/>
    <w:rsid w:val="005C3692"/>
    <w:rsid w:val="005C3708"/>
    <w:rsid w:val="005C375C"/>
    <w:rsid w:val="005C375E"/>
    <w:rsid w:val="005C3797"/>
    <w:rsid w:val="005C37DC"/>
    <w:rsid w:val="005C3881"/>
    <w:rsid w:val="005C38D0"/>
    <w:rsid w:val="005C38E6"/>
    <w:rsid w:val="005C38ED"/>
    <w:rsid w:val="005C38EF"/>
    <w:rsid w:val="005C3945"/>
    <w:rsid w:val="005C39BE"/>
    <w:rsid w:val="005C3A18"/>
    <w:rsid w:val="005C3A4D"/>
    <w:rsid w:val="005C3A4F"/>
    <w:rsid w:val="005C3AB8"/>
    <w:rsid w:val="005C3AD9"/>
    <w:rsid w:val="005C3B46"/>
    <w:rsid w:val="005C3BCC"/>
    <w:rsid w:val="005C3C8A"/>
    <w:rsid w:val="005C3CDA"/>
    <w:rsid w:val="005C3D84"/>
    <w:rsid w:val="005C3E34"/>
    <w:rsid w:val="005C3EB3"/>
    <w:rsid w:val="005C3F5A"/>
    <w:rsid w:val="005C3FE2"/>
    <w:rsid w:val="005C404D"/>
    <w:rsid w:val="005C40AD"/>
    <w:rsid w:val="005C4187"/>
    <w:rsid w:val="005C41A5"/>
    <w:rsid w:val="005C41FD"/>
    <w:rsid w:val="005C4256"/>
    <w:rsid w:val="005C42BF"/>
    <w:rsid w:val="005C42C8"/>
    <w:rsid w:val="005C4380"/>
    <w:rsid w:val="005C44AB"/>
    <w:rsid w:val="005C450C"/>
    <w:rsid w:val="005C4567"/>
    <w:rsid w:val="005C4658"/>
    <w:rsid w:val="005C4878"/>
    <w:rsid w:val="005C48C9"/>
    <w:rsid w:val="005C48E0"/>
    <w:rsid w:val="005C4911"/>
    <w:rsid w:val="005C4950"/>
    <w:rsid w:val="005C49F5"/>
    <w:rsid w:val="005C4A12"/>
    <w:rsid w:val="005C4AEF"/>
    <w:rsid w:val="005C4B29"/>
    <w:rsid w:val="005C4B85"/>
    <w:rsid w:val="005C4CE7"/>
    <w:rsid w:val="005C4D40"/>
    <w:rsid w:val="005C4E03"/>
    <w:rsid w:val="005C501E"/>
    <w:rsid w:val="005C503A"/>
    <w:rsid w:val="005C5257"/>
    <w:rsid w:val="005C5312"/>
    <w:rsid w:val="005C533B"/>
    <w:rsid w:val="005C536B"/>
    <w:rsid w:val="005C5374"/>
    <w:rsid w:val="005C5379"/>
    <w:rsid w:val="005C53B4"/>
    <w:rsid w:val="005C53C2"/>
    <w:rsid w:val="005C53D3"/>
    <w:rsid w:val="005C544C"/>
    <w:rsid w:val="005C5505"/>
    <w:rsid w:val="005C5581"/>
    <w:rsid w:val="005C5625"/>
    <w:rsid w:val="005C563D"/>
    <w:rsid w:val="005C5641"/>
    <w:rsid w:val="005C5746"/>
    <w:rsid w:val="005C57E8"/>
    <w:rsid w:val="005C5874"/>
    <w:rsid w:val="005C58A2"/>
    <w:rsid w:val="005C58F4"/>
    <w:rsid w:val="005C59D1"/>
    <w:rsid w:val="005C5AAF"/>
    <w:rsid w:val="005C5AF1"/>
    <w:rsid w:val="005C5AF5"/>
    <w:rsid w:val="005C5BF4"/>
    <w:rsid w:val="005C5C69"/>
    <w:rsid w:val="005C5C97"/>
    <w:rsid w:val="005C5CF5"/>
    <w:rsid w:val="005C5DB0"/>
    <w:rsid w:val="005C5DD0"/>
    <w:rsid w:val="005C5E36"/>
    <w:rsid w:val="005C5F7C"/>
    <w:rsid w:val="005C5FCE"/>
    <w:rsid w:val="005C5FEA"/>
    <w:rsid w:val="005C6005"/>
    <w:rsid w:val="005C6070"/>
    <w:rsid w:val="005C60AA"/>
    <w:rsid w:val="005C60C6"/>
    <w:rsid w:val="005C60C8"/>
    <w:rsid w:val="005C6136"/>
    <w:rsid w:val="005C61C9"/>
    <w:rsid w:val="005C61E1"/>
    <w:rsid w:val="005C621C"/>
    <w:rsid w:val="005C6252"/>
    <w:rsid w:val="005C6380"/>
    <w:rsid w:val="005C648C"/>
    <w:rsid w:val="005C64E7"/>
    <w:rsid w:val="005C650E"/>
    <w:rsid w:val="005C656D"/>
    <w:rsid w:val="005C6594"/>
    <w:rsid w:val="005C65F7"/>
    <w:rsid w:val="005C6616"/>
    <w:rsid w:val="005C661B"/>
    <w:rsid w:val="005C6650"/>
    <w:rsid w:val="005C66C0"/>
    <w:rsid w:val="005C674F"/>
    <w:rsid w:val="005C6777"/>
    <w:rsid w:val="005C683A"/>
    <w:rsid w:val="005C6AD7"/>
    <w:rsid w:val="005C6B19"/>
    <w:rsid w:val="005C6B3D"/>
    <w:rsid w:val="005C6B4D"/>
    <w:rsid w:val="005C6C8B"/>
    <w:rsid w:val="005C6CA7"/>
    <w:rsid w:val="005C6CB0"/>
    <w:rsid w:val="005C6CCD"/>
    <w:rsid w:val="005C6D02"/>
    <w:rsid w:val="005C6E02"/>
    <w:rsid w:val="005C6E54"/>
    <w:rsid w:val="005C6EFC"/>
    <w:rsid w:val="005C6F81"/>
    <w:rsid w:val="005C7000"/>
    <w:rsid w:val="005C7015"/>
    <w:rsid w:val="005C707C"/>
    <w:rsid w:val="005C7081"/>
    <w:rsid w:val="005C71C4"/>
    <w:rsid w:val="005C71C9"/>
    <w:rsid w:val="005C71DC"/>
    <w:rsid w:val="005C731D"/>
    <w:rsid w:val="005C7357"/>
    <w:rsid w:val="005C737A"/>
    <w:rsid w:val="005C738A"/>
    <w:rsid w:val="005C742D"/>
    <w:rsid w:val="005C7456"/>
    <w:rsid w:val="005C7498"/>
    <w:rsid w:val="005C74F5"/>
    <w:rsid w:val="005C7504"/>
    <w:rsid w:val="005C758F"/>
    <w:rsid w:val="005C7660"/>
    <w:rsid w:val="005C7738"/>
    <w:rsid w:val="005C77D8"/>
    <w:rsid w:val="005C7803"/>
    <w:rsid w:val="005C7B38"/>
    <w:rsid w:val="005C7B97"/>
    <w:rsid w:val="005C7B9B"/>
    <w:rsid w:val="005C7C17"/>
    <w:rsid w:val="005C7C67"/>
    <w:rsid w:val="005C7D17"/>
    <w:rsid w:val="005C7DD9"/>
    <w:rsid w:val="005C7E64"/>
    <w:rsid w:val="005C7E76"/>
    <w:rsid w:val="005C7E78"/>
    <w:rsid w:val="005C7FD1"/>
    <w:rsid w:val="005D0019"/>
    <w:rsid w:val="005D003B"/>
    <w:rsid w:val="005D00A9"/>
    <w:rsid w:val="005D013F"/>
    <w:rsid w:val="005D0207"/>
    <w:rsid w:val="005D024A"/>
    <w:rsid w:val="005D02BC"/>
    <w:rsid w:val="005D030F"/>
    <w:rsid w:val="005D0433"/>
    <w:rsid w:val="005D044A"/>
    <w:rsid w:val="005D05DC"/>
    <w:rsid w:val="005D086D"/>
    <w:rsid w:val="005D08C5"/>
    <w:rsid w:val="005D08F0"/>
    <w:rsid w:val="005D0983"/>
    <w:rsid w:val="005D0A67"/>
    <w:rsid w:val="005D0A9B"/>
    <w:rsid w:val="005D0B4B"/>
    <w:rsid w:val="005D0BFC"/>
    <w:rsid w:val="005D0E72"/>
    <w:rsid w:val="005D0ED1"/>
    <w:rsid w:val="005D0EF6"/>
    <w:rsid w:val="005D10D4"/>
    <w:rsid w:val="005D10FF"/>
    <w:rsid w:val="005D1253"/>
    <w:rsid w:val="005D1264"/>
    <w:rsid w:val="005D129F"/>
    <w:rsid w:val="005D13C2"/>
    <w:rsid w:val="005D1446"/>
    <w:rsid w:val="005D144C"/>
    <w:rsid w:val="005D14DF"/>
    <w:rsid w:val="005D1566"/>
    <w:rsid w:val="005D15B0"/>
    <w:rsid w:val="005D15C6"/>
    <w:rsid w:val="005D15EF"/>
    <w:rsid w:val="005D163D"/>
    <w:rsid w:val="005D1686"/>
    <w:rsid w:val="005D16F2"/>
    <w:rsid w:val="005D1812"/>
    <w:rsid w:val="005D1933"/>
    <w:rsid w:val="005D1967"/>
    <w:rsid w:val="005D1AA0"/>
    <w:rsid w:val="005D1ADD"/>
    <w:rsid w:val="005D1B52"/>
    <w:rsid w:val="005D1B9C"/>
    <w:rsid w:val="005D1CA3"/>
    <w:rsid w:val="005D1E7A"/>
    <w:rsid w:val="005D1EC8"/>
    <w:rsid w:val="005D1F26"/>
    <w:rsid w:val="005D1FAF"/>
    <w:rsid w:val="005D1FDC"/>
    <w:rsid w:val="005D2024"/>
    <w:rsid w:val="005D2039"/>
    <w:rsid w:val="005D2098"/>
    <w:rsid w:val="005D2541"/>
    <w:rsid w:val="005D266B"/>
    <w:rsid w:val="005D26A4"/>
    <w:rsid w:val="005D2716"/>
    <w:rsid w:val="005D2876"/>
    <w:rsid w:val="005D28BA"/>
    <w:rsid w:val="005D2960"/>
    <w:rsid w:val="005D29BD"/>
    <w:rsid w:val="005D29DA"/>
    <w:rsid w:val="005D2A40"/>
    <w:rsid w:val="005D2CBB"/>
    <w:rsid w:val="005D2E9B"/>
    <w:rsid w:val="005D2F1F"/>
    <w:rsid w:val="005D2FDA"/>
    <w:rsid w:val="005D2FE3"/>
    <w:rsid w:val="005D3032"/>
    <w:rsid w:val="005D3132"/>
    <w:rsid w:val="005D3227"/>
    <w:rsid w:val="005D322E"/>
    <w:rsid w:val="005D322F"/>
    <w:rsid w:val="005D3298"/>
    <w:rsid w:val="005D32A1"/>
    <w:rsid w:val="005D3399"/>
    <w:rsid w:val="005D33CB"/>
    <w:rsid w:val="005D3447"/>
    <w:rsid w:val="005D346D"/>
    <w:rsid w:val="005D3585"/>
    <w:rsid w:val="005D3586"/>
    <w:rsid w:val="005D35FC"/>
    <w:rsid w:val="005D36BC"/>
    <w:rsid w:val="005D36F3"/>
    <w:rsid w:val="005D37C9"/>
    <w:rsid w:val="005D3912"/>
    <w:rsid w:val="005D3A4A"/>
    <w:rsid w:val="005D3A66"/>
    <w:rsid w:val="005D3AFE"/>
    <w:rsid w:val="005D3C02"/>
    <w:rsid w:val="005D3D5A"/>
    <w:rsid w:val="005D3D6D"/>
    <w:rsid w:val="005D3EEE"/>
    <w:rsid w:val="005D3F29"/>
    <w:rsid w:val="005D3F98"/>
    <w:rsid w:val="005D415E"/>
    <w:rsid w:val="005D4171"/>
    <w:rsid w:val="005D41B5"/>
    <w:rsid w:val="005D420B"/>
    <w:rsid w:val="005D4227"/>
    <w:rsid w:val="005D4322"/>
    <w:rsid w:val="005D43A4"/>
    <w:rsid w:val="005D4474"/>
    <w:rsid w:val="005D4505"/>
    <w:rsid w:val="005D45F0"/>
    <w:rsid w:val="005D4611"/>
    <w:rsid w:val="005D461D"/>
    <w:rsid w:val="005D4622"/>
    <w:rsid w:val="005D4654"/>
    <w:rsid w:val="005D471A"/>
    <w:rsid w:val="005D472A"/>
    <w:rsid w:val="005D48C6"/>
    <w:rsid w:val="005D4958"/>
    <w:rsid w:val="005D49B9"/>
    <w:rsid w:val="005D49C4"/>
    <w:rsid w:val="005D4A7C"/>
    <w:rsid w:val="005D4B7B"/>
    <w:rsid w:val="005D4B9F"/>
    <w:rsid w:val="005D4CA1"/>
    <w:rsid w:val="005D4D4E"/>
    <w:rsid w:val="005D4D58"/>
    <w:rsid w:val="005D4D82"/>
    <w:rsid w:val="005D4D8C"/>
    <w:rsid w:val="005D4D90"/>
    <w:rsid w:val="005D4E59"/>
    <w:rsid w:val="005D4EF6"/>
    <w:rsid w:val="005D4FD4"/>
    <w:rsid w:val="005D500B"/>
    <w:rsid w:val="005D5089"/>
    <w:rsid w:val="005D5105"/>
    <w:rsid w:val="005D5192"/>
    <w:rsid w:val="005D5221"/>
    <w:rsid w:val="005D52A8"/>
    <w:rsid w:val="005D52E7"/>
    <w:rsid w:val="005D5305"/>
    <w:rsid w:val="005D531D"/>
    <w:rsid w:val="005D536D"/>
    <w:rsid w:val="005D55C6"/>
    <w:rsid w:val="005D562F"/>
    <w:rsid w:val="005D57BC"/>
    <w:rsid w:val="005D57CB"/>
    <w:rsid w:val="005D581E"/>
    <w:rsid w:val="005D58EB"/>
    <w:rsid w:val="005D58F9"/>
    <w:rsid w:val="005D5948"/>
    <w:rsid w:val="005D5950"/>
    <w:rsid w:val="005D59DA"/>
    <w:rsid w:val="005D5B43"/>
    <w:rsid w:val="005D5C00"/>
    <w:rsid w:val="005D5CC1"/>
    <w:rsid w:val="005D5DB0"/>
    <w:rsid w:val="005D5E0C"/>
    <w:rsid w:val="005D5E2A"/>
    <w:rsid w:val="005D5E73"/>
    <w:rsid w:val="005D5F6E"/>
    <w:rsid w:val="005D5F8B"/>
    <w:rsid w:val="005D601E"/>
    <w:rsid w:val="005D610B"/>
    <w:rsid w:val="005D61A2"/>
    <w:rsid w:val="005D6214"/>
    <w:rsid w:val="005D6222"/>
    <w:rsid w:val="005D62F4"/>
    <w:rsid w:val="005D6361"/>
    <w:rsid w:val="005D6379"/>
    <w:rsid w:val="005D64B1"/>
    <w:rsid w:val="005D657B"/>
    <w:rsid w:val="005D65D5"/>
    <w:rsid w:val="005D65D6"/>
    <w:rsid w:val="005D665B"/>
    <w:rsid w:val="005D678F"/>
    <w:rsid w:val="005D67D5"/>
    <w:rsid w:val="005D67F5"/>
    <w:rsid w:val="005D6AB8"/>
    <w:rsid w:val="005D6ADC"/>
    <w:rsid w:val="005D6C00"/>
    <w:rsid w:val="005D6C8C"/>
    <w:rsid w:val="005D6D64"/>
    <w:rsid w:val="005D6E01"/>
    <w:rsid w:val="005D6E33"/>
    <w:rsid w:val="005D6EE6"/>
    <w:rsid w:val="005D6F28"/>
    <w:rsid w:val="005D7049"/>
    <w:rsid w:val="005D711C"/>
    <w:rsid w:val="005D712E"/>
    <w:rsid w:val="005D7135"/>
    <w:rsid w:val="005D71E7"/>
    <w:rsid w:val="005D7290"/>
    <w:rsid w:val="005D72F3"/>
    <w:rsid w:val="005D73CF"/>
    <w:rsid w:val="005D7518"/>
    <w:rsid w:val="005D7538"/>
    <w:rsid w:val="005D76F5"/>
    <w:rsid w:val="005D7720"/>
    <w:rsid w:val="005D7793"/>
    <w:rsid w:val="005D77AB"/>
    <w:rsid w:val="005D780E"/>
    <w:rsid w:val="005D78D7"/>
    <w:rsid w:val="005D790C"/>
    <w:rsid w:val="005D793F"/>
    <w:rsid w:val="005D797D"/>
    <w:rsid w:val="005D798F"/>
    <w:rsid w:val="005D7996"/>
    <w:rsid w:val="005D799A"/>
    <w:rsid w:val="005D79FE"/>
    <w:rsid w:val="005D7C80"/>
    <w:rsid w:val="005D7D31"/>
    <w:rsid w:val="005D7D68"/>
    <w:rsid w:val="005D7D6F"/>
    <w:rsid w:val="005D7DE7"/>
    <w:rsid w:val="005D7DF4"/>
    <w:rsid w:val="005D7E12"/>
    <w:rsid w:val="005D7E1E"/>
    <w:rsid w:val="005D7E90"/>
    <w:rsid w:val="005D7EC7"/>
    <w:rsid w:val="005D7F54"/>
    <w:rsid w:val="005D7F67"/>
    <w:rsid w:val="005D7FA0"/>
    <w:rsid w:val="005D7FBE"/>
    <w:rsid w:val="005E0019"/>
    <w:rsid w:val="005E001D"/>
    <w:rsid w:val="005E0034"/>
    <w:rsid w:val="005E01BF"/>
    <w:rsid w:val="005E0202"/>
    <w:rsid w:val="005E02A2"/>
    <w:rsid w:val="005E041D"/>
    <w:rsid w:val="005E0447"/>
    <w:rsid w:val="005E04DC"/>
    <w:rsid w:val="005E0506"/>
    <w:rsid w:val="005E0577"/>
    <w:rsid w:val="005E05CC"/>
    <w:rsid w:val="005E0608"/>
    <w:rsid w:val="005E063F"/>
    <w:rsid w:val="005E064F"/>
    <w:rsid w:val="005E06CD"/>
    <w:rsid w:val="005E06D9"/>
    <w:rsid w:val="005E0744"/>
    <w:rsid w:val="005E089C"/>
    <w:rsid w:val="005E08AD"/>
    <w:rsid w:val="005E093A"/>
    <w:rsid w:val="005E09C4"/>
    <w:rsid w:val="005E09D5"/>
    <w:rsid w:val="005E09FA"/>
    <w:rsid w:val="005E0B09"/>
    <w:rsid w:val="005E0B0E"/>
    <w:rsid w:val="005E0BE2"/>
    <w:rsid w:val="005E0C3B"/>
    <w:rsid w:val="005E0C49"/>
    <w:rsid w:val="005E0CBA"/>
    <w:rsid w:val="005E0D59"/>
    <w:rsid w:val="005E0D6B"/>
    <w:rsid w:val="005E0E0B"/>
    <w:rsid w:val="005E0E5E"/>
    <w:rsid w:val="005E0E9D"/>
    <w:rsid w:val="005E0F06"/>
    <w:rsid w:val="005E0F4E"/>
    <w:rsid w:val="005E0FBA"/>
    <w:rsid w:val="005E10EA"/>
    <w:rsid w:val="005E1148"/>
    <w:rsid w:val="005E12C8"/>
    <w:rsid w:val="005E12D7"/>
    <w:rsid w:val="005E13A5"/>
    <w:rsid w:val="005E1472"/>
    <w:rsid w:val="005E15CE"/>
    <w:rsid w:val="005E1613"/>
    <w:rsid w:val="005E163B"/>
    <w:rsid w:val="005E1696"/>
    <w:rsid w:val="005E188A"/>
    <w:rsid w:val="005E1A41"/>
    <w:rsid w:val="005E1A5F"/>
    <w:rsid w:val="005E1A6E"/>
    <w:rsid w:val="005E1B38"/>
    <w:rsid w:val="005E1C6A"/>
    <w:rsid w:val="005E1D33"/>
    <w:rsid w:val="005E1D50"/>
    <w:rsid w:val="005E1DE2"/>
    <w:rsid w:val="005E1E06"/>
    <w:rsid w:val="005E1E43"/>
    <w:rsid w:val="005E1E65"/>
    <w:rsid w:val="005E1F37"/>
    <w:rsid w:val="005E1F5F"/>
    <w:rsid w:val="005E2019"/>
    <w:rsid w:val="005E2023"/>
    <w:rsid w:val="005E205C"/>
    <w:rsid w:val="005E217C"/>
    <w:rsid w:val="005E21B8"/>
    <w:rsid w:val="005E2345"/>
    <w:rsid w:val="005E243C"/>
    <w:rsid w:val="005E243D"/>
    <w:rsid w:val="005E2456"/>
    <w:rsid w:val="005E250D"/>
    <w:rsid w:val="005E2538"/>
    <w:rsid w:val="005E26A9"/>
    <w:rsid w:val="005E26B9"/>
    <w:rsid w:val="005E26E9"/>
    <w:rsid w:val="005E272A"/>
    <w:rsid w:val="005E27AC"/>
    <w:rsid w:val="005E27CD"/>
    <w:rsid w:val="005E2804"/>
    <w:rsid w:val="005E28A6"/>
    <w:rsid w:val="005E297E"/>
    <w:rsid w:val="005E29F5"/>
    <w:rsid w:val="005E2A3D"/>
    <w:rsid w:val="005E2AC1"/>
    <w:rsid w:val="005E2AF3"/>
    <w:rsid w:val="005E2AF9"/>
    <w:rsid w:val="005E2B89"/>
    <w:rsid w:val="005E2D1E"/>
    <w:rsid w:val="005E2D37"/>
    <w:rsid w:val="005E2D40"/>
    <w:rsid w:val="005E2D5B"/>
    <w:rsid w:val="005E2DA8"/>
    <w:rsid w:val="005E2E67"/>
    <w:rsid w:val="005E2FD8"/>
    <w:rsid w:val="005E3062"/>
    <w:rsid w:val="005E3065"/>
    <w:rsid w:val="005E30FC"/>
    <w:rsid w:val="005E320E"/>
    <w:rsid w:val="005E3352"/>
    <w:rsid w:val="005E3464"/>
    <w:rsid w:val="005E34AA"/>
    <w:rsid w:val="005E34E8"/>
    <w:rsid w:val="005E355E"/>
    <w:rsid w:val="005E35D9"/>
    <w:rsid w:val="005E362D"/>
    <w:rsid w:val="005E363B"/>
    <w:rsid w:val="005E363E"/>
    <w:rsid w:val="005E3647"/>
    <w:rsid w:val="005E364D"/>
    <w:rsid w:val="005E36FF"/>
    <w:rsid w:val="005E3838"/>
    <w:rsid w:val="005E3890"/>
    <w:rsid w:val="005E38D2"/>
    <w:rsid w:val="005E3AE5"/>
    <w:rsid w:val="005E3B7A"/>
    <w:rsid w:val="005E3BD6"/>
    <w:rsid w:val="005E3CC3"/>
    <w:rsid w:val="005E3D37"/>
    <w:rsid w:val="005E3D3B"/>
    <w:rsid w:val="005E3D71"/>
    <w:rsid w:val="005E3DF5"/>
    <w:rsid w:val="005E3E1A"/>
    <w:rsid w:val="005E3E71"/>
    <w:rsid w:val="005E3F53"/>
    <w:rsid w:val="005E3F68"/>
    <w:rsid w:val="005E40A1"/>
    <w:rsid w:val="005E425A"/>
    <w:rsid w:val="005E426E"/>
    <w:rsid w:val="005E42A7"/>
    <w:rsid w:val="005E439E"/>
    <w:rsid w:val="005E45F6"/>
    <w:rsid w:val="005E460E"/>
    <w:rsid w:val="005E4877"/>
    <w:rsid w:val="005E48D0"/>
    <w:rsid w:val="005E48E0"/>
    <w:rsid w:val="005E49B9"/>
    <w:rsid w:val="005E49FC"/>
    <w:rsid w:val="005E4A32"/>
    <w:rsid w:val="005E4BD6"/>
    <w:rsid w:val="005E4D0D"/>
    <w:rsid w:val="005E4DDF"/>
    <w:rsid w:val="005E4E5B"/>
    <w:rsid w:val="005E4F5A"/>
    <w:rsid w:val="005E4F99"/>
    <w:rsid w:val="005E5092"/>
    <w:rsid w:val="005E5114"/>
    <w:rsid w:val="005E51E6"/>
    <w:rsid w:val="005E51F1"/>
    <w:rsid w:val="005E51F3"/>
    <w:rsid w:val="005E5241"/>
    <w:rsid w:val="005E52FC"/>
    <w:rsid w:val="005E5332"/>
    <w:rsid w:val="005E54E0"/>
    <w:rsid w:val="005E5508"/>
    <w:rsid w:val="005E55B7"/>
    <w:rsid w:val="005E5621"/>
    <w:rsid w:val="005E56D1"/>
    <w:rsid w:val="005E56E2"/>
    <w:rsid w:val="005E56FD"/>
    <w:rsid w:val="005E5777"/>
    <w:rsid w:val="005E57E4"/>
    <w:rsid w:val="005E5995"/>
    <w:rsid w:val="005E5A95"/>
    <w:rsid w:val="005E5ABB"/>
    <w:rsid w:val="005E5AC2"/>
    <w:rsid w:val="005E5AE7"/>
    <w:rsid w:val="005E5B1A"/>
    <w:rsid w:val="005E5B4E"/>
    <w:rsid w:val="005E5B7A"/>
    <w:rsid w:val="005E5BB2"/>
    <w:rsid w:val="005E5C59"/>
    <w:rsid w:val="005E5C84"/>
    <w:rsid w:val="005E5C96"/>
    <w:rsid w:val="005E5D5E"/>
    <w:rsid w:val="005E5E78"/>
    <w:rsid w:val="005E5EF4"/>
    <w:rsid w:val="005E6006"/>
    <w:rsid w:val="005E60DD"/>
    <w:rsid w:val="005E61AB"/>
    <w:rsid w:val="005E61F9"/>
    <w:rsid w:val="005E629D"/>
    <w:rsid w:val="005E631D"/>
    <w:rsid w:val="005E6423"/>
    <w:rsid w:val="005E6462"/>
    <w:rsid w:val="005E65BC"/>
    <w:rsid w:val="005E65BF"/>
    <w:rsid w:val="005E65C2"/>
    <w:rsid w:val="005E66CB"/>
    <w:rsid w:val="005E66EC"/>
    <w:rsid w:val="005E6745"/>
    <w:rsid w:val="005E674E"/>
    <w:rsid w:val="005E6BAE"/>
    <w:rsid w:val="005E6BE9"/>
    <w:rsid w:val="005E6C29"/>
    <w:rsid w:val="005E6C66"/>
    <w:rsid w:val="005E6D3C"/>
    <w:rsid w:val="005E6EBA"/>
    <w:rsid w:val="005E705F"/>
    <w:rsid w:val="005E7065"/>
    <w:rsid w:val="005E7141"/>
    <w:rsid w:val="005E7275"/>
    <w:rsid w:val="005E72A8"/>
    <w:rsid w:val="005E736B"/>
    <w:rsid w:val="005E7421"/>
    <w:rsid w:val="005E7471"/>
    <w:rsid w:val="005E74C6"/>
    <w:rsid w:val="005E75CC"/>
    <w:rsid w:val="005E75FE"/>
    <w:rsid w:val="005E7622"/>
    <w:rsid w:val="005E76C7"/>
    <w:rsid w:val="005E76FF"/>
    <w:rsid w:val="005E771F"/>
    <w:rsid w:val="005E775B"/>
    <w:rsid w:val="005E77B7"/>
    <w:rsid w:val="005E78C2"/>
    <w:rsid w:val="005E7960"/>
    <w:rsid w:val="005E796E"/>
    <w:rsid w:val="005E7A32"/>
    <w:rsid w:val="005E7A70"/>
    <w:rsid w:val="005E7B49"/>
    <w:rsid w:val="005E7B79"/>
    <w:rsid w:val="005E7C25"/>
    <w:rsid w:val="005E7C57"/>
    <w:rsid w:val="005E7C58"/>
    <w:rsid w:val="005E7C7A"/>
    <w:rsid w:val="005E7CBC"/>
    <w:rsid w:val="005E7CD3"/>
    <w:rsid w:val="005E7CE8"/>
    <w:rsid w:val="005E7D14"/>
    <w:rsid w:val="005E7D5A"/>
    <w:rsid w:val="005E7E75"/>
    <w:rsid w:val="005E7EC3"/>
    <w:rsid w:val="005E7F5D"/>
    <w:rsid w:val="005F008C"/>
    <w:rsid w:val="005F017C"/>
    <w:rsid w:val="005F01C0"/>
    <w:rsid w:val="005F01DD"/>
    <w:rsid w:val="005F0210"/>
    <w:rsid w:val="005F039B"/>
    <w:rsid w:val="005F03D8"/>
    <w:rsid w:val="005F0439"/>
    <w:rsid w:val="005F0498"/>
    <w:rsid w:val="005F0504"/>
    <w:rsid w:val="005F05A6"/>
    <w:rsid w:val="005F05F8"/>
    <w:rsid w:val="005F061B"/>
    <w:rsid w:val="005F061F"/>
    <w:rsid w:val="005F0736"/>
    <w:rsid w:val="005F075C"/>
    <w:rsid w:val="005F07AD"/>
    <w:rsid w:val="005F07C7"/>
    <w:rsid w:val="005F087B"/>
    <w:rsid w:val="005F08B0"/>
    <w:rsid w:val="005F09B3"/>
    <w:rsid w:val="005F0A45"/>
    <w:rsid w:val="005F0AED"/>
    <w:rsid w:val="005F0B75"/>
    <w:rsid w:val="005F0BFC"/>
    <w:rsid w:val="005F0D30"/>
    <w:rsid w:val="005F0D73"/>
    <w:rsid w:val="005F0E38"/>
    <w:rsid w:val="005F0E61"/>
    <w:rsid w:val="005F0E98"/>
    <w:rsid w:val="005F0EAB"/>
    <w:rsid w:val="005F0EC4"/>
    <w:rsid w:val="005F0EDB"/>
    <w:rsid w:val="005F0FCE"/>
    <w:rsid w:val="005F1023"/>
    <w:rsid w:val="005F1081"/>
    <w:rsid w:val="005F1096"/>
    <w:rsid w:val="005F10B4"/>
    <w:rsid w:val="005F1137"/>
    <w:rsid w:val="005F11EA"/>
    <w:rsid w:val="005F1249"/>
    <w:rsid w:val="005F1368"/>
    <w:rsid w:val="005F136A"/>
    <w:rsid w:val="005F1372"/>
    <w:rsid w:val="005F13D2"/>
    <w:rsid w:val="005F1485"/>
    <w:rsid w:val="005F14D6"/>
    <w:rsid w:val="005F15C4"/>
    <w:rsid w:val="005F1639"/>
    <w:rsid w:val="005F1661"/>
    <w:rsid w:val="005F16A1"/>
    <w:rsid w:val="005F16DF"/>
    <w:rsid w:val="005F178D"/>
    <w:rsid w:val="005F1799"/>
    <w:rsid w:val="005F17DF"/>
    <w:rsid w:val="005F1990"/>
    <w:rsid w:val="005F1993"/>
    <w:rsid w:val="005F199A"/>
    <w:rsid w:val="005F19C1"/>
    <w:rsid w:val="005F19CB"/>
    <w:rsid w:val="005F19E3"/>
    <w:rsid w:val="005F1B10"/>
    <w:rsid w:val="005F1B11"/>
    <w:rsid w:val="005F1B2E"/>
    <w:rsid w:val="005F1D7D"/>
    <w:rsid w:val="005F1D91"/>
    <w:rsid w:val="005F1E97"/>
    <w:rsid w:val="005F1EF2"/>
    <w:rsid w:val="005F1F73"/>
    <w:rsid w:val="005F1FB2"/>
    <w:rsid w:val="005F2003"/>
    <w:rsid w:val="005F20D7"/>
    <w:rsid w:val="005F21CE"/>
    <w:rsid w:val="005F22EC"/>
    <w:rsid w:val="005F236A"/>
    <w:rsid w:val="005F2392"/>
    <w:rsid w:val="005F24AF"/>
    <w:rsid w:val="005F252E"/>
    <w:rsid w:val="005F2566"/>
    <w:rsid w:val="005F257E"/>
    <w:rsid w:val="005F2702"/>
    <w:rsid w:val="005F2821"/>
    <w:rsid w:val="005F282E"/>
    <w:rsid w:val="005F2A77"/>
    <w:rsid w:val="005F2A8B"/>
    <w:rsid w:val="005F2AD8"/>
    <w:rsid w:val="005F2B3B"/>
    <w:rsid w:val="005F2B94"/>
    <w:rsid w:val="005F2C07"/>
    <w:rsid w:val="005F2D68"/>
    <w:rsid w:val="005F2DD9"/>
    <w:rsid w:val="005F2E99"/>
    <w:rsid w:val="005F2ED4"/>
    <w:rsid w:val="005F2F3D"/>
    <w:rsid w:val="005F3064"/>
    <w:rsid w:val="005F30E0"/>
    <w:rsid w:val="005F30E2"/>
    <w:rsid w:val="005F31CB"/>
    <w:rsid w:val="005F32E3"/>
    <w:rsid w:val="005F353F"/>
    <w:rsid w:val="005F36C9"/>
    <w:rsid w:val="005F37E6"/>
    <w:rsid w:val="005F3839"/>
    <w:rsid w:val="005F3861"/>
    <w:rsid w:val="005F3887"/>
    <w:rsid w:val="005F38CC"/>
    <w:rsid w:val="005F38F2"/>
    <w:rsid w:val="005F3909"/>
    <w:rsid w:val="005F3925"/>
    <w:rsid w:val="005F39D5"/>
    <w:rsid w:val="005F3A89"/>
    <w:rsid w:val="005F3AE4"/>
    <w:rsid w:val="005F3AEE"/>
    <w:rsid w:val="005F3B35"/>
    <w:rsid w:val="005F3B88"/>
    <w:rsid w:val="005F3B8C"/>
    <w:rsid w:val="005F3BB7"/>
    <w:rsid w:val="005F3C0A"/>
    <w:rsid w:val="005F3D64"/>
    <w:rsid w:val="005F3DAD"/>
    <w:rsid w:val="005F3DCF"/>
    <w:rsid w:val="005F3E32"/>
    <w:rsid w:val="005F3EE3"/>
    <w:rsid w:val="005F3F02"/>
    <w:rsid w:val="005F3F3C"/>
    <w:rsid w:val="005F3F65"/>
    <w:rsid w:val="005F4145"/>
    <w:rsid w:val="005F414A"/>
    <w:rsid w:val="005F43F1"/>
    <w:rsid w:val="005F44C4"/>
    <w:rsid w:val="005F44D4"/>
    <w:rsid w:val="005F44F0"/>
    <w:rsid w:val="005F4544"/>
    <w:rsid w:val="005F465F"/>
    <w:rsid w:val="005F4662"/>
    <w:rsid w:val="005F46AC"/>
    <w:rsid w:val="005F46F1"/>
    <w:rsid w:val="005F47D7"/>
    <w:rsid w:val="005F47E4"/>
    <w:rsid w:val="005F481C"/>
    <w:rsid w:val="005F4825"/>
    <w:rsid w:val="005F4849"/>
    <w:rsid w:val="005F4A41"/>
    <w:rsid w:val="005F4A45"/>
    <w:rsid w:val="005F4C6F"/>
    <w:rsid w:val="005F4D61"/>
    <w:rsid w:val="005F4DD9"/>
    <w:rsid w:val="005F4E25"/>
    <w:rsid w:val="005F4F49"/>
    <w:rsid w:val="005F5070"/>
    <w:rsid w:val="005F50AD"/>
    <w:rsid w:val="005F517B"/>
    <w:rsid w:val="005F519E"/>
    <w:rsid w:val="005F5221"/>
    <w:rsid w:val="005F5326"/>
    <w:rsid w:val="005F5369"/>
    <w:rsid w:val="005F5421"/>
    <w:rsid w:val="005F543C"/>
    <w:rsid w:val="005F54CC"/>
    <w:rsid w:val="005F5513"/>
    <w:rsid w:val="005F55CD"/>
    <w:rsid w:val="005F55E4"/>
    <w:rsid w:val="005F5647"/>
    <w:rsid w:val="005F5651"/>
    <w:rsid w:val="005F58A9"/>
    <w:rsid w:val="005F58D1"/>
    <w:rsid w:val="005F5959"/>
    <w:rsid w:val="005F5A45"/>
    <w:rsid w:val="005F5A46"/>
    <w:rsid w:val="005F5B20"/>
    <w:rsid w:val="005F5B42"/>
    <w:rsid w:val="005F5BF4"/>
    <w:rsid w:val="005F5BF6"/>
    <w:rsid w:val="005F5BFD"/>
    <w:rsid w:val="005F5CA4"/>
    <w:rsid w:val="005F5CAD"/>
    <w:rsid w:val="005F5CDB"/>
    <w:rsid w:val="005F5D85"/>
    <w:rsid w:val="005F5F6D"/>
    <w:rsid w:val="005F609D"/>
    <w:rsid w:val="005F6127"/>
    <w:rsid w:val="005F61B3"/>
    <w:rsid w:val="005F6212"/>
    <w:rsid w:val="005F6218"/>
    <w:rsid w:val="005F625C"/>
    <w:rsid w:val="005F6293"/>
    <w:rsid w:val="005F64A1"/>
    <w:rsid w:val="005F64F4"/>
    <w:rsid w:val="005F65F3"/>
    <w:rsid w:val="005F6606"/>
    <w:rsid w:val="005F667B"/>
    <w:rsid w:val="005F6790"/>
    <w:rsid w:val="005F6811"/>
    <w:rsid w:val="005F693D"/>
    <w:rsid w:val="005F6967"/>
    <w:rsid w:val="005F6AA2"/>
    <w:rsid w:val="005F6AB1"/>
    <w:rsid w:val="005F6ABD"/>
    <w:rsid w:val="005F6AF9"/>
    <w:rsid w:val="005F6BE2"/>
    <w:rsid w:val="005F6C1B"/>
    <w:rsid w:val="005F6C6C"/>
    <w:rsid w:val="005F6D36"/>
    <w:rsid w:val="005F6D5D"/>
    <w:rsid w:val="005F6F90"/>
    <w:rsid w:val="005F7016"/>
    <w:rsid w:val="005F704F"/>
    <w:rsid w:val="005F70A1"/>
    <w:rsid w:val="005F70EC"/>
    <w:rsid w:val="005F70F0"/>
    <w:rsid w:val="005F70F7"/>
    <w:rsid w:val="005F711F"/>
    <w:rsid w:val="005F7165"/>
    <w:rsid w:val="005F71C2"/>
    <w:rsid w:val="005F7255"/>
    <w:rsid w:val="005F726A"/>
    <w:rsid w:val="005F7322"/>
    <w:rsid w:val="005F7399"/>
    <w:rsid w:val="005F73EA"/>
    <w:rsid w:val="005F7414"/>
    <w:rsid w:val="005F7484"/>
    <w:rsid w:val="005F74C3"/>
    <w:rsid w:val="005F756B"/>
    <w:rsid w:val="005F77B9"/>
    <w:rsid w:val="005F784D"/>
    <w:rsid w:val="005F78CC"/>
    <w:rsid w:val="005F7927"/>
    <w:rsid w:val="005F7A4C"/>
    <w:rsid w:val="005F7A8E"/>
    <w:rsid w:val="005F7ABC"/>
    <w:rsid w:val="005F7B3E"/>
    <w:rsid w:val="005F7C27"/>
    <w:rsid w:val="005F7C9D"/>
    <w:rsid w:val="005F7D7F"/>
    <w:rsid w:val="005F7DAD"/>
    <w:rsid w:val="005F7E81"/>
    <w:rsid w:val="005F7F41"/>
    <w:rsid w:val="00600059"/>
    <w:rsid w:val="006001A7"/>
    <w:rsid w:val="006001C5"/>
    <w:rsid w:val="0060032F"/>
    <w:rsid w:val="0060038C"/>
    <w:rsid w:val="0060041F"/>
    <w:rsid w:val="00600471"/>
    <w:rsid w:val="006007B9"/>
    <w:rsid w:val="00600815"/>
    <w:rsid w:val="0060088E"/>
    <w:rsid w:val="006008E7"/>
    <w:rsid w:val="00600930"/>
    <w:rsid w:val="00600961"/>
    <w:rsid w:val="0060096D"/>
    <w:rsid w:val="006009EB"/>
    <w:rsid w:val="00600B67"/>
    <w:rsid w:val="00600BC7"/>
    <w:rsid w:val="00600BFB"/>
    <w:rsid w:val="00600CB8"/>
    <w:rsid w:val="00600CC2"/>
    <w:rsid w:val="00600D71"/>
    <w:rsid w:val="00600D86"/>
    <w:rsid w:val="00600E78"/>
    <w:rsid w:val="00600EEE"/>
    <w:rsid w:val="00600F5F"/>
    <w:rsid w:val="00600F7E"/>
    <w:rsid w:val="0060100E"/>
    <w:rsid w:val="0060101D"/>
    <w:rsid w:val="0060101F"/>
    <w:rsid w:val="00601030"/>
    <w:rsid w:val="0060105C"/>
    <w:rsid w:val="00601080"/>
    <w:rsid w:val="0060112B"/>
    <w:rsid w:val="0060114E"/>
    <w:rsid w:val="00601168"/>
    <w:rsid w:val="0060116E"/>
    <w:rsid w:val="0060120D"/>
    <w:rsid w:val="006012BE"/>
    <w:rsid w:val="006012F4"/>
    <w:rsid w:val="0060131E"/>
    <w:rsid w:val="006013FE"/>
    <w:rsid w:val="006014BB"/>
    <w:rsid w:val="006014D5"/>
    <w:rsid w:val="00601512"/>
    <w:rsid w:val="00601561"/>
    <w:rsid w:val="0060156C"/>
    <w:rsid w:val="00601602"/>
    <w:rsid w:val="00601650"/>
    <w:rsid w:val="00601670"/>
    <w:rsid w:val="006017E7"/>
    <w:rsid w:val="00601804"/>
    <w:rsid w:val="00601833"/>
    <w:rsid w:val="0060189B"/>
    <w:rsid w:val="00601A5A"/>
    <w:rsid w:val="00601A69"/>
    <w:rsid w:val="00601AE1"/>
    <w:rsid w:val="00601BA9"/>
    <w:rsid w:val="00601C48"/>
    <w:rsid w:val="00601CBE"/>
    <w:rsid w:val="00601CD8"/>
    <w:rsid w:val="00601D42"/>
    <w:rsid w:val="00601D62"/>
    <w:rsid w:val="00601DAB"/>
    <w:rsid w:val="00601DFE"/>
    <w:rsid w:val="00601E06"/>
    <w:rsid w:val="00601F94"/>
    <w:rsid w:val="00602020"/>
    <w:rsid w:val="006020A5"/>
    <w:rsid w:val="0060212D"/>
    <w:rsid w:val="00602190"/>
    <w:rsid w:val="006021B5"/>
    <w:rsid w:val="006021C0"/>
    <w:rsid w:val="0060221D"/>
    <w:rsid w:val="006023A3"/>
    <w:rsid w:val="00602489"/>
    <w:rsid w:val="00602559"/>
    <w:rsid w:val="00602697"/>
    <w:rsid w:val="00602743"/>
    <w:rsid w:val="006027C0"/>
    <w:rsid w:val="00602830"/>
    <w:rsid w:val="00602891"/>
    <w:rsid w:val="0060289C"/>
    <w:rsid w:val="006028BD"/>
    <w:rsid w:val="006028C6"/>
    <w:rsid w:val="006028FB"/>
    <w:rsid w:val="0060295B"/>
    <w:rsid w:val="00602B5D"/>
    <w:rsid w:val="00602B6D"/>
    <w:rsid w:val="00602CA5"/>
    <w:rsid w:val="00602D08"/>
    <w:rsid w:val="00602E81"/>
    <w:rsid w:val="00602EAF"/>
    <w:rsid w:val="00602F47"/>
    <w:rsid w:val="00602F7F"/>
    <w:rsid w:val="00602FA2"/>
    <w:rsid w:val="00603037"/>
    <w:rsid w:val="0060304A"/>
    <w:rsid w:val="00603108"/>
    <w:rsid w:val="00603168"/>
    <w:rsid w:val="006031D2"/>
    <w:rsid w:val="006031E4"/>
    <w:rsid w:val="006032A5"/>
    <w:rsid w:val="00603307"/>
    <w:rsid w:val="006036F9"/>
    <w:rsid w:val="0060383F"/>
    <w:rsid w:val="0060385B"/>
    <w:rsid w:val="00603869"/>
    <w:rsid w:val="00603A10"/>
    <w:rsid w:val="00603A5E"/>
    <w:rsid w:val="00603A66"/>
    <w:rsid w:val="00603BE9"/>
    <w:rsid w:val="00603C08"/>
    <w:rsid w:val="00603CA6"/>
    <w:rsid w:val="00603D1C"/>
    <w:rsid w:val="00603EC0"/>
    <w:rsid w:val="00603F14"/>
    <w:rsid w:val="00603F47"/>
    <w:rsid w:val="00604041"/>
    <w:rsid w:val="00604090"/>
    <w:rsid w:val="006040F1"/>
    <w:rsid w:val="00604239"/>
    <w:rsid w:val="0060427F"/>
    <w:rsid w:val="006042A7"/>
    <w:rsid w:val="006042D8"/>
    <w:rsid w:val="006043AF"/>
    <w:rsid w:val="00604424"/>
    <w:rsid w:val="00604514"/>
    <w:rsid w:val="00604527"/>
    <w:rsid w:val="00604606"/>
    <w:rsid w:val="00604685"/>
    <w:rsid w:val="006047F9"/>
    <w:rsid w:val="006048AD"/>
    <w:rsid w:val="006048F2"/>
    <w:rsid w:val="00604A53"/>
    <w:rsid w:val="00604AFC"/>
    <w:rsid w:val="00604B18"/>
    <w:rsid w:val="00604B3C"/>
    <w:rsid w:val="00604B94"/>
    <w:rsid w:val="00604B96"/>
    <w:rsid w:val="00604C1A"/>
    <w:rsid w:val="00604C92"/>
    <w:rsid w:val="00604CAB"/>
    <w:rsid w:val="00604D32"/>
    <w:rsid w:val="00604D54"/>
    <w:rsid w:val="00604E88"/>
    <w:rsid w:val="00604EEF"/>
    <w:rsid w:val="00604EFE"/>
    <w:rsid w:val="00604FAA"/>
    <w:rsid w:val="006050C3"/>
    <w:rsid w:val="00605107"/>
    <w:rsid w:val="0060517E"/>
    <w:rsid w:val="006051E1"/>
    <w:rsid w:val="00605343"/>
    <w:rsid w:val="006054BE"/>
    <w:rsid w:val="006054CC"/>
    <w:rsid w:val="00605525"/>
    <w:rsid w:val="0060552B"/>
    <w:rsid w:val="00605643"/>
    <w:rsid w:val="00605696"/>
    <w:rsid w:val="006056CC"/>
    <w:rsid w:val="0060577C"/>
    <w:rsid w:val="006057C1"/>
    <w:rsid w:val="00605833"/>
    <w:rsid w:val="006058BE"/>
    <w:rsid w:val="0060595E"/>
    <w:rsid w:val="006059F6"/>
    <w:rsid w:val="00605A09"/>
    <w:rsid w:val="00605A71"/>
    <w:rsid w:val="00605AFD"/>
    <w:rsid w:val="00605C25"/>
    <w:rsid w:val="00605CC8"/>
    <w:rsid w:val="00605DE5"/>
    <w:rsid w:val="00605E62"/>
    <w:rsid w:val="00605EA8"/>
    <w:rsid w:val="0060602F"/>
    <w:rsid w:val="00606053"/>
    <w:rsid w:val="006060D5"/>
    <w:rsid w:val="006060E8"/>
    <w:rsid w:val="006061AB"/>
    <w:rsid w:val="006061F1"/>
    <w:rsid w:val="00606204"/>
    <w:rsid w:val="00606447"/>
    <w:rsid w:val="00606572"/>
    <w:rsid w:val="006065D2"/>
    <w:rsid w:val="006065F9"/>
    <w:rsid w:val="00606664"/>
    <w:rsid w:val="006066AC"/>
    <w:rsid w:val="006066F5"/>
    <w:rsid w:val="00606786"/>
    <w:rsid w:val="0060680B"/>
    <w:rsid w:val="0060691B"/>
    <w:rsid w:val="00606A22"/>
    <w:rsid w:val="00606AB3"/>
    <w:rsid w:val="00606AD4"/>
    <w:rsid w:val="00606B33"/>
    <w:rsid w:val="00606BEE"/>
    <w:rsid w:val="00606C3A"/>
    <w:rsid w:val="00606D12"/>
    <w:rsid w:val="00606D45"/>
    <w:rsid w:val="00606DA6"/>
    <w:rsid w:val="00606DE5"/>
    <w:rsid w:val="00606E55"/>
    <w:rsid w:val="00607104"/>
    <w:rsid w:val="006074C3"/>
    <w:rsid w:val="006074C6"/>
    <w:rsid w:val="00607520"/>
    <w:rsid w:val="00607586"/>
    <w:rsid w:val="006075A9"/>
    <w:rsid w:val="00607657"/>
    <w:rsid w:val="0060765A"/>
    <w:rsid w:val="00607679"/>
    <w:rsid w:val="006076E0"/>
    <w:rsid w:val="006076EE"/>
    <w:rsid w:val="00607738"/>
    <w:rsid w:val="0060797C"/>
    <w:rsid w:val="006079AA"/>
    <w:rsid w:val="006079D2"/>
    <w:rsid w:val="00607AA5"/>
    <w:rsid w:val="00607ABC"/>
    <w:rsid w:val="00607BCE"/>
    <w:rsid w:val="00607C8E"/>
    <w:rsid w:val="00607DB8"/>
    <w:rsid w:val="00607E25"/>
    <w:rsid w:val="00607FD2"/>
    <w:rsid w:val="00610051"/>
    <w:rsid w:val="006100EC"/>
    <w:rsid w:val="00610296"/>
    <w:rsid w:val="00610322"/>
    <w:rsid w:val="00610397"/>
    <w:rsid w:val="006103BF"/>
    <w:rsid w:val="00610464"/>
    <w:rsid w:val="006104CE"/>
    <w:rsid w:val="006104E2"/>
    <w:rsid w:val="0061055A"/>
    <w:rsid w:val="006105CD"/>
    <w:rsid w:val="00610725"/>
    <w:rsid w:val="00610807"/>
    <w:rsid w:val="00610925"/>
    <w:rsid w:val="006109AF"/>
    <w:rsid w:val="006109B6"/>
    <w:rsid w:val="006109DC"/>
    <w:rsid w:val="006109F6"/>
    <w:rsid w:val="00610A6A"/>
    <w:rsid w:val="00610A91"/>
    <w:rsid w:val="00610AFB"/>
    <w:rsid w:val="00610BC6"/>
    <w:rsid w:val="00610CB1"/>
    <w:rsid w:val="00610E19"/>
    <w:rsid w:val="00610E4C"/>
    <w:rsid w:val="00610F92"/>
    <w:rsid w:val="00610FAA"/>
    <w:rsid w:val="00610FCB"/>
    <w:rsid w:val="00610FF9"/>
    <w:rsid w:val="0061101A"/>
    <w:rsid w:val="00611070"/>
    <w:rsid w:val="0061119B"/>
    <w:rsid w:val="00611317"/>
    <w:rsid w:val="0061140B"/>
    <w:rsid w:val="00611482"/>
    <w:rsid w:val="00611571"/>
    <w:rsid w:val="00611572"/>
    <w:rsid w:val="0061160E"/>
    <w:rsid w:val="00611618"/>
    <w:rsid w:val="00611685"/>
    <w:rsid w:val="0061169B"/>
    <w:rsid w:val="00611708"/>
    <w:rsid w:val="006117A4"/>
    <w:rsid w:val="00611821"/>
    <w:rsid w:val="0061199C"/>
    <w:rsid w:val="006119AE"/>
    <w:rsid w:val="006119E6"/>
    <w:rsid w:val="00611A53"/>
    <w:rsid w:val="00611B5A"/>
    <w:rsid w:val="00611B9D"/>
    <w:rsid w:val="00611BD5"/>
    <w:rsid w:val="00611C3F"/>
    <w:rsid w:val="00611C8F"/>
    <w:rsid w:val="00611CBC"/>
    <w:rsid w:val="00611DB0"/>
    <w:rsid w:val="00611E30"/>
    <w:rsid w:val="00611EA1"/>
    <w:rsid w:val="00611F14"/>
    <w:rsid w:val="00611F44"/>
    <w:rsid w:val="00611F9B"/>
    <w:rsid w:val="00611FEB"/>
    <w:rsid w:val="00611FFB"/>
    <w:rsid w:val="00611FFF"/>
    <w:rsid w:val="006120BC"/>
    <w:rsid w:val="00612222"/>
    <w:rsid w:val="0061227D"/>
    <w:rsid w:val="006123C5"/>
    <w:rsid w:val="006123D4"/>
    <w:rsid w:val="00612502"/>
    <w:rsid w:val="00612511"/>
    <w:rsid w:val="00612529"/>
    <w:rsid w:val="006125E6"/>
    <w:rsid w:val="0061265A"/>
    <w:rsid w:val="0061266C"/>
    <w:rsid w:val="006126A5"/>
    <w:rsid w:val="006127D4"/>
    <w:rsid w:val="006127DD"/>
    <w:rsid w:val="006127DF"/>
    <w:rsid w:val="006127FF"/>
    <w:rsid w:val="006128ED"/>
    <w:rsid w:val="00612932"/>
    <w:rsid w:val="00612980"/>
    <w:rsid w:val="00612A03"/>
    <w:rsid w:val="00612A65"/>
    <w:rsid w:val="00612A90"/>
    <w:rsid w:val="00612B5C"/>
    <w:rsid w:val="00612B6B"/>
    <w:rsid w:val="00612C40"/>
    <w:rsid w:val="00612C9C"/>
    <w:rsid w:val="00612DA7"/>
    <w:rsid w:val="00612E48"/>
    <w:rsid w:val="00612F12"/>
    <w:rsid w:val="00612F94"/>
    <w:rsid w:val="00612FCA"/>
    <w:rsid w:val="00613034"/>
    <w:rsid w:val="00613054"/>
    <w:rsid w:val="006130CE"/>
    <w:rsid w:val="0061317E"/>
    <w:rsid w:val="0061319A"/>
    <w:rsid w:val="0061325C"/>
    <w:rsid w:val="006132BD"/>
    <w:rsid w:val="006132C4"/>
    <w:rsid w:val="00613313"/>
    <w:rsid w:val="006133CF"/>
    <w:rsid w:val="006133F4"/>
    <w:rsid w:val="006133F7"/>
    <w:rsid w:val="0061347E"/>
    <w:rsid w:val="006134C3"/>
    <w:rsid w:val="006134FE"/>
    <w:rsid w:val="0061351F"/>
    <w:rsid w:val="00613529"/>
    <w:rsid w:val="00613642"/>
    <w:rsid w:val="0061388C"/>
    <w:rsid w:val="00613920"/>
    <w:rsid w:val="00613941"/>
    <w:rsid w:val="0061395C"/>
    <w:rsid w:val="00613A91"/>
    <w:rsid w:val="00613AF2"/>
    <w:rsid w:val="00613B2B"/>
    <w:rsid w:val="00613B5C"/>
    <w:rsid w:val="00613B9D"/>
    <w:rsid w:val="00613BB9"/>
    <w:rsid w:val="00613C48"/>
    <w:rsid w:val="00613D66"/>
    <w:rsid w:val="00613DFD"/>
    <w:rsid w:val="00613E8A"/>
    <w:rsid w:val="00613EDD"/>
    <w:rsid w:val="00614025"/>
    <w:rsid w:val="0061402F"/>
    <w:rsid w:val="00614069"/>
    <w:rsid w:val="00614073"/>
    <w:rsid w:val="00614101"/>
    <w:rsid w:val="0061410C"/>
    <w:rsid w:val="006141EA"/>
    <w:rsid w:val="0061439C"/>
    <w:rsid w:val="00614431"/>
    <w:rsid w:val="0061445B"/>
    <w:rsid w:val="0061477B"/>
    <w:rsid w:val="006147B1"/>
    <w:rsid w:val="006147E2"/>
    <w:rsid w:val="00614845"/>
    <w:rsid w:val="00614944"/>
    <w:rsid w:val="00614984"/>
    <w:rsid w:val="00614AB7"/>
    <w:rsid w:val="00614ABE"/>
    <w:rsid w:val="00614B1A"/>
    <w:rsid w:val="00614B4B"/>
    <w:rsid w:val="00614B8A"/>
    <w:rsid w:val="00614BAD"/>
    <w:rsid w:val="00614BBE"/>
    <w:rsid w:val="00614C3D"/>
    <w:rsid w:val="00614C49"/>
    <w:rsid w:val="00614D0E"/>
    <w:rsid w:val="00614DB9"/>
    <w:rsid w:val="00614DED"/>
    <w:rsid w:val="00614DF1"/>
    <w:rsid w:val="00614EB3"/>
    <w:rsid w:val="0061502A"/>
    <w:rsid w:val="00615115"/>
    <w:rsid w:val="00615133"/>
    <w:rsid w:val="006152C6"/>
    <w:rsid w:val="0061536E"/>
    <w:rsid w:val="0061537B"/>
    <w:rsid w:val="0061552D"/>
    <w:rsid w:val="006156D4"/>
    <w:rsid w:val="006156DA"/>
    <w:rsid w:val="00615740"/>
    <w:rsid w:val="0061579E"/>
    <w:rsid w:val="006157FF"/>
    <w:rsid w:val="006158A5"/>
    <w:rsid w:val="00615925"/>
    <w:rsid w:val="00615BA2"/>
    <w:rsid w:val="00615BD9"/>
    <w:rsid w:val="00615C1C"/>
    <w:rsid w:val="00615C72"/>
    <w:rsid w:val="00615D12"/>
    <w:rsid w:val="00615EC3"/>
    <w:rsid w:val="00615F12"/>
    <w:rsid w:val="00615FD8"/>
    <w:rsid w:val="006161A5"/>
    <w:rsid w:val="006161BC"/>
    <w:rsid w:val="006161BE"/>
    <w:rsid w:val="006161D0"/>
    <w:rsid w:val="00616240"/>
    <w:rsid w:val="0061631D"/>
    <w:rsid w:val="006163FC"/>
    <w:rsid w:val="00616431"/>
    <w:rsid w:val="00616487"/>
    <w:rsid w:val="006164A1"/>
    <w:rsid w:val="006164BD"/>
    <w:rsid w:val="0061657D"/>
    <w:rsid w:val="00616665"/>
    <w:rsid w:val="006166EE"/>
    <w:rsid w:val="006167E4"/>
    <w:rsid w:val="006168F2"/>
    <w:rsid w:val="00616A1E"/>
    <w:rsid w:val="00616A70"/>
    <w:rsid w:val="00616B02"/>
    <w:rsid w:val="00616B14"/>
    <w:rsid w:val="00616B1B"/>
    <w:rsid w:val="00616B6F"/>
    <w:rsid w:val="00616BF6"/>
    <w:rsid w:val="00616C01"/>
    <w:rsid w:val="00616CE8"/>
    <w:rsid w:val="00616DE5"/>
    <w:rsid w:val="00616EBC"/>
    <w:rsid w:val="00616F41"/>
    <w:rsid w:val="00616F9D"/>
    <w:rsid w:val="0061715F"/>
    <w:rsid w:val="00617350"/>
    <w:rsid w:val="006174B0"/>
    <w:rsid w:val="0061752C"/>
    <w:rsid w:val="0061779C"/>
    <w:rsid w:val="006177A3"/>
    <w:rsid w:val="00617895"/>
    <w:rsid w:val="00617896"/>
    <w:rsid w:val="00617A07"/>
    <w:rsid w:val="00617A17"/>
    <w:rsid w:val="00617A80"/>
    <w:rsid w:val="00617A9E"/>
    <w:rsid w:val="00617B17"/>
    <w:rsid w:val="00617B3C"/>
    <w:rsid w:val="00617B77"/>
    <w:rsid w:val="00617BE8"/>
    <w:rsid w:val="00617C22"/>
    <w:rsid w:val="00617CFE"/>
    <w:rsid w:val="00617F61"/>
    <w:rsid w:val="00617FE1"/>
    <w:rsid w:val="00620026"/>
    <w:rsid w:val="00620035"/>
    <w:rsid w:val="00620157"/>
    <w:rsid w:val="00620162"/>
    <w:rsid w:val="00620168"/>
    <w:rsid w:val="006201A8"/>
    <w:rsid w:val="006202A3"/>
    <w:rsid w:val="006202C6"/>
    <w:rsid w:val="0062030E"/>
    <w:rsid w:val="00620344"/>
    <w:rsid w:val="006203C5"/>
    <w:rsid w:val="006204FD"/>
    <w:rsid w:val="0062052C"/>
    <w:rsid w:val="00620557"/>
    <w:rsid w:val="006205E2"/>
    <w:rsid w:val="0062060B"/>
    <w:rsid w:val="0062060F"/>
    <w:rsid w:val="00620670"/>
    <w:rsid w:val="006206F2"/>
    <w:rsid w:val="00620703"/>
    <w:rsid w:val="00620790"/>
    <w:rsid w:val="006207CA"/>
    <w:rsid w:val="00620821"/>
    <w:rsid w:val="0062082A"/>
    <w:rsid w:val="0062092E"/>
    <w:rsid w:val="0062098D"/>
    <w:rsid w:val="006209BB"/>
    <w:rsid w:val="00620ABF"/>
    <w:rsid w:val="00620B1E"/>
    <w:rsid w:val="00620B26"/>
    <w:rsid w:val="00620BAF"/>
    <w:rsid w:val="00620C8A"/>
    <w:rsid w:val="00620F1C"/>
    <w:rsid w:val="00620F43"/>
    <w:rsid w:val="00620F87"/>
    <w:rsid w:val="00620FDD"/>
    <w:rsid w:val="0062101B"/>
    <w:rsid w:val="0062103A"/>
    <w:rsid w:val="00621073"/>
    <w:rsid w:val="006210CA"/>
    <w:rsid w:val="00621138"/>
    <w:rsid w:val="00621147"/>
    <w:rsid w:val="006211B2"/>
    <w:rsid w:val="006211F2"/>
    <w:rsid w:val="006212DB"/>
    <w:rsid w:val="0062130E"/>
    <w:rsid w:val="00621313"/>
    <w:rsid w:val="0062131F"/>
    <w:rsid w:val="00621333"/>
    <w:rsid w:val="006213DB"/>
    <w:rsid w:val="006213EA"/>
    <w:rsid w:val="0062140F"/>
    <w:rsid w:val="006214A2"/>
    <w:rsid w:val="006214BB"/>
    <w:rsid w:val="00621505"/>
    <w:rsid w:val="0062157B"/>
    <w:rsid w:val="00621693"/>
    <w:rsid w:val="006216A0"/>
    <w:rsid w:val="006216C3"/>
    <w:rsid w:val="00621746"/>
    <w:rsid w:val="0062174F"/>
    <w:rsid w:val="0062176E"/>
    <w:rsid w:val="00621797"/>
    <w:rsid w:val="00621828"/>
    <w:rsid w:val="0062193D"/>
    <w:rsid w:val="0062194A"/>
    <w:rsid w:val="00621A3A"/>
    <w:rsid w:val="00621BB6"/>
    <w:rsid w:val="00621CB3"/>
    <w:rsid w:val="00621D79"/>
    <w:rsid w:val="00621D88"/>
    <w:rsid w:val="00621DC7"/>
    <w:rsid w:val="00621E07"/>
    <w:rsid w:val="00621E32"/>
    <w:rsid w:val="00621EAB"/>
    <w:rsid w:val="00621F4F"/>
    <w:rsid w:val="00621FCF"/>
    <w:rsid w:val="0062202B"/>
    <w:rsid w:val="006220A4"/>
    <w:rsid w:val="006220B0"/>
    <w:rsid w:val="00622125"/>
    <w:rsid w:val="006221CE"/>
    <w:rsid w:val="006222E3"/>
    <w:rsid w:val="00622353"/>
    <w:rsid w:val="00622438"/>
    <w:rsid w:val="00622490"/>
    <w:rsid w:val="006224DB"/>
    <w:rsid w:val="00622506"/>
    <w:rsid w:val="0062263A"/>
    <w:rsid w:val="0062269B"/>
    <w:rsid w:val="006227B6"/>
    <w:rsid w:val="006228E7"/>
    <w:rsid w:val="006229F6"/>
    <w:rsid w:val="00622A0D"/>
    <w:rsid w:val="00622A40"/>
    <w:rsid w:val="00622A65"/>
    <w:rsid w:val="00622A9A"/>
    <w:rsid w:val="00622AA3"/>
    <w:rsid w:val="00622AD7"/>
    <w:rsid w:val="00622AF2"/>
    <w:rsid w:val="00622AFB"/>
    <w:rsid w:val="00622B36"/>
    <w:rsid w:val="00622B97"/>
    <w:rsid w:val="00622CAA"/>
    <w:rsid w:val="00622DE7"/>
    <w:rsid w:val="00622DF4"/>
    <w:rsid w:val="00622E40"/>
    <w:rsid w:val="00622EFE"/>
    <w:rsid w:val="00622F28"/>
    <w:rsid w:val="00622F5B"/>
    <w:rsid w:val="00622FCC"/>
    <w:rsid w:val="00622FEE"/>
    <w:rsid w:val="00623032"/>
    <w:rsid w:val="00623091"/>
    <w:rsid w:val="006230A9"/>
    <w:rsid w:val="006230F5"/>
    <w:rsid w:val="006231C1"/>
    <w:rsid w:val="006231DA"/>
    <w:rsid w:val="0062321F"/>
    <w:rsid w:val="0062322B"/>
    <w:rsid w:val="00623316"/>
    <w:rsid w:val="006233C3"/>
    <w:rsid w:val="00623439"/>
    <w:rsid w:val="006234A6"/>
    <w:rsid w:val="00623543"/>
    <w:rsid w:val="00623673"/>
    <w:rsid w:val="006237D6"/>
    <w:rsid w:val="006237DC"/>
    <w:rsid w:val="00623886"/>
    <w:rsid w:val="00623909"/>
    <w:rsid w:val="0062391A"/>
    <w:rsid w:val="00623B5E"/>
    <w:rsid w:val="00623B9B"/>
    <w:rsid w:val="00623BC7"/>
    <w:rsid w:val="00623BDA"/>
    <w:rsid w:val="00623C10"/>
    <w:rsid w:val="00623C52"/>
    <w:rsid w:val="00623D32"/>
    <w:rsid w:val="00623DED"/>
    <w:rsid w:val="00623E30"/>
    <w:rsid w:val="00623E46"/>
    <w:rsid w:val="00623E89"/>
    <w:rsid w:val="00623EDF"/>
    <w:rsid w:val="00623F0D"/>
    <w:rsid w:val="00624062"/>
    <w:rsid w:val="00624068"/>
    <w:rsid w:val="00624120"/>
    <w:rsid w:val="00624148"/>
    <w:rsid w:val="00624179"/>
    <w:rsid w:val="0062417F"/>
    <w:rsid w:val="0062424A"/>
    <w:rsid w:val="00624264"/>
    <w:rsid w:val="006242DC"/>
    <w:rsid w:val="00624391"/>
    <w:rsid w:val="006243F6"/>
    <w:rsid w:val="0062442F"/>
    <w:rsid w:val="006244C9"/>
    <w:rsid w:val="0062471C"/>
    <w:rsid w:val="00624746"/>
    <w:rsid w:val="0062487E"/>
    <w:rsid w:val="00624908"/>
    <w:rsid w:val="006249A9"/>
    <w:rsid w:val="006249C0"/>
    <w:rsid w:val="00624A72"/>
    <w:rsid w:val="00624AE8"/>
    <w:rsid w:val="00624B32"/>
    <w:rsid w:val="00624B34"/>
    <w:rsid w:val="00624B73"/>
    <w:rsid w:val="00624BC1"/>
    <w:rsid w:val="00624BEB"/>
    <w:rsid w:val="00624C4B"/>
    <w:rsid w:val="00624D65"/>
    <w:rsid w:val="00624E75"/>
    <w:rsid w:val="00624F17"/>
    <w:rsid w:val="00624F58"/>
    <w:rsid w:val="00624FC6"/>
    <w:rsid w:val="00624FEC"/>
    <w:rsid w:val="00625095"/>
    <w:rsid w:val="0062514A"/>
    <w:rsid w:val="00625185"/>
    <w:rsid w:val="006251E3"/>
    <w:rsid w:val="00625260"/>
    <w:rsid w:val="0062535C"/>
    <w:rsid w:val="00625491"/>
    <w:rsid w:val="00625570"/>
    <w:rsid w:val="006255A9"/>
    <w:rsid w:val="006255B3"/>
    <w:rsid w:val="006255C1"/>
    <w:rsid w:val="006256BB"/>
    <w:rsid w:val="006256D1"/>
    <w:rsid w:val="00625752"/>
    <w:rsid w:val="0062578D"/>
    <w:rsid w:val="006257F1"/>
    <w:rsid w:val="00625837"/>
    <w:rsid w:val="00625840"/>
    <w:rsid w:val="00625885"/>
    <w:rsid w:val="00625900"/>
    <w:rsid w:val="00625983"/>
    <w:rsid w:val="006259C4"/>
    <w:rsid w:val="00625A39"/>
    <w:rsid w:val="00625B25"/>
    <w:rsid w:val="00625B62"/>
    <w:rsid w:val="00625BAC"/>
    <w:rsid w:val="00625BEE"/>
    <w:rsid w:val="00625C5F"/>
    <w:rsid w:val="00625E04"/>
    <w:rsid w:val="00625E36"/>
    <w:rsid w:val="00625E7B"/>
    <w:rsid w:val="00625EA3"/>
    <w:rsid w:val="00625F6B"/>
    <w:rsid w:val="00625F8E"/>
    <w:rsid w:val="00626073"/>
    <w:rsid w:val="006260E3"/>
    <w:rsid w:val="0062613F"/>
    <w:rsid w:val="006261E8"/>
    <w:rsid w:val="006261EA"/>
    <w:rsid w:val="0062626D"/>
    <w:rsid w:val="0062627F"/>
    <w:rsid w:val="0062632B"/>
    <w:rsid w:val="00626419"/>
    <w:rsid w:val="00626499"/>
    <w:rsid w:val="006264CD"/>
    <w:rsid w:val="00626683"/>
    <w:rsid w:val="0062669E"/>
    <w:rsid w:val="006266FF"/>
    <w:rsid w:val="00626713"/>
    <w:rsid w:val="00626761"/>
    <w:rsid w:val="00626794"/>
    <w:rsid w:val="00626885"/>
    <w:rsid w:val="0062692F"/>
    <w:rsid w:val="00626956"/>
    <w:rsid w:val="00626A47"/>
    <w:rsid w:val="00626A55"/>
    <w:rsid w:val="00626A8D"/>
    <w:rsid w:val="00626A96"/>
    <w:rsid w:val="00626C03"/>
    <w:rsid w:val="00626C30"/>
    <w:rsid w:val="00626CE4"/>
    <w:rsid w:val="00626D39"/>
    <w:rsid w:val="00626D9E"/>
    <w:rsid w:val="00626E36"/>
    <w:rsid w:val="00626EEF"/>
    <w:rsid w:val="00626F0E"/>
    <w:rsid w:val="00626F24"/>
    <w:rsid w:val="00626F3D"/>
    <w:rsid w:val="0062706E"/>
    <w:rsid w:val="006270D7"/>
    <w:rsid w:val="00627119"/>
    <w:rsid w:val="00627152"/>
    <w:rsid w:val="0062723B"/>
    <w:rsid w:val="00627392"/>
    <w:rsid w:val="006275D5"/>
    <w:rsid w:val="006275FC"/>
    <w:rsid w:val="006276AD"/>
    <w:rsid w:val="0062774F"/>
    <w:rsid w:val="0062786F"/>
    <w:rsid w:val="006279EF"/>
    <w:rsid w:val="00627A53"/>
    <w:rsid w:val="00627BAC"/>
    <w:rsid w:val="00627BD1"/>
    <w:rsid w:val="00627C4D"/>
    <w:rsid w:val="00627C76"/>
    <w:rsid w:val="00627C81"/>
    <w:rsid w:val="00627C86"/>
    <w:rsid w:val="00627DE5"/>
    <w:rsid w:val="00627F1C"/>
    <w:rsid w:val="00630026"/>
    <w:rsid w:val="00630070"/>
    <w:rsid w:val="00630073"/>
    <w:rsid w:val="0063014E"/>
    <w:rsid w:val="00630218"/>
    <w:rsid w:val="00630256"/>
    <w:rsid w:val="00630267"/>
    <w:rsid w:val="006302DB"/>
    <w:rsid w:val="00630372"/>
    <w:rsid w:val="006303ED"/>
    <w:rsid w:val="00630504"/>
    <w:rsid w:val="00630552"/>
    <w:rsid w:val="00630860"/>
    <w:rsid w:val="00630862"/>
    <w:rsid w:val="00630880"/>
    <w:rsid w:val="006308C0"/>
    <w:rsid w:val="006308F5"/>
    <w:rsid w:val="006308FD"/>
    <w:rsid w:val="00630915"/>
    <w:rsid w:val="00630981"/>
    <w:rsid w:val="00630A08"/>
    <w:rsid w:val="00630A37"/>
    <w:rsid w:val="00630A85"/>
    <w:rsid w:val="00630A89"/>
    <w:rsid w:val="00630BA9"/>
    <w:rsid w:val="00630C26"/>
    <w:rsid w:val="00630C2E"/>
    <w:rsid w:val="00630CE7"/>
    <w:rsid w:val="00630CF7"/>
    <w:rsid w:val="00630F7E"/>
    <w:rsid w:val="00631046"/>
    <w:rsid w:val="006310BD"/>
    <w:rsid w:val="00631146"/>
    <w:rsid w:val="0063118A"/>
    <w:rsid w:val="0063126F"/>
    <w:rsid w:val="006312F1"/>
    <w:rsid w:val="006313B3"/>
    <w:rsid w:val="006313CD"/>
    <w:rsid w:val="006313DE"/>
    <w:rsid w:val="00631494"/>
    <w:rsid w:val="006314D8"/>
    <w:rsid w:val="006314DE"/>
    <w:rsid w:val="00631537"/>
    <w:rsid w:val="0063160F"/>
    <w:rsid w:val="00631748"/>
    <w:rsid w:val="0063181D"/>
    <w:rsid w:val="00631873"/>
    <w:rsid w:val="006318D5"/>
    <w:rsid w:val="0063190A"/>
    <w:rsid w:val="00631920"/>
    <w:rsid w:val="006319A2"/>
    <w:rsid w:val="006319A7"/>
    <w:rsid w:val="006319B6"/>
    <w:rsid w:val="00631A1E"/>
    <w:rsid w:val="00631A77"/>
    <w:rsid w:val="00631B20"/>
    <w:rsid w:val="00631C38"/>
    <w:rsid w:val="00631CBE"/>
    <w:rsid w:val="00631E74"/>
    <w:rsid w:val="00631FDE"/>
    <w:rsid w:val="0063209E"/>
    <w:rsid w:val="006320C4"/>
    <w:rsid w:val="00632261"/>
    <w:rsid w:val="006322E4"/>
    <w:rsid w:val="006323D1"/>
    <w:rsid w:val="0063245D"/>
    <w:rsid w:val="006324A3"/>
    <w:rsid w:val="006324AF"/>
    <w:rsid w:val="00632510"/>
    <w:rsid w:val="00632597"/>
    <w:rsid w:val="006325B2"/>
    <w:rsid w:val="00632667"/>
    <w:rsid w:val="00632748"/>
    <w:rsid w:val="00632970"/>
    <w:rsid w:val="00632B20"/>
    <w:rsid w:val="00632BB5"/>
    <w:rsid w:val="00632BF8"/>
    <w:rsid w:val="00632C66"/>
    <w:rsid w:val="00632CBC"/>
    <w:rsid w:val="00632EB2"/>
    <w:rsid w:val="00632F24"/>
    <w:rsid w:val="00632F54"/>
    <w:rsid w:val="00632FC6"/>
    <w:rsid w:val="00633054"/>
    <w:rsid w:val="0063306C"/>
    <w:rsid w:val="0063307F"/>
    <w:rsid w:val="0063309D"/>
    <w:rsid w:val="00633147"/>
    <w:rsid w:val="006331F9"/>
    <w:rsid w:val="00633269"/>
    <w:rsid w:val="006332EC"/>
    <w:rsid w:val="006332F2"/>
    <w:rsid w:val="00633322"/>
    <w:rsid w:val="0063343D"/>
    <w:rsid w:val="0063352A"/>
    <w:rsid w:val="0063357A"/>
    <w:rsid w:val="00633619"/>
    <w:rsid w:val="0063377E"/>
    <w:rsid w:val="0063385E"/>
    <w:rsid w:val="006339D6"/>
    <w:rsid w:val="00633AAB"/>
    <w:rsid w:val="00633AC3"/>
    <w:rsid w:val="00633B75"/>
    <w:rsid w:val="00633C4F"/>
    <w:rsid w:val="00633C79"/>
    <w:rsid w:val="00633D88"/>
    <w:rsid w:val="00633DA5"/>
    <w:rsid w:val="00633DDA"/>
    <w:rsid w:val="00633DF8"/>
    <w:rsid w:val="00633EC2"/>
    <w:rsid w:val="00633F29"/>
    <w:rsid w:val="00633F9D"/>
    <w:rsid w:val="00633FF1"/>
    <w:rsid w:val="006341A4"/>
    <w:rsid w:val="00634244"/>
    <w:rsid w:val="00634297"/>
    <w:rsid w:val="006342D1"/>
    <w:rsid w:val="00634675"/>
    <w:rsid w:val="00634741"/>
    <w:rsid w:val="00634804"/>
    <w:rsid w:val="00634946"/>
    <w:rsid w:val="00634A1D"/>
    <w:rsid w:val="00634A42"/>
    <w:rsid w:val="00634A4E"/>
    <w:rsid w:val="00634A66"/>
    <w:rsid w:val="00634AC7"/>
    <w:rsid w:val="00634AF0"/>
    <w:rsid w:val="00634B44"/>
    <w:rsid w:val="00634BE4"/>
    <w:rsid w:val="00634C38"/>
    <w:rsid w:val="00634D35"/>
    <w:rsid w:val="00634E5E"/>
    <w:rsid w:val="00634EC5"/>
    <w:rsid w:val="00634FFA"/>
    <w:rsid w:val="00635018"/>
    <w:rsid w:val="00635162"/>
    <w:rsid w:val="006351CA"/>
    <w:rsid w:val="0063525B"/>
    <w:rsid w:val="006353EB"/>
    <w:rsid w:val="0063542D"/>
    <w:rsid w:val="00635478"/>
    <w:rsid w:val="0063549E"/>
    <w:rsid w:val="006354C2"/>
    <w:rsid w:val="0063553E"/>
    <w:rsid w:val="00635543"/>
    <w:rsid w:val="00635575"/>
    <w:rsid w:val="00635610"/>
    <w:rsid w:val="00635651"/>
    <w:rsid w:val="006356F8"/>
    <w:rsid w:val="00635703"/>
    <w:rsid w:val="00635714"/>
    <w:rsid w:val="0063573A"/>
    <w:rsid w:val="006357E9"/>
    <w:rsid w:val="006358F0"/>
    <w:rsid w:val="006358FC"/>
    <w:rsid w:val="0063591F"/>
    <w:rsid w:val="006359BF"/>
    <w:rsid w:val="00635A33"/>
    <w:rsid w:val="00635BD3"/>
    <w:rsid w:val="00635C5F"/>
    <w:rsid w:val="00635CE8"/>
    <w:rsid w:val="00635D14"/>
    <w:rsid w:val="00635D2F"/>
    <w:rsid w:val="00635D78"/>
    <w:rsid w:val="00635D86"/>
    <w:rsid w:val="00635D91"/>
    <w:rsid w:val="00635D9F"/>
    <w:rsid w:val="00635E38"/>
    <w:rsid w:val="00635E76"/>
    <w:rsid w:val="00635E7B"/>
    <w:rsid w:val="0063607D"/>
    <w:rsid w:val="006360FB"/>
    <w:rsid w:val="006361B9"/>
    <w:rsid w:val="006361C3"/>
    <w:rsid w:val="006361EC"/>
    <w:rsid w:val="0063641D"/>
    <w:rsid w:val="00636431"/>
    <w:rsid w:val="00636435"/>
    <w:rsid w:val="0063644B"/>
    <w:rsid w:val="00636450"/>
    <w:rsid w:val="0063655F"/>
    <w:rsid w:val="0063657D"/>
    <w:rsid w:val="006365A8"/>
    <w:rsid w:val="006365B1"/>
    <w:rsid w:val="006365C3"/>
    <w:rsid w:val="006365CF"/>
    <w:rsid w:val="006366B0"/>
    <w:rsid w:val="00636747"/>
    <w:rsid w:val="006367F2"/>
    <w:rsid w:val="006368D6"/>
    <w:rsid w:val="0063695E"/>
    <w:rsid w:val="006369B2"/>
    <w:rsid w:val="006369F3"/>
    <w:rsid w:val="00636A00"/>
    <w:rsid w:val="00636A2E"/>
    <w:rsid w:val="00636A37"/>
    <w:rsid w:val="00636A65"/>
    <w:rsid w:val="00636B10"/>
    <w:rsid w:val="00636BD0"/>
    <w:rsid w:val="00636BD2"/>
    <w:rsid w:val="00636CD7"/>
    <w:rsid w:val="00636DE2"/>
    <w:rsid w:val="00636DF8"/>
    <w:rsid w:val="00636E76"/>
    <w:rsid w:val="00636E8C"/>
    <w:rsid w:val="00636F7B"/>
    <w:rsid w:val="00636F81"/>
    <w:rsid w:val="00636FAC"/>
    <w:rsid w:val="00636FED"/>
    <w:rsid w:val="00637022"/>
    <w:rsid w:val="0063704C"/>
    <w:rsid w:val="0063715E"/>
    <w:rsid w:val="006371A0"/>
    <w:rsid w:val="006372A1"/>
    <w:rsid w:val="006374CC"/>
    <w:rsid w:val="00637530"/>
    <w:rsid w:val="00637548"/>
    <w:rsid w:val="00637620"/>
    <w:rsid w:val="00637688"/>
    <w:rsid w:val="0063773B"/>
    <w:rsid w:val="0063779A"/>
    <w:rsid w:val="006377F4"/>
    <w:rsid w:val="00637886"/>
    <w:rsid w:val="00637948"/>
    <w:rsid w:val="00637962"/>
    <w:rsid w:val="00637A64"/>
    <w:rsid w:val="00637ADE"/>
    <w:rsid w:val="00637B52"/>
    <w:rsid w:val="00637B70"/>
    <w:rsid w:val="00637C38"/>
    <w:rsid w:val="00637D1C"/>
    <w:rsid w:val="00637D8A"/>
    <w:rsid w:val="00637DE3"/>
    <w:rsid w:val="00637DF4"/>
    <w:rsid w:val="00637EB2"/>
    <w:rsid w:val="00637EE3"/>
    <w:rsid w:val="00637F60"/>
    <w:rsid w:val="00637FB8"/>
    <w:rsid w:val="0064004C"/>
    <w:rsid w:val="006400C0"/>
    <w:rsid w:val="0064013B"/>
    <w:rsid w:val="0064013C"/>
    <w:rsid w:val="0064016F"/>
    <w:rsid w:val="00640239"/>
    <w:rsid w:val="0064036B"/>
    <w:rsid w:val="0064037A"/>
    <w:rsid w:val="0064045E"/>
    <w:rsid w:val="00640549"/>
    <w:rsid w:val="0064059E"/>
    <w:rsid w:val="00640726"/>
    <w:rsid w:val="0064075D"/>
    <w:rsid w:val="0064091A"/>
    <w:rsid w:val="0064097E"/>
    <w:rsid w:val="006409C9"/>
    <w:rsid w:val="00640B2D"/>
    <w:rsid w:val="00640B31"/>
    <w:rsid w:val="00640B51"/>
    <w:rsid w:val="00640C08"/>
    <w:rsid w:val="00640C2C"/>
    <w:rsid w:val="00640C60"/>
    <w:rsid w:val="00640DB3"/>
    <w:rsid w:val="00640DBB"/>
    <w:rsid w:val="00640E68"/>
    <w:rsid w:val="00640EB9"/>
    <w:rsid w:val="00640EC6"/>
    <w:rsid w:val="00640F16"/>
    <w:rsid w:val="00640F2F"/>
    <w:rsid w:val="00640F64"/>
    <w:rsid w:val="00640F6A"/>
    <w:rsid w:val="00641066"/>
    <w:rsid w:val="0064113F"/>
    <w:rsid w:val="00641151"/>
    <w:rsid w:val="00641197"/>
    <w:rsid w:val="00641199"/>
    <w:rsid w:val="006411DD"/>
    <w:rsid w:val="00641287"/>
    <w:rsid w:val="0064128C"/>
    <w:rsid w:val="0064129B"/>
    <w:rsid w:val="006412F7"/>
    <w:rsid w:val="00641403"/>
    <w:rsid w:val="00641523"/>
    <w:rsid w:val="00641564"/>
    <w:rsid w:val="0064162F"/>
    <w:rsid w:val="006416D7"/>
    <w:rsid w:val="006416F9"/>
    <w:rsid w:val="006416FC"/>
    <w:rsid w:val="0064176D"/>
    <w:rsid w:val="006417CE"/>
    <w:rsid w:val="006417DB"/>
    <w:rsid w:val="006417FF"/>
    <w:rsid w:val="00641B09"/>
    <w:rsid w:val="00641BB2"/>
    <w:rsid w:val="00641BC1"/>
    <w:rsid w:val="00641C53"/>
    <w:rsid w:val="00641D54"/>
    <w:rsid w:val="00641D55"/>
    <w:rsid w:val="00641DD5"/>
    <w:rsid w:val="00641E78"/>
    <w:rsid w:val="00641ED6"/>
    <w:rsid w:val="00642008"/>
    <w:rsid w:val="00642094"/>
    <w:rsid w:val="006420B0"/>
    <w:rsid w:val="006420D3"/>
    <w:rsid w:val="00642215"/>
    <w:rsid w:val="00642278"/>
    <w:rsid w:val="0064235A"/>
    <w:rsid w:val="00642375"/>
    <w:rsid w:val="006423EA"/>
    <w:rsid w:val="00642459"/>
    <w:rsid w:val="00642473"/>
    <w:rsid w:val="006425B2"/>
    <w:rsid w:val="00642655"/>
    <w:rsid w:val="00642675"/>
    <w:rsid w:val="0064267E"/>
    <w:rsid w:val="00642734"/>
    <w:rsid w:val="0064274C"/>
    <w:rsid w:val="0064275F"/>
    <w:rsid w:val="006427AA"/>
    <w:rsid w:val="006427CC"/>
    <w:rsid w:val="0064282C"/>
    <w:rsid w:val="006428FD"/>
    <w:rsid w:val="00642AAF"/>
    <w:rsid w:val="00642B67"/>
    <w:rsid w:val="00642BD9"/>
    <w:rsid w:val="00642C08"/>
    <w:rsid w:val="00642C0D"/>
    <w:rsid w:val="00642C50"/>
    <w:rsid w:val="00642CE6"/>
    <w:rsid w:val="00642D08"/>
    <w:rsid w:val="00642D5F"/>
    <w:rsid w:val="00642D89"/>
    <w:rsid w:val="00642DC8"/>
    <w:rsid w:val="00642E93"/>
    <w:rsid w:val="00642FA8"/>
    <w:rsid w:val="00643071"/>
    <w:rsid w:val="006430E8"/>
    <w:rsid w:val="0064312E"/>
    <w:rsid w:val="00643138"/>
    <w:rsid w:val="006431B4"/>
    <w:rsid w:val="006431F6"/>
    <w:rsid w:val="0064320F"/>
    <w:rsid w:val="0064337C"/>
    <w:rsid w:val="006433CC"/>
    <w:rsid w:val="006435BB"/>
    <w:rsid w:val="006436D4"/>
    <w:rsid w:val="00643757"/>
    <w:rsid w:val="00643961"/>
    <w:rsid w:val="00643967"/>
    <w:rsid w:val="00643994"/>
    <w:rsid w:val="0064399F"/>
    <w:rsid w:val="00643A06"/>
    <w:rsid w:val="00643A3C"/>
    <w:rsid w:val="00643B15"/>
    <w:rsid w:val="00643BD5"/>
    <w:rsid w:val="00643BF8"/>
    <w:rsid w:val="00643C0F"/>
    <w:rsid w:val="00643C2B"/>
    <w:rsid w:val="00643CAD"/>
    <w:rsid w:val="00643D85"/>
    <w:rsid w:val="00643D8F"/>
    <w:rsid w:val="00643D94"/>
    <w:rsid w:val="00643E3D"/>
    <w:rsid w:val="00643E7B"/>
    <w:rsid w:val="00643E92"/>
    <w:rsid w:val="00643ED3"/>
    <w:rsid w:val="00643EF3"/>
    <w:rsid w:val="00643F14"/>
    <w:rsid w:val="00643F16"/>
    <w:rsid w:val="00643F20"/>
    <w:rsid w:val="00643F32"/>
    <w:rsid w:val="006440D6"/>
    <w:rsid w:val="006440DD"/>
    <w:rsid w:val="0064416D"/>
    <w:rsid w:val="00644220"/>
    <w:rsid w:val="00644221"/>
    <w:rsid w:val="006442F7"/>
    <w:rsid w:val="0064430D"/>
    <w:rsid w:val="00644435"/>
    <w:rsid w:val="006444A0"/>
    <w:rsid w:val="006444E6"/>
    <w:rsid w:val="00644504"/>
    <w:rsid w:val="0064463B"/>
    <w:rsid w:val="00644663"/>
    <w:rsid w:val="006446DC"/>
    <w:rsid w:val="00644777"/>
    <w:rsid w:val="006447AB"/>
    <w:rsid w:val="006447C0"/>
    <w:rsid w:val="00644A02"/>
    <w:rsid w:val="00644A14"/>
    <w:rsid w:val="00644AAC"/>
    <w:rsid w:val="00644AFD"/>
    <w:rsid w:val="00644B7D"/>
    <w:rsid w:val="00644B85"/>
    <w:rsid w:val="00644BE3"/>
    <w:rsid w:val="00644C15"/>
    <w:rsid w:val="00644D63"/>
    <w:rsid w:val="00644DD7"/>
    <w:rsid w:val="00644E0E"/>
    <w:rsid w:val="00644E5D"/>
    <w:rsid w:val="00644ECA"/>
    <w:rsid w:val="00644ED6"/>
    <w:rsid w:val="00644F21"/>
    <w:rsid w:val="00644F5E"/>
    <w:rsid w:val="00644F66"/>
    <w:rsid w:val="00644FE9"/>
    <w:rsid w:val="0064501D"/>
    <w:rsid w:val="006450A4"/>
    <w:rsid w:val="006450CA"/>
    <w:rsid w:val="00645167"/>
    <w:rsid w:val="006451DE"/>
    <w:rsid w:val="0064525A"/>
    <w:rsid w:val="00645266"/>
    <w:rsid w:val="0064535E"/>
    <w:rsid w:val="006454CC"/>
    <w:rsid w:val="006454CE"/>
    <w:rsid w:val="0064551D"/>
    <w:rsid w:val="00645588"/>
    <w:rsid w:val="00645594"/>
    <w:rsid w:val="006455A7"/>
    <w:rsid w:val="00645622"/>
    <w:rsid w:val="006456FD"/>
    <w:rsid w:val="0064575A"/>
    <w:rsid w:val="006457D7"/>
    <w:rsid w:val="00645818"/>
    <w:rsid w:val="006458FE"/>
    <w:rsid w:val="0064593C"/>
    <w:rsid w:val="00645A03"/>
    <w:rsid w:val="00645A42"/>
    <w:rsid w:val="00645A7B"/>
    <w:rsid w:val="00645B75"/>
    <w:rsid w:val="00645CE1"/>
    <w:rsid w:val="00645D9F"/>
    <w:rsid w:val="00645DDD"/>
    <w:rsid w:val="00645FA7"/>
    <w:rsid w:val="0064608B"/>
    <w:rsid w:val="00646116"/>
    <w:rsid w:val="00646210"/>
    <w:rsid w:val="006462F5"/>
    <w:rsid w:val="00646380"/>
    <w:rsid w:val="006463F5"/>
    <w:rsid w:val="00646486"/>
    <w:rsid w:val="0064661E"/>
    <w:rsid w:val="00646795"/>
    <w:rsid w:val="00646853"/>
    <w:rsid w:val="0064685A"/>
    <w:rsid w:val="0064685F"/>
    <w:rsid w:val="00646945"/>
    <w:rsid w:val="0064697A"/>
    <w:rsid w:val="006469BC"/>
    <w:rsid w:val="006469CC"/>
    <w:rsid w:val="00646A0B"/>
    <w:rsid w:val="00646A27"/>
    <w:rsid w:val="00646B77"/>
    <w:rsid w:val="00646BB3"/>
    <w:rsid w:val="00646BBD"/>
    <w:rsid w:val="00646BFA"/>
    <w:rsid w:val="00646C2F"/>
    <w:rsid w:val="00646D62"/>
    <w:rsid w:val="00646DC6"/>
    <w:rsid w:val="00646E3A"/>
    <w:rsid w:val="00646E62"/>
    <w:rsid w:val="00646E76"/>
    <w:rsid w:val="00646ED1"/>
    <w:rsid w:val="00646EE8"/>
    <w:rsid w:val="00647006"/>
    <w:rsid w:val="006470BC"/>
    <w:rsid w:val="006472A0"/>
    <w:rsid w:val="006472AB"/>
    <w:rsid w:val="00647318"/>
    <w:rsid w:val="00647357"/>
    <w:rsid w:val="0064735B"/>
    <w:rsid w:val="00647405"/>
    <w:rsid w:val="00647416"/>
    <w:rsid w:val="00647426"/>
    <w:rsid w:val="00647491"/>
    <w:rsid w:val="00647611"/>
    <w:rsid w:val="006477AC"/>
    <w:rsid w:val="006477B5"/>
    <w:rsid w:val="006477CF"/>
    <w:rsid w:val="0064780A"/>
    <w:rsid w:val="006478A8"/>
    <w:rsid w:val="0064797E"/>
    <w:rsid w:val="00647A7E"/>
    <w:rsid w:val="00647A9D"/>
    <w:rsid w:val="00647B05"/>
    <w:rsid w:val="00647B08"/>
    <w:rsid w:val="00647B0D"/>
    <w:rsid w:val="00647B2D"/>
    <w:rsid w:val="00647B8E"/>
    <w:rsid w:val="00647BFB"/>
    <w:rsid w:val="00647E09"/>
    <w:rsid w:val="00647EDF"/>
    <w:rsid w:val="00647F54"/>
    <w:rsid w:val="00647F83"/>
    <w:rsid w:val="00650046"/>
    <w:rsid w:val="00650056"/>
    <w:rsid w:val="006500A7"/>
    <w:rsid w:val="006500F3"/>
    <w:rsid w:val="00650102"/>
    <w:rsid w:val="00650104"/>
    <w:rsid w:val="00650132"/>
    <w:rsid w:val="00650297"/>
    <w:rsid w:val="006502F4"/>
    <w:rsid w:val="006504BE"/>
    <w:rsid w:val="006504E5"/>
    <w:rsid w:val="00650513"/>
    <w:rsid w:val="0065054A"/>
    <w:rsid w:val="006505FE"/>
    <w:rsid w:val="006506E6"/>
    <w:rsid w:val="0065078F"/>
    <w:rsid w:val="0065087F"/>
    <w:rsid w:val="00650894"/>
    <w:rsid w:val="00650942"/>
    <w:rsid w:val="0065097A"/>
    <w:rsid w:val="00650986"/>
    <w:rsid w:val="00650999"/>
    <w:rsid w:val="00650B08"/>
    <w:rsid w:val="00650B44"/>
    <w:rsid w:val="00650B9B"/>
    <w:rsid w:val="00650C02"/>
    <w:rsid w:val="00650D46"/>
    <w:rsid w:val="00650D85"/>
    <w:rsid w:val="00650E3E"/>
    <w:rsid w:val="00650E51"/>
    <w:rsid w:val="00650EB0"/>
    <w:rsid w:val="00651006"/>
    <w:rsid w:val="0065103B"/>
    <w:rsid w:val="00651048"/>
    <w:rsid w:val="0065104C"/>
    <w:rsid w:val="00651052"/>
    <w:rsid w:val="00651177"/>
    <w:rsid w:val="006511F2"/>
    <w:rsid w:val="00651298"/>
    <w:rsid w:val="0065131C"/>
    <w:rsid w:val="00651343"/>
    <w:rsid w:val="0065134C"/>
    <w:rsid w:val="00651390"/>
    <w:rsid w:val="006513D2"/>
    <w:rsid w:val="006514A6"/>
    <w:rsid w:val="006514D7"/>
    <w:rsid w:val="00651512"/>
    <w:rsid w:val="00651554"/>
    <w:rsid w:val="0065155A"/>
    <w:rsid w:val="00651627"/>
    <w:rsid w:val="0065166B"/>
    <w:rsid w:val="006516B5"/>
    <w:rsid w:val="006516E0"/>
    <w:rsid w:val="0065178A"/>
    <w:rsid w:val="006518E1"/>
    <w:rsid w:val="006519C9"/>
    <w:rsid w:val="006519F4"/>
    <w:rsid w:val="00651A4B"/>
    <w:rsid w:val="00651AE2"/>
    <w:rsid w:val="00651CEB"/>
    <w:rsid w:val="00651D4A"/>
    <w:rsid w:val="00651E79"/>
    <w:rsid w:val="00651F87"/>
    <w:rsid w:val="00652065"/>
    <w:rsid w:val="00652094"/>
    <w:rsid w:val="006520C6"/>
    <w:rsid w:val="00652116"/>
    <w:rsid w:val="00652138"/>
    <w:rsid w:val="00652187"/>
    <w:rsid w:val="0065219E"/>
    <w:rsid w:val="00652223"/>
    <w:rsid w:val="006523E0"/>
    <w:rsid w:val="006524AA"/>
    <w:rsid w:val="006524B6"/>
    <w:rsid w:val="006524D2"/>
    <w:rsid w:val="006524F4"/>
    <w:rsid w:val="006525C9"/>
    <w:rsid w:val="006525FE"/>
    <w:rsid w:val="0065272D"/>
    <w:rsid w:val="006528BF"/>
    <w:rsid w:val="00652A29"/>
    <w:rsid w:val="00652A82"/>
    <w:rsid w:val="00652AC5"/>
    <w:rsid w:val="00652B9C"/>
    <w:rsid w:val="00652C0A"/>
    <w:rsid w:val="00652C4A"/>
    <w:rsid w:val="00652C4F"/>
    <w:rsid w:val="00652D84"/>
    <w:rsid w:val="00652E0C"/>
    <w:rsid w:val="00652E31"/>
    <w:rsid w:val="00652E40"/>
    <w:rsid w:val="00652EB2"/>
    <w:rsid w:val="00652F0E"/>
    <w:rsid w:val="00652F5A"/>
    <w:rsid w:val="00652F73"/>
    <w:rsid w:val="00653000"/>
    <w:rsid w:val="00653070"/>
    <w:rsid w:val="0065315D"/>
    <w:rsid w:val="0065317D"/>
    <w:rsid w:val="006532E9"/>
    <w:rsid w:val="00653380"/>
    <w:rsid w:val="006533DC"/>
    <w:rsid w:val="00653431"/>
    <w:rsid w:val="00653448"/>
    <w:rsid w:val="006534C2"/>
    <w:rsid w:val="00653516"/>
    <w:rsid w:val="006535C6"/>
    <w:rsid w:val="006536D0"/>
    <w:rsid w:val="0065382F"/>
    <w:rsid w:val="0065383A"/>
    <w:rsid w:val="006538A9"/>
    <w:rsid w:val="006538AD"/>
    <w:rsid w:val="00653955"/>
    <w:rsid w:val="00653997"/>
    <w:rsid w:val="006539C6"/>
    <w:rsid w:val="00653A52"/>
    <w:rsid w:val="00653AC0"/>
    <w:rsid w:val="00653B48"/>
    <w:rsid w:val="00653B54"/>
    <w:rsid w:val="00653BBC"/>
    <w:rsid w:val="00653BFC"/>
    <w:rsid w:val="00653C6B"/>
    <w:rsid w:val="00653C79"/>
    <w:rsid w:val="00653CA2"/>
    <w:rsid w:val="00653D20"/>
    <w:rsid w:val="00653D4B"/>
    <w:rsid w:val="00653DA0"/>
    <w:rsid w:val="00653F38"/>
    <w:rsid w:val="00653F47"/>
    <w:rsid w:val="00654096"/>
    <w:rsid w:val="0065414D"/>
    <w:rsid w:val="00654178"/>
    <w:rsid w:val="0065418A"/>
    <w:rsid w:val="006541D4"/>
    <w:rsid w:val="006541F1"/>
    <w:rsid w:val="006542B3"/>
    <w:rsid w:val="00654302"/>
    <w:rsid w:val="00654309"/>
    <w:rsid w:val="0065433C"/>
    <w:rsid w:val="00654348"/>
    <w:rsid w:val="0065434C"/>
    <w:rsid w:val="006543E5"/>
    <w:rsid w:val="0065446E"/>
    <w:rsid w:val="0065447D"/>
    <w:rsid w:val="006544C4"/>
    <w:rsid w:val="006545B1"/>
    <w:rsid w:val="006546DA"/>
    <w:rsid w:val="006548BA"/>
    <w:rsid w:val="00654913"/>
    <w:rsid w:val="006549E0"/>
    <w:rsid w:val="00654AC1"/>
    <w:rsid w:val="00654B15"/>
    <w:rsid w:val="00654B78"/>
    <w:rsid w:val="00654BAF"/>
    <w:rsid w:val="00654BF1"/>
    <w:rsid w:val="00654C18"/>
    <w:rsid w:val="00654C5E"/>
    <w:rsid w:val="00654CA4"/>
    <w:rsid w:val="00654D0A"/>
    <w:rsid w:val="00654D64"/>
    <w:rsid w:val="00654D82"/>
    <w:rsid w:val="00654DE0"/>
    <w:rsid w:val="00654E0C"/>
    <w:rsid w:val="00654E75"/>
    <w:rsid w:val="00654E9D"/>
    <w:rsid w:val="00654F85"/>
    <w:rsid w:val="00655022"/>
    <w:rsid w:val="006551AA"/>
    <w:rsid w:val="00655226"/>
    <w:rsid w:val="006552B3"/>
    <w:rsid w:val="006552EA"/>
    <w:rsid w:val="006554EB"/>
    <w:rsid w:val="00655604"/>
    <w:rsid w:val="0065563E"/>
    <w:rsid w:val="0065573A"/>
    <w:rsid w:val="00655769"/>
    <w:rsid w:val="006557D8"/>
    <w:rsid w:val="0065583A"/>
    <w:rsid w:val="00655876"/>
    <w:rsid w:val="00655901"/>
    <w:rsid w:val="0065592A"/>
    <w:rsid w:val="006559A6"/>
    <w:rsid w:val="00655A16"/>
    <w:rsid w:val="00655A4D"/>
    <w:rsid w:val="00655B9F"/>
    <w:rsid w:val="00655C42"/>
    <w:rsid w:val="00655D24"/>
    <w:rsid w:val="00655DE9"/>
    <w:rsid w:val="00655E3C"/>
    <w:rsid w:val="00655E87"/>
    <w:rsid w:val="00655E91"/>
    <w:rsid w:val="00655ECB"/>
    <w:rsid w:val="00655EE9"/>
    <w:rsid w:val="00655FB5"/>
    <w:rsid w:val="006560BF"/>
    <w:rsid w:val="0065610A"/>
    <w:rsid w:val="00656117"/>
    <w:rsid w:val="00656169"/>
    <w:rsid w:val="00656217"/>
    <w:rsid w:val="006562B2"/>
    <w:rsid w:val="00656325"/>
    <w:rsid w:val="0065636F"/>
    <w:rsid w:val="00656377"/>
    <w:rsid w:val="006563C8"/>
    <w:rsid w:val="00656448"/>
    <w:rsid w:val="006564FE"/>
    <w:rsid w:val="00656587"/>
    <w:rsid w:val="006565A5"/>
    <w:rsid w:val="006566BD"/>
    <w:rsid w:val="00656728"/>
    <w:rsid w:val="0065673C"/>
    <w:rsid w:val="006567F8"/>
    <w:rsid w:val="0065682D"/>
    <w:rsid w:val="006568BA"/>
    <w:rsid w:val="006568C7"/>
    <w:rsid w:val="00656983"/>
    <w:rsid w:val="00656A2A"/>
    <w:rsid w:val="00656A56"/>
    <w:rsid w:val="00656AAA"/>
    <w:rsid w:val="00656ADB"/>
    <w:rsid w:val="00656B5D"/>
    <w:rsid w:val="00656B62"/>
    <w:rsid w:val="00656BA1"/>
    <w:rsid w:val="00656CC9"/>
    <w:rsid w:val="00656CDE"/>
    <w:rsid w:val="00656D40"/>
    <w:rsid w:val="00656D5E"/>
    <w:rsid w:val="00656DD9"/>
    <w:rsid w:val="00656E54"/>
    <w:rsid w:val="00656ED5"/>
    <w:rsid w:val="00656FFE"/>
    <w:rsid w:val="00657093"/>
    <w:rsid w:val="006570B1"/>
    <w:rsid w:val="006570CF"/>
    <w:rsid w:val="006570E5"/>
    <w:rsid w:val="0065718D"/>
    <w:rsid w:val="006571D4"/>
    <w:rsid w:val="006571E3"/>
    <w:rsid w:val="006571F2"/>
    <w:rsid w:val="00657238"/>
    <w:rsid w:val="006573FB"/>
    <w:rsid w:val="006575F4"/>
    <w:rsid w:val="006576EA"/>
    <w:rsid w:val="006576EF"/>
    <w:rsid w:val="00657777"/>
    <w:rsid w:val="0065785B"/>
    <w:rsid w:val="0065795F"/>
    <w:rsid w:val="00657A57"/>
    <w:rsid w:val="00657B36"/>
    <w:rsid w:val="00657CE9"/>
    <w:rsid w:val="00657D10"/>
    <w:rsid w:val="00657DB1"/>
    <w:rsid w:val="00657EFE"/>
    <w:rsid w:val="00657F09"/>
    <w:rsid w:val="00657F34"/>
    <w:rsid w:val="00657F79"/>
    <w:rsid w:val="00657F7A"/>
    <w:rsid w:val="00657F8A"/>
    <w:rsid w:val="00660055"/>
    <w:rsid w:val="00660168"/>
    <w:rsid w:val="00660188"/>
    <w:rsid w:val="00660223"/>
    <w:rsid w:val="00660277"/>
    <w:rsid w:val="00660296"/>
    <w:rsid w:val="00660319"/>
    <w:rsid w:val="006604A3"/>
    <w:rsid w:val="006604C7"/>
    <w:rsid w:val="00660519"/>
    <w:rsid w:val="0066055A"/>
    <w:rsid w:val="0066063D"/>
    <w:rsid w:val="00660669"/>
    <w:rsid w:val="00660714"/>
    <w:rsid w:val="00660732"/>
    <w:rsid w:val="00660854"/>
    <w:rsid w:val="006608EF"/>
    <w:rsid w:val="00660907"/>
    <w:rsid w:val="0066097B"/>
    <w:rsid w:val="006609C0"/>
    <w:rsid w:val="006609EB"/>
    <w:rsid w:val="00660AC8"/>
    <w:rsid w:val="00660AEF"/>
    <w:rsid w:val="00660BAB"/>
    <w:rsid w:val="00660C53"/>
    <w:rsid w:val="00660C65"/>
    <w:rsid w:val="00660C6C"/>
    <w:rsid w:val="00660D80"/>
    <w:rsid w:val="00660D94"/>
    <w:rsid w:val="00660E33"/>
    <w:rsid w:val="00660EA7"/>
    <w:rsid w:val="00660F26"/>
    <w:rsid w:val="00661084"/>
    <w:rsid w:val="0066113D"/>
    <w:rsid w:val="00661246"/>
    <w:rsid w:val="00661258"/>
    <w:rsid w:val="006613B8"/>
    <w:rsid w:val="0066141B"/>
    <w:rsid w:val="0066149D"/>
    <w:rsid w:val="006615A4"/>
    <w:rsid w:val="006615AD"/>
    <w:rsid w:val="00661659"/>
    <w:rsid w:val="00661696"/>
    <w:rsid w:val="006616CD"/>
    <w:rsid w:val="006616D6"/>
    <w:rsid w:val="006616D9"/>
    <w:rsid w:val="006616E9"/>
    <w:rsid w:val="00661803"/>
    <w:rsid w:val="00661929"/>
    <w:rsid w:val="006619C0"/>
    <w:rsid w:val="00661A77"/>
    <w:rsid w:val="00661B4A"/>
    <w:rsid w:val="00661D28"/>
    <w:rsid w:val="00661DB1"/>
    <w:rsid w:val="00661DEF"/>
    <w:rsid w:val="00661E46"/>
    <w:rsid w:val="00661F9E"/>
    <w:rsid w:val="0066207E"/>
    <w:rsid w:val="006620B5"/>
    <w:rsid w:val="00662188"/>
    <w:rsid w:val="0066239E"/>
    <w:rsid w:val="00662400"/>
    <w:rsid w:val="006626A4"/>
    <w:rsid w:val="006626CC"/>
    <w:rsid w:val="00662760"/>
    <w:rsid w:val="006627B0"/>
    <w:rsid w:val="00662887"/>
    <w:rsid w:val="0066294F"/>
    <w:rsid w:val="00662989"/>
    <w:rsid w:val="00662A41"/>
    <w:rsid w:val="00662A48"/>
    <w:rsid w:val="00662AD6"/>
    <w:rsid w:val="00662B92"/>
    <w:rsid w:val="00662C25"/>
    <w:rsid w:val="00662C33"/>
    <w:rsid w:val="00662C82"/>
    <w:rsid w:val="00662CA8"/>
    <w:rsid w:val="00662DE1"/>
    <w:rsid w:val="00662E24"/>
    <w:rsid w:val="00662E2C"/>
    <w:rsid w:val="00662EE3"/>
    <w:rsid w:val="00663075"/>
    <w:rsid w:val="0066308A"/>
    <w:rsid w:val="006630FB"/>
    <w:rsid w:val="006632D6"/>
    <w:rsid w:val="006632F8"/>
    <w:rsid w:val="0066330F"/>
    <w:rsid w:val="00663367"/>
    <w:rsid w:val="006633AF"/>
    <w:rsid w:val="006633D3"/>
    <w:rsid w:val="006634A2"/>
    <w:rsid w:val="0066356C"/>
    <w:rsid w:val="006635E4"/>
    <w:rsid w:val="0066370C"/>
    <w:rsid w:val="006637F9"/>
    <w:rsid w:val="00663B76"/>
    <w:rsid w:val="00663BF7"/>
    <w:rsid w:val="00663CAC"/>
    <w:rsid w:val="00663CE1"/>
    <w:rsid w:val="00663D24"/>
    <w:rsid w:val="00663D95"/>
    <w:rsid w:val="00663EC0"/>
    <w:rsid w:val="00663F1F"/>
    <w:rsid w:val="00663F75"/>
    <w:rsid w:val="00663F7E"/>
    <w:rsid w:val="00663FE2"/>
    <w:rsid w:val="00664057"/>
    <w:rsid w:val="0066405D"/>
    <w:rsid w:val="00664105"/>
    <w:rsid w:val="006642DE"/>
    <w:rsid w:val="00664359"/>
    <w:rsid w:val="006643C5"/>
    <w:rsid w:val="006643E3"/>
    <w:rsid w:val="0066441D"/>
    <w:rsid w:val="006644DE"/>
    <w:rsid w:val="006645A5"/>
    <w:rsid w:val="0066460C"/>
    <w:rsid w:val="00664643"/>
    <w:rsid w:val="006646E3"/>
    <w:rsid w:val="006646F1"/>
    <w:rsid w:val="00664917"/>
    <w:rsid w:val="00664986"/>
    <w:rsid w:val="00664A2B"/>
    <w:rsid w:val="00664A57"/>
    <w:rsid w:val="00664C0F"/>
    <w:rsid w:val="00664C5D"/>
    <w:rsid w:val="00664CC6"/>
    <w:rsid w:val="00664CD9"/>
    <w:rsid w:val="00664D4F"/>
    <w:rsid w:val="00664D8E"/>
    <w:rsid w:val="00664E4E"/>
    <w:rsid w:val="00664EBE"/>
    <w:rsid w:val="00664F93"/>
    <w:rsid w:val="00664F96"/>
    <w:rsid w:val="0066500B"/>
    <w:rsid w:val="0066501C"/>
    <w:rsid w:val="0066503A"/>
    <w:rsid w:val="0066509D"/>
    <w:rsid w:val="0066517E"/>
    <w:rsid w:val="0066518B"/>
    <w:rsid w:val="00665242"/>
    <w:rsid w:val="0066526F"/>
    <w:rsid w:val="0066527C"/>
    <w:rsid w:val="0066529F"/>
    <w:rsid w:val="006652A2"/>
    <w:rsid w:val="00665312"/>
    <w:rsid w:val="00665327"/>
    <w:rsid w:val="0066547B"/>
    <w:rsid w:val="00665628"/>
    <w:rsid w:val="00665666"/>
    <w:rsid w:val="006656BA"/>
    <w:rsid w:val="006657BB"/>
    <w:rsid w:val="006657FF"/>
    <w:rsid w:val="00665868"/>
    <w:rsid w:val="006659F2"/>
    <w:rsid w:val="00665ABE"/>
    <w:rsid w:val="00665B2A"/>
    <w:rsid w:val="00665B7B"/>
    <w:rsid w:val="00665C13"/>
    <w:rsid w:val="00665CE6"/>
    <w:rsid w:val="00665CEF"/>
    <w:rsid w:val="00665D5D"/>
    <w:rsid w:val="00665E1E"/>
    <w:rsid w:val="00665F08"/>
    <w:rsid w:val="00665F1F"/>
    <w:rsid w:val="00665F2A"/>
    <w:rsid w:val="00665FB0"/>
    <w:rsid w:val="006662A7"/>
    <w:rsid w:val="006662B2"/>
    <w:rsid w:val="006662CA"/>
    <w:rsid w:val="00666340"/>
    <w:rsid w:val="0066636E"/>
    <w:rsid w:val="0066639B"/>
    <w:rsid w:val="006663CC"/>
    <w:rsid w:val="00666526"/>
    <w:rsid w:val="00666528"/>
    <w:rsid w:val="0066655B"/>
    <w:rsid w:val="00666590"/>
    <w:rsid w:val="00666615"/>
    <w:rsid w:val="00666636"/>
    <w:rsid w:val="0066666F"/>
    <w:rsid w:val="0066675A"/>
    <w:rsid w:val="00666787"/>
    <w:rsid w:val="0066691A"/>
    <w:rsid w:val="006669F0"/>
    <w:rsid w:val="00666A4F"/>
    <w:rsid w:val="00666A62"/>
    <w:rsid w:val="00666AAB"/>
    <w:rsid w:val="00666B24"/>
    <w:rsid w:val="00666B9D"/>
    <w:rsid w:val="00666BE7"/>
    <w:rsid w:val="00666BFD"/>
    <w:rsid w:val="00666C1E"/>
    <w:rsid w:val="00666C88"/>
    <w:rsid w:val="00666C9C"/>
    <w:rsid w:val="00666CF7"/>
    <w:rsid w:val="00666CFB"/>
    <w:rsid w:val="00666D45"/>
    <w:rsid w:val="00666D54"/>
    <w:rsid w:val="00666D5E"/>
    <w:rsid w:val="00666ED2"/>
    <w:rsid w:val="00666EEB"/>
    <w:rsid w:val="00666F0E"/>
    <w:rsid w:val="00666F8F"/>
    <w:rsid w:val="00666F95"/>
    <w:rsid w:val="00666FBB"/>
    <w:rsid w:val="0066704F"/>
    <w:rsid w:val="0066708C"/>
    <w:rsid w:val="006670AF"/>
    <w:rsid w:val="0066720A"/>
    <w:rsid w:val="006673BD"/>
    <w:rsid w:val="006673CB"/>
    <w:rsid w:val="00667557"/>
    <w:rsid w:val="0066755E"/>
    <w:rsid w:val="00667583"/>
    <w:rsid w:val="006675B5"/>
    <w:rsid w:val="00667847"/>
    <w:rsid w:val="00667853"/>
    <w:rsid w:val="0066788D"/>
    <w:rsid w:val="006679BA"/>
    <w:rsid w:val="006679CC"/>
    <w:rsid w:val="00667A54"/>
    <w:rsid w:val="00667A86"/>
    <w:rsid w:val="00667B35"/>
    <w:rsid w:val="00667B3C"/>
    <w:rsid w:val="00667C67"/>
    <w:rsid w:val="00667C7D"/>
    <w:rsid w:val="00667D0C"/>
    <w:rsid w:val="00667D28"/>
    <w:rsid w:val="00667D60"/>
    <w:rsid w:val="00667D9C"/>
    <w:rsid w:val="00667E3A"/>
    <w:rsid w:val="00667EE1"/>
    <w:rsid w:val="00667EF0"/>
    <w:rsid w:val="00667F20"/>
    <w:rsid w:val="00667F6A"/>
    <w:rsid w:val="00667FDF"/>
    <w:rsid w:val="00667FF2"/>
    <w:rsid w:val="0067006F"/>
    <w:rsid w:val="006700D2"/>
    <w:rsid w:val="00670160"/>
    <w:rsid w:val="00670184"/>
    <w:rsid w:val="006701A5"/>
    <w:rsid w:val="0067021D"/>
    <w:rsid w:val="006702DE"/>
    <w:rsid w:val="006702DF"/>
    <w:rsid w:val="00670450"/>
    <w:rsid w:val="00670529"/>
    <w:rsid w:val="00670630"/>
    <w:rsid w:val="0067069E"/>
    <w:rsid w:val="0067077C"/>
    <w:rsid w:val="0067081D"/>
    <w:rsid w:val="0067087B"/>
    <w:rsid w:val="006708DC"/>
    <w:rsid w:val="006708EB"/>
    <w:rsid w:val="00670909"/>
    <w:rsid w:val="0067090A"/>
    <w:rsid w:val="0067093A"/>
    <w:rsid w:val="00670AE1"/>
    <w:rsid w:val="00670B1E"/>
    <w:rsid w:val="00670B5B"/>
    <w:rsid w:val="00670BC6"/>
    <w:rsid w:val="00670C3B"/>
    <w:rsid w:val="00670C51"/>
    <w:rsid w:val="00670C69"/>
    <w:rsid w:val="00670CB8"/>
    <w:rsid w:val="00670CE9"/>
    <w:rsid w:val="00670D7B"/>
    <w:rsid w:val="00670E3B"/>
    <w:rsid w:val="00670E45"/>
    <w:rsid w:val="00670E79"/>
    <w:rsid w:val="00670ED5"/>
    <w:rsid w:val="00671095"/>
    <w:rsid w:val="00671220"/>
    <w:rsid w:val="00671269"/>
    <w:rsid w:val="0067127E"/>
    <w:rsid w:val="006712B9"/>
    <w:rsid w:val="006713F9"/>
    <w:rsid w:val="00671413"/>
    <w:rsid w:val="0067153D"/>
    <w:rsid w:val="0067159A"/>
    <w:rsid w:val="006715A4"/>
    <w:rsid w:val="006715DA"/>
    <w:rsid w:val="00671607"/>
    <w:rsid w:val="00671686"/>
    <w:rsid w:val="00671708"/>
    <w:rsid w:val="0067170A"/>
    <w:rsid w:val="00671718"/>
    <w:rsid w:val="00671738"/>
    <w:rsid w:val="00671771"/>
    <w:rsid w:val="006717C9"/>
    <w:rsid w:val="0067181A"/>
    <w:rsid w:val="00671880"/>
    <w:rsid w:val="006718A8"/>
    <w:rsid w:val="006718D1"/>
    <w:rsid w:val="00671A11"/>
    <w:rsid w:val="00671A5B"/>
    <w:rsid w:val="00671A74"/>
    <w:rsid w:val="00671AA4"/>
    <w:rsid w:val="00671B38"/>
    <w:rsid w:val="00671C18"/>
    <w:rsid w:val="00671C54"/>
    <w:rsid w:val="00671C72"/>
    <w:rsid w:val="00671DC3"/>
    <w:rsid w:val="00671ECD"/>
    <w:rsid w:val="00671ED2"/>
    <w:rsid w:val="00671F15"/>
    <w:rsid w:val="006720CE"/>
    <w:rsid w:val="006721E4"/>
    <w:rsid w:val="00672249"/>
    <w:rsid w:val="00672367"/>
    <w:rsid w:val="0067244A"/>
    <w:rsid w:val="006724B1"/>
    <w:rsid w:val="00672523"/>
    <w:rsid w:val="006725E4"/>
    <w:rsid w:val="00672667"/>
    <w:rsid w:val="0067276F"/>
    <w:rsid w:val="006727FC"/>
    <w:rsid w:val="00672886"/>
    <w:rsid w:val="0067298C"/>
    <w:rsid w:val="006729C5"/>
    <w:rsid w:val="006729DD"/>
    <w:rsid w:val="00672ABB"/>
    <w:rsid w:val="00672B5D"/>
    <w:rsid w:val="00672B7C"/>
    <w:rsid w:val="00672BF8"/>
    <w:rsid w:val="00672CA0"/>
    <w:rsid w:val="00672CBB"/>
    <w:rsid w:val="00672D5E"/>
    <w:rsid w:val="00672E50"/>
    <w:rsid w:val="00672E9E"/>
    <w:rsid w:val="00672F19"/>
    <w:rsid w:val="00672FA7"/>
    <w:rsid w:val="0067312A"/>
    <w:rsid w:val="00673209"/>
    <w:rsid w:val="0067321F"/>
    <w:rsid w:val="00673256"/>
    <w:rsid w:val="00673269"/>
    <w:rsid w:val="006732A8"/>
    <w:rsid w:val="00673351"/>
    <w:rsid w:val="00673430"/>
    <w:rsid w:val="00673487"/>
    <w:rsid w:val="006734E6"/>
    <w:rsid w:val="006735D2"/>
    <w:rsid w:val="006739B1"/>
    <w:rsid w:val="00673A03"/>
    <w:rsid w:val="00673A41"/>
    <w:rsid w:val="00673AE2"/>
    <w:rsid w:val="00673AFF"/>
    <w:rsid w:val="00673B75"/>
    <w:rsid w:val="00673C23"/>
    <w:rsid w:val="00673C43"/>
    <w:rsid w:val="00673C63"/>
    <w:rsid w:val="00673CA2"/>
    <w:rsid w:val="00673CD3"/>
    <w:rsid w:val="00673D7F"/>
    <w:rsid w:val="00673E3E"/>
    <w:rsid w:val="00673E48"/>
    <w:rsid w:val="00673EF0"/>
    <w:rsid w:val="00673F27"/>
    <w:rsid w:val="00673FA1"/>
    <w:rsid w:val="00674048"/>
    <w:rsid w:val="006740EA"/>
    <w:rsid w:val="00674105"/>
    <w:rsid w:val="006742A7"/>
    <w:rsid w:val="0067432F"/>
    <w:rsid w:val="0067440A"/>
    <w:rsid w:val="00674437"/>
    <w:rsid w:val="0067458D"/>
    <w:rsid w:val="006745A4"/>
    <w:rsid w:val="006745A5"/>
    <w:rsid w:val="0067461F"/>
    <w:rsid w:val="006746CF"/>
    <w:rsid w:val="00674718"/>
    <w:rsid w:val="0067482F"/>
    <w:rsid w:val="006748CB"/>
    <w:rsid w:val="0067492C"/>
    <w:rsid w:val="006749A2"/>
    <w:rsid w:val="006749DA"/>
    <w:rsid w:val="00674A9E"/>
    <w:rsid w:val="00674B98"/>
    <w:rsid w:val="00674CAE"/>
    <w:rsid w:val="00674CE3"/>
    <w:rsid w:val="00674D0A"/>
    <w:rsid w:val="00674E35"/>
    <w:rsid w:val="00674EB0"/>
    <w:rsid w:val="00674EC7"/>
    <w:rsid w:val="00674FC1"/>
    <w:rsid w:val="0067502D"/>
    <w:rsid w:val="006751A8"/>
    <w:rsid w:val="006751F9"/>
    <w:rsid w:val="00675347"/>
    <w:rsid w:val="006753C1"/>
    <w:rsid w:val="006753E3"/>
    <w:rsid w:val="0067544F"/>
    <w:rsid w:val="00675453"/>
    <w:rsid w:val="006755FB"/>
    <w:rsid w:val="00675660"/>
    <w:rsid w:val="00675705"/>
    <w:rsid w:val="0067571D"/>
    <w:rsid w:val="00675772"/>
    <w:rsid w:val="0067578A"/>
    <w:rsid w:val="0067578F"/>
    <w:rsid w:val="006757A4"/>
    <w:rsid w:val="006757A5"/>
    <w:rsid w:val="006757BA"/>
    <w:rsid w:val="00675862"/>
    <w:rsid w:val="00675901"/>
    <w:rsid w:val="00675917"/>
    <w:rsid w:val="0067592C"/>
    <w:rsid w:val="006759C7"/>
    <w:rsid w:val="006759E4"/>
    <w:rsid w:val="006759E8"/>
    <w:rsid w:val="00675A33"/>
    <w:rsid w:val="00675A55"/>
    <w:rsid w:val="00675A7C"/>
    <w:rsid w:val="00675A82"/>
    <w:rsid w:val="00675A9E"/>
    <w:rsid w:val="00675ACF"/>
    <w:rsid w:val="00675B15"/>
    <w:rsid w:val="00675C45"/>
    <w:rsid w:val="00675D6A"/>
    <w:rsid w:val="00675D89"/>
    <w:rsid w:val="00675EAE"/>
    <w:rsid w:val="00675F2E"/>
    <w:rsid w:val="00675FF4"/>
    <w:rsid w:val="00676057"/>
    <w:rsid w:val="0067608D"/>
    <w:rsid w:val="0067622C"/>
    <w:rsid w:val="0067625F"/>
    <w:rsid w:val="00676288"/>
    <w:rsid w:val="00676380"/>
    <w:rsid w:val="006764DD"/>
    <w:rsid w:val="00676568"/>
    <w:rsid w:val="0067656B"/>
    <w:rsid w:val="00676593"/>
    <w:rsid w:val="00676638"/>
    <w:rsid w:val="00676675"/>
    <w:rsid w:val="006766D0"/>
    <w:rsid w:val="00676839"/>
    <w:rsid w:val="00676A72"/>
    <w:rsid w:val="00676AC6"/>
    <w:rsid w:val="00676ADC"/>
    <w:rsid w:val="00676B5C"/>
    <w:rsid w:val="00676BAD"/>
    <w:rsid w:val="00676C36"/>
    <w:rsid w:val="00676C4A"/>
    <w:rsid w:val="00676C7F"/>
    <w:rsid w:val="00676DFD"/>
    <w:rsid w:val="00676E33"/>
    <w:rsid w:val="00676E80"/>
    <w:rsid w:val="00676EDC"/>
    <w:rsid w:val="00676FF8"/>
    <w:rsid w:val="00677091"/>
    <w:rsid w:val="00677181"/>
    <w:rsid w:val="006771F3"/>
    <w:rsid w:val="006771F5"/>
    <w:rsid w:val="00677274"/>
    <w:rsid w:val="00677364"/>
    <w:rsid w:val="0067738D"/>
    <w:rsid w:val="0067741E"/>
    <w:rsid w:val="00677511"/>
    <w:rsid w:val="00677513"/>
    <w:rsid w:val="00677522"/>
    <w:rsid w:val="006775A0"/>
    <w:rsid w:val="006775F2"/>
    <w:rsid w:val="0067761E"/>
    <w:rsid w:val="00677651"/>
    <w:rsid w:val="00677751"/>
    <w:rsid w:val="0067775F"/>
    <w:rsid w:val="006778FD"/>
    <w:rsid w:val="00677973"/>
    <w:rsid w:val="00677A61"/>
    <w:rsid w:val="00677B5B"/>
    <w:rsid w:val="00677BDC"/>
    <w:rsid w:val="00677C3C"/>
    <w:rsid w:val="00677C53"/>
    <w:rsid w:val="00677CDF"/>
    <w:rsid w:val="00677D19"/>
    <w:rsid w:val="00677D27"/>
    <w:rsid w:val="00677D9B"/>
    <w:rsid w:val="00677EAC"/>
    <w:rsid w:val="00677F66"/>
    <w:rsid w:val="00677FAE"/>
    <w:rsid w:val="00680057"/>
    <w:rsid w:val="0068024B"/>
    <w:rsid w:val="0068024C"/>
    <w:rsid w:val="006802EB"/>
    <w:rsid w:val="0068030D"/>
    <w:rsid w:val="00680346"/>
    <w:rsid w:val="0068042F"/>
    <w:rsid w:val="006804CB"/>
    <w:rsid w:val="00680530"/>
    <w:rsid w:val="0068056A"/>
    <w:rsid w:val="006805A3"/>
    <w:rsid w:val="006806F1"/>
    <w:rsid w:val="006806F9"/>
    <w:rsid w:val="00680779"/>
    <w:rsid w:val="006807D0"/>
    <w:rsid w:val="0068089E"/>
    <w:rsid w:val="00680A43"/>
    <w:rsid w:val="00680AD0"/>
    <w:rsid w:val="00680C54"/>
    <w:rsid w:val="00680C55"/>
    <w:rsid w:val="00680D28"/>
    <w:rsid w:val="00680EC4"/>
    <w:rsid w:val="00680F4E"/>
    <w:rsid w:val="00680F4F"/>
    <w:rsid w:val="00680FAF"/>
    <w:rsid w:val="0068104E"/>
    <w:rsid w:val="006810EA"/>
    <w:rsid w:val="0068118C"/>
    <w:rsid w:val="006811EC"/>
    <w:rsid w:val="00681214"/>
    <w:rsid w:val="00681235"/>
    <w:rsid w:val="0068126E"/>
    <w:rsid w:val="0068127B"/>
    <w:rsid w:val="0068134F"/>
    <w:rsid w:val="0068135D"/>
    <w:rsid w:val="0068140E"/>
    <w:rsid w:val="006815B1"/>
    <w:rsid w:val="006815C4"/>
    <w:rsid w:val="0068164B"/>
    <w:rsid w:val="00681696"/>
    <w:rsid w:val="00681935"/>
    <w:rsid w:val="006819C0"/>
    <w:rsid w:val="00681A53"/>
    <w:rsid w:val="00681A5F"/>
    <w:rsid w:val="00681A97"/>
    <w:rsid w:val="00681B19"/>
    <w:rsid w:val="00681C35"/>
    <w:rsid w:val="00681C4A"/>
    <w:rsid w:val="00681D66"/>
    <w:rsid w:val="00681DED"/>
    <w:rsid w:val="00681E23"/>
    <w:rsid w:val="00681EBB"/>
    <w:rsid w:val="00681EEA"/>
    <w:rsid w:val="00681F74"/>
    <w:rsid w:val="00681F96"/>
    <w:rsid w:val="00682018"/>
    <w:rsid w:val="00682112"/>
    <w:rsid w:val="006821FD"/>
    <w:rsid w:val="00682249"/>
    <w:rsid w:val="0068225B"/>
    <w:rsid w:val="006823BB"/>
    <w:rsid w:val="006823DC"/>
    <w:rsid w:val="00682456"/>
    <w:rsid w:val="0068246A"/>
    <w:rsid w:val="006824FF"/>
    <w:rsid w:val="00682548"/>
    <w:rsid w:val="00682619"/>
    <w:rsid w:val="0068277A"/>
    <w:rsid w:val="006827AC"/>
    <w:rsid w:val="006827B8"/>
    <w:rsid w:val="00682846"/>
    <w:rsid w:val="0068288F"/>
    <w:rsid w:val="0068289A"/>
    <w:rsid w:val="00682B62"/>
    <w:rsid w:val="00682B99"/>
    <w:rsid w:val="00682BAE"/>
    <w:rsid w:val="00682BBD"/>
    <w:rsid w:val="00682BDD"/>
    <w:rsid w:val="00682C0F"/>
    <w:rsid w:val="00682D06"/>
    <w:rsid w:val="00682D8C"/>
    <w:rsid w:val="00682E7E"/>
    <w:rsid w:val="00682E84"/>
    <w:rsid w:val="00682EAE"/>
    <w:rsid w:val="00682EB9"/>
    <w:rsid w:val="006830A7"/>
    <w:rsid w:val="0068310C"/>
    <w:rsid w:val="00683189"/>
    <w:rsid w:val="00683246"/>
    <w:rsid w:val="006832CB"/>
    <w:rsid w:val="00683301"/>
    <w:rsid w:val="0068331C"/>
    <w:rsid w:val="00683327"/>
    <w:rsid w:val="0068336F"/>
    <w:rsid w:val="0068337F"/>
    <w:rsid w:val="00683492"/>
    <w:rsid w:val="00683517"/>
    <w:rsid w:val="0068358B"/>
    <w:rsid w:val="0068362E"/>
    <w:rsid w:val="00683669"/>
    <w:rsid w:val="00683672"/>
    <w:rsid w:val="00683694"/>
    <w:rsid w:val="006836E6"/>
    <w:rsid w:val="00683788"/>
    <w:rsid w:val="006837E9"/>
    <w:rsid w:val="006837FC"/>
    <w:rsid w:val="00683834"/>
    <w:rsid w:val="00683868"/>
    <w:rsid w:val="006838E4"/>
    <w:rsid w:val="00683970"/>
    <w:rsid w:val="006839B1"/>
    <w:rsid w:val="006839D4"/>
    <w:rsid w:val="00683A53"/>
    <w:rsid w:val="00683A5E"/>
    <w:rsid w:val="00683B9E"/>
    <w:rsid w:val="00683C0E"/>
    <w:rsid w:val="00683C37"/>
    <w:rsid w:val="00683C50"/>
    <w:rsid w:val="00683DF5"/>
    <w:rsid w:val="00683E69"/>
    <w:rsid w:val="00683FE1"/>
    <w:rsid w:val="00684102"/>
    <w:rsid w:val="0068411B"/>
    <w:rsid w:val="0068416B"/>
    <w:rsid w:val="0068417B"/>
    <w:rsid w:val="00684306"/>
    <w:rsid w:val="00684316"/>
    <w:rsid w:val="006843B9"/>
    <w:rsid w:val="0068440C"/>
    <w:rsid w:val="006845F2"/>
    <w:rsid w:val="006847EC"/>
    <w:rsid w:val="0068481F"/>
    <w:rsid w:val="00684916"/>
    <w:rsid w:val="006849B3"/>
    <w:rsid w:val="006849FB"/>
    <w:rsid w:val="00684A0D"/>
    <w:rsid w:val="00684B02"/>
    <w:rsid w:val="00684BC7"/>
    <w:rsid w:val="00684D4B"/>
    <w:rsid w:val="00684DDD"/>
    <w:rsid w:val="00684ECC"/>
    <w:rsid w:val="00684ED0"/>
    <w:rsid w:val="00684F17"/>
    <w:rsid w:val="00684F3D"/>
    <w:rsid w:val="00684F95"/>
    <w:rsid w:val="00684FD5"/>
    <w:rsid w:val="00685078"/>
    <w:rsid w:val="006850D5"/>
    <w:rsid w:val="00685110"/>
    <w:rsid w:val="0068511B"/>
    <w:rsid w:val="00685196"/>
    <w:rsid w:val="00685358"/>
    <w:rsid w:val="0068547F"/>
    <w:rsid w:val="006854C9"/>
    <w:rsid w:val="006854CA"/>
    <w:rsid w:val="006854CB"/>
    <w:rsid w:val="006855A2"/>
    <w:rsid w:val="006855CC"/>
    <w:rsid w:val="006855EE"/>
    <w:rsid w:val="00685635"/>
    <w:rsid w:val="006856E3"/>
    <w:rsid w:val="006857F3"/>
    <w:rsid w:val="0068594E"/>
    <w:rsid w:val="0068596D"/>
    <w:rsid w:val="00685983"/>
    <w:rsid w:val="006859B0"/>
    <w:rsid w:val="00685B45"/>
    <w:rsid w:val="00685C0A"/>
    <w:rsid w:val="00685CF7"/>
    <w:rsid w:val="00685D6E"/>
    <w:rsid w:val="00685D98"/>
    <w:rsid w:val="00685DD9"/>
    <w:rsid w:val="00685E8E"/>
    <w:rsid w:val="0068600E"/>
    <w:rsid w:val="00686033"/>
    <w:rsid w:val="00686071"/>
    <w:rsid w:val="006860D5"/>
    <w:rsid w:val="00686106"/>
    <w:rsid w:val="00686165"/>
    <w:rsid w:val="0068618F"/>
    <w:rsid w:val="0068620B"/>
    <w:rsid w:val="00686237"/>
    <w:rsid w:val="00686326"/>
    <w:rsid w:val="006863E0"/>
    <w:rsid w:val="00686445"/>
    <w:rsid w:val="006864AA"/>
    <w:rsid w:val="006864E3"/>
    <w:rsid w:val="00686555"/>
    <w:rsid w:val="00686588"/>
    <w:rsid w:val="00686631"/>
    <w:rsid w:val="00686644"/>
    <w:rsid w:val="0068675C"/>
    <w:rsid w:val="00686770"/>
    <w:rsid w:val="0068677B"/>
    <w:rsid w:val="00686862"/>
    <w:rsid w:val="006869B4"/>
    <w:rsid w:val="00686A5C"/>
    <w:rsid w:val="00686C8B"/>
    <w:rsid w:val="00686CD8"/>
    <w:rsid w:val="00686CEA"/>
    <w:rsid w:val="00686D33"/>
    <w:rsid w:val="00686DFE"/>
    <w:rsid w:val="00686ED1"/>
    <w:rsid w:val="00686FD6"/>
    <w:rsid w:val="00686FEF"/>
    <w:rsid w:val="0068703C"/>
    <w:rsid w:val="00687051"/>
    <w:rsid w:val="006872DF"/>
    <w:rsid w:val="006873C7"/>
    <w:rsid w:val="006874D1"/>
    <w:rsid w:val="006874DC"/>
    <w:rsid w:val="006874E1"/>
    <w:rsid w:val="0068754B"/>
    <w:rsid w:val="006875E3"/>
    <w:rsid w:val="00687621"/>
    <w:rsid w:val="00687684"/>
    <w:rsid w:val="00687695"/>
    <w:rsid w:val="006876B1"/>
    <w:rsid w:val="006877DC"/>
    <w:rsid w:val="006879CA"/>
    <w:rsid w:val="00687A79"/>
    <w:rsid w:val="00687AB9"/>
    <w:rsid w:val="00687B21"/>
    <w:rsid w:val="00687B48"/>
    <w:rsid w:val="00687B99"/>
    <w:rsid w:val="00687CAC"/>
    <w:rsid w:val="00687D5D"/>
    <w:rsid w:val="00687D8E"/>
    <w:rsid w:val="00687D92"/>
    <w:rsid w:val="00687EE8"/>
    <w:rsid w:val="00687FBC"/>
    <w:rsid w:val="00690005"/>
    <w:rsid w:val="006901B8"/>
    <w:rsid w:val="006901BE"/>
    <w:rsid w:val="0069026D"/>
    <w:rsid w:val="006902F3"/>
    <w:rsid w:val="00690332"/>
    <w:rsid w:val="006904D0"/>
    <w:rsid w:val="00690515"/>
    <w:rsid w:val="00690560"/>
    <w:rsid w:val="0069057D"/>
    <w:rsid w:val="0069061E"/>
    <w:rsid w:val="0069061F"/>
    <w:rsid w:val="00690692"/>
    <w:rsid w:val="0069069D"/>
    <w:rsid w:val="00690768"/>
    <w:rsid w:val="006907FA"/>
    <w:rsid w:val="006908D6"/>
    <w:rsid w:val="00690903"/>
    <w:rsid w:val="00690907"/>
    <w:rsid w:val="00690940"/>
    <w:rsid w:val="00690A42"/>
    <w:rsid w:val="00690ADF"/>
    <w:rsid w:val="00690B85"/>
    <w:rsid w:val="00690C83"/>
    <w:rsid w:val="00690CFA"/>
    <w:rsid w:val="00690D0C"/>
    <w:rsid w:val="00690D46"/>
    <w:rsid w:val="00690DC3"/>
    <w:rsid w:val="00690DFF"/>
    <w:rsid w:val="00690E3D"/>
    <w:rsid w:val="00690E63"/>
    <w:rsid w:val="00690FC1"/>
    <w:rsid w:val="0069101B"/>
    <w:rsid w:val="006910A6"/>
    <w:rsid w:val="00691146"/>
    <w:rsid w:val="0069114D"/>
    <w:rsid w:val="0069118C"/>
    <w:rsid w:val="006911DA"/>
    <w:rsid w:val="00691259"/>
    <w:rsid w:val="00691273"/>
    <w:rsid w:val="00691274"/>
    <w:rsid w:val="006912CC"/>
    <w:rsid w:val="0069135B"/>
    <w:rsid w:val="006913A5"/>
    <w:rsid w:val="006913EC"/>
    <w:rsid w:val="0069141B"/>
    <w:rsid w:val="0069142D"/>
    <w:rsid w:val="0069144E"/>
    <w:rsid w:val="0069147A"/>
    <w:rsid w:val="0069149A"/>
    <w:rsid w:val="0069151D"/>
    <w:rsid w:val="0069157F"/>
    <w:rsid w:val="00691727"/>
    <w:rsid w:val="00691733"/>
    <w:rsid w:val="0069176F"/>
    <w:rsid w:val="006917D0"/>
    <w:rsid w:val="00691898"/>
    <w:rsid w:val="00691B2B"/>
    <w:rsid w:val="00691CB5"/>
    <w:rsid w:val="00691CBD"/>
    <w:rsid w:val="00691D56"/>
    <w:rsid w:val="00691E2E"/>
    <w:rsid w:val="00691F4D"/>
    <w:rsid w:val="00691F87"/>
    <w:rsid w:val="006920EE"/>
    <w:rsid w:val="006920F6"/>
    <w:rsid w:val="0069216A"/>
    <w:rsid w:val="00692256"/>
    <w:rsid w:val="006922A7"/>
    <w:rsid w:val="00692354"/>
    <w:rsid w:val="006923D2"/>
    <w:rsid w:val="006923DF"/>
    <w:rsid w:val="0069246B"/>
    <w:rsid w:val="0069246C"/>
    <w:rsid w:val="0069250D"/>
    <w:rsid w:val="00692571"/>
    <w:rsid w:val="006925F1"/>
    <w:rsid w:val="00692657"/>
    <w:rsid w:val="006926E6"/>
    <w:rsid w:val="006927BC"/>
    <w:rsid w:val="00692963"/>
    <w:rsid w:val="0069299F"/>
    <w:rsid w:val="00692B63"/>
    <w:rsid w:val="00692B74"/>
    <w:rsid w:val="00692BEB"/>
    <w:rsid w:val="00692CDE"/>
    <w:rsid w:val="00692D1F"/>
    <w:rsid w:val="00692DCF"/>
    <w:rsid w:val="00692DD0"/>
    <w:rsid w:val="00692DD4"/>
    <w:rsid w:val="00692DEF"/>
    <w:rsid w:val="00692E1A"/>
    <w:rsid w:val="00692E7F"/>
    <w:rsid w:val="00692F02"/>
    <w:rsid w:val="00692F63"/>
    <w:rsid w:val="006930D0"/>
    <w:rsid w:val="006931CE"/>
    <w:rsid w:val="00693233"/>
    <w:rsid w:val="006932DA"/>
    <w:rsid w:val="006933EB"/>
    <w:rsid w:val="00693421"/>
    <w:rsid w:val="00693484"/>
    <w:rsid w:val="0069353D"/>
    <w:rsid w:val="006935B7"/>
    <w:rsid w:val="006935D8"/>
    <w:rsid w:val="006936DE"/>
    <w:rsid w:val="006936FE"/>
    <w:rsid w:val="00693902"/>
    <w:rsid w:val="00693926"/>
    <w:rsid w:val="0069397B"/>
    <w:rsid w:val="006939B5"/>
    <w:rsid w:val="006939D0"/>
    <w:rsid w:val="006939D8"/>
    <w:rsid w:val="00693A49"/>
    <w:rsid w:val="00693BB3"/>
    <w:rsid w:val="00693BCF"/>
    <w:rsid w:val="00693BE9"/>
    <w:rsid w:val="00693BF3"/>
    <w:rsid w:val="00693C5C"/>
    <w:rsid w:val="00693D3C"/>
    <w:rsid w:val="00693D40"/>
    <w:rsid w:val="00693D4A"/>
    <w:rsid w:val="00693E46"/>
    <w:rsid w:val="00693E5A"/>
    <w:rsid w:val="00693F51"/>
    <w:rsid w:val="00693F6B"/>
    <w:rsid w:val="0069401D"/>
    <w:rsid w:val="00694115"/>
    <w:rsid w:val="00694162"/>
    <w:rsid w:val="006941F7"/>
    <w:rsid w:val="00694308"/>
    <w:rsid w:val="0069432F"/>
    <w:rsid w:val="006943A7"/>
    <w:rsid w:val="006943DC"/>
    <w:rsid w:val="00694428"/>
    <w:rsid w:val="00694463"/>
    <w:rsid w:val="006944BE"/>
    <w:rsid w:val="006944C8"/>
    <w:rsid w:val="00694553"/>
    <w:rsid w:val="00694726"/>
    <w:rsid w:val="006947D0"/>
    <w:rsid w:val="00694864"/>
    <w:rsid w:val="00694889"/>
    <w:rsid w:val="00694949"/>
    <w:rsid w:val="00694971"/>
    <w:rsid w:val="006949E0"/>
    <w:rsid w:val="00694A39"/>
    <w:rsid w:val="00694A88"/>
    <w:rsid w:val="00694BC7"/>
    <w:rsid w:val="00694C0B"/>
    <w:rsid w:val="00694C22"/>
    <w:rsid w:val="00694F8A"/>
    <w:rsid w:val="00694FDE"/>
    <w:rsid w:val="0069504D"/>
    <w:rsid w:val="00695246"/>
    <w:rsid w:val="0069525C"/>
    <w:rsid w:val="006952E1"/>
    <w:rsid w:val="0069536D"/>
    <w:rsid w:val="00695568"/>
    <w:rsid w:val="006955BE"/>
    <w:rsid w:val="006955F4"/>
    <w:rsid w:val="00695635"/>
    <w:rsid w:val="006957E0"/>
    <w:rsid w:val="00695871"/>
    <w:rsid w:val="006958EC"/>
    <w:rsid w:val="00695939"/>
    <w:rsid w:val="00695995"/>
    <w:rsid w:val="006959EB"/>
    <w:rsid w:val="00695A30"/>
    <w:rsid w:val="00695A35"/>
    <w:rsid w:val="00695A4C"/>
    <w:rsid w:val="00695C50"/>
    <w:rsid w:val="00695C9F"/>
    <w:rsid w:val="00695CBA"/>
    <w:rsid w:val="00695E12"/>
    <w:rsid w:val="00695F02"/>
    <w:rsid w:val="00695F25"/>
    <w:rsid w:val="00695F63"/>
    <w:rsid w:val="00695F74"/>
    <w:rsid w:val="00695F9A"/>
    <w:rsid w:val="00695FA8"/>
    <w:rsid w:val="00695FDC"/>
    <w:rsid w:val="00696091"/>
    <w:rsid w:val="006961D6"/>
    <w:rsid w:val="006962DC"/>
    <w:rsid w:val="00696314"/>
    <w:rsid w:val="0069637B"/>
    <w:rsid w:val="00696489"/>
    <w:rsid w:val="0069649A"/>
    <w:rsid w:val="006964B3"/>
    <w:rsid w:val="00696505"/>
    <w:rsid w:val="00696547"/>
    <w:rsid w:val="0069656D"/>
    <w:rsid w:val="006965FE"/>
    <w:rsid w:val="0069670E"/>
    <w:rsid w:val="00696788"/>
    <w:rsid w:val="006968AE"/>
    <w:rsid w:val="006968CE"/>
    <w:rsid w:val="00696A21"/>
    <w:rsid w:val="00696AE2"/>
    <w:rsid w:val="00696B69"/>
    <w:rsid w:val="00696B6E"/>
    <w:rsid w:val="00696B75"/>
    <w:rsid w:val="00696BC1"/>
    <w:rsid w:val="00696DF8"/>
    <w:rsid w:val="00696E40"/>
    <w:rsid w:val="00696EEA"/>
    <w:rsid w:val="00696F40"/>
    <w:rsid w:val="00696FD1"/>
    <w:rsid w:val="0069701F"/>
    <w:rsid w:val="0069703A"/>
    <w:rsid w:val="00697179"/>
    <w:rsid w:val="006972E9"/>
    <w:rsid w:val="006973FF"/>
    <w:rsid w:val="0069740D"/>
    <w:rsid w:val="0069740F"/>
    <w:rsid w:val="00697414"/>
    <w:rsid w:val="00697446"/>
    <w:rsid w:val="006974A4"/>
    <w:rsid w:val="00697689"/>
    <w:rsid w:val="0069768A"/>
    <w:rsid w:val="006976FD"/>
    <w:rsid w:val="00697735"/>
    <w:rsid w:val="00697755"/>
    <w:rsid w:val="00697772"/>
    <w:rsid w:val="006977A9"/>
    <w:rsid w:val="006977F1"/>
    <w:rsid w:val="006978C1"/>
    <w:rsid w:val="0069799C"/>
    <w:rsid w:val="006979AF"/>
    <w:rsid w:val="00697B8E"/>
    <w:rsid w:val="00697C12"/>
    <w:rsid w:val="00697C71"/>
    <w:rsid w:val="00697CE5"/>
    <w:rsid w:val="00697DA7"/>
    <w:rsid w:val="00697E9B"/>
    <w:rsid w:val="00697EB2"/>
    <w:rsid w:val="00697FD0"/>
    <w:rsid w:val="00697FD8"/>
    <w:rsid w:val="006A00AF"/>
    <w:rsid w:val="006A0150"/>
    <w:rsid w:val="006A0167"/>
    <w:rsid w:val="006A0173"/>
    <w:rsid w:val="006A020E"/>
    <w:rsid w:val="006A028D"/>
    <w:rsid w:val="006A0335"/>
    <w:rsid w:val="006A057A"/>
    <w:rsid w:val="006A057F"/>
    <w:rsid w:val="006A05C3"/>
    <w:rsid w:val="006A061E"/>
    <w:rsid w:val="006A06F9"/>
    <w:rsid w:val="006A08E3"/>
    <w:rsid w:val="006A0A67"/>
    <w:rsid w:val="006A0ABB"/>
    <w:rsid w:val="006A0BB2"/>
    <w:rsid w:val="006A0D2B"/>
    <w:rsid w:val="006A0E54"/>
    <w:rsid w:val="006A0E66"/>
    <w:rsid w:val="006A0EAA"/>
    <w:rsid w:val="006A0F34"/>
    <w:rsid w:val="006A101B"/>
    <w:rsid w:val="006A10B5"/>
    <w:rsid w:val="006A119E"/>
    <w:rsid w:val="006A11D4"/>
    <w:rsid w:val="006A120F"/>
    <w:rsid w:val="006A1330"/>
    <w:rsid w:val="006A1370"/>
    <w:rsid w:val="006A1382"/>
    <w:rsid w:val="006A1387"/>
    <w:rsid w:val="006A13E3"/>
    <w:rsid w:val="006A1473"/>
    <w:rsid w:val="006A1499"/>
    <w:rsid w:val="006A1501"/>
    <w:rsid w:val="006A1550"/>
    <w:rsid w:val="006A15FE"/>
    <w:rsid w:val="006A1650"/>
    <w:rsid w:val="006A16FB"/>
    <w:rsid w:val="006A173D"/>
    <w:rsid w:val="006A1873"/>
    <w:rsid w:val="006A18BC"/>
    <w:rsid w:val="006A1939"/>
    <w:rsid w:val="006A1985"/>
    <w:rsid w:val="006A1A04"/>
    <w:rsid w:val="006A1B04"/>
    <w:rsid w:val="006A1B4D"/>
    <w:rsid w:val="006A1D1B"/>
    <w:rsid w:val="006A1D32"/>
    <w:rsid w:val="006A1D54"/>
    <w:rsid w:val="006A1D70"/>
    <w:rsid w:val="006A1D97"/>
    <w:rsid w:val="006A1DAB"/>
    <w:rsid w:val="006A1ED8"/>
    <w:rsid w:val="006A1F1C"/>
    <w:rsid w:val="006A1F30"/>
    <w:rsid w:val="006A1FA3"/>
    <w:rsid w:val="006A1FAB"/>
    <w:rsid w:val="006A1FDF"/>
    <w:rsid w:val="006A2055"/>
    <w:rsid w:val="006A20DD"/>
    <w:rsid w:val="006A20F3"/>
    <w:rsid w:val="006A214B"/>
    <w:rsid w:val="006A2285"/>
    <w:rsid w:val="006A22E2"/>
    <w:rsid w:val="006A22FF"/>
    <w:rsid w:val="006A232B"/>
    <w:rsid w:val="006A235A"/>
    <w:rsid w:val="006A236C"/>
    <w:rsid w:val="006A2413"/>
    <w:rsid w:val="006A2429"/>
    <w:rsid w:val="006A2461"/>
    <w:rsid w:val="006A2560"/>
    <w:rsid w:val="006A25F7"/>
    <w:rsid w:val="006A26A0"/>
    <w:rsid w:val="006A2790"/>
    <w:rsid w:val="006A27A6"/>
    <w:rsid w:val="006A27B8"/>
    <w:rsid w:val="006A27EB"/>
    <w:rsid w:val="006A283D"/>
    <w:rsid w:val="006A2859"/>
    <w:rsid w:val="006A292B"/>
    <w:rsid w:val="006A298A"/>
    <w:rsid w:val="006A29D5"/>
    <w:rsid w:val="006A2AAD"/>
    <w:rsid w:val="006A2AF8"/>
    <w:rsid w:val="006A2BBA"/>
    <w:rsid w:val="006A2DE2"/>
    <w:rsid w:val="006A2E8D"/>
    <w:rsid w:val="006A2E9B"/>
    <w:rsid w:val="006A2EC9"/>
    <w:rsid w:val="006A2EE0"/>
    <w:rsid w:val="006A2EEC"/>
    <w:rsid w:val="006A2EF3"/>
    <w:rsid w:val="006A2FE9"/>
    <w:rsid w:val="006A3008"/>
    <w:rsid w:val="006A30A5"/>
    <w:rsid w:val="006A3163"/>
    <w:rsid w:val="006A3184"/>
    <w:rsid w:val="006A3263"/>
    <w:rsid w:val="006A3296"/>
    <w:rsid w:val="006A32AF"/>
    <w:rsid w:val="006A32E8"/>
    <w:rsid w:val="006A3305"/>
    <w:rsid w:val="006A33D1"/>
    <w:rsid w:val="006A3432"/>
    <w:rsid w:val="006A3477"/>
    <w:rsid w:val="006A348F"/>
    <w:rsid w:val="006A3522"/>
    <w:rsid w:val="006A3527"/>
    <w:rsid w:val="006A3533"/>
    <w:rsid w:val="006A36DA"/>
    <w:rsid w:val="006A3701"/>
    <w:rsid w:val="006A3704"/>
    <w:rsid w:val="006A37A1"/>
    <w:rsid w:val="006A37F5"/>
    <w:rsid w:val="006A3824"/>
    <w:rsid w:val="006A3831"/>
    <w:rsid w:val="006A389B"/>
    <w:rsid w:val="006A396E"/>
    <w:rsid w:val="006A3978"/>
    <w:rsid w:val="006A39EF"/>
    <w:rsid w:val="006A3A0D"/>
    <w:rsid w:val="006A3A6E"/>
    <w:rsid w:val="006A3A9E"/>
    <w:rsid w:val="006A3B09"/>
    <w:rsid w:val="006A3B14"/>
    <w:rsid w:val="006A3B73"/>
    <w:rsid w:val="006A3BFC"/>
    <w:rsid w:val="006A3CDB"/>
    <w:rsid w:val="006A3D55"/>
    <w:rsid w:val="006A3D5E"/>
    <w:rsid w:val="006A3D61"/>
    <w:rsid w:val="006A3E2A"/>
    <w:rsid w:val="006A3E2D"/>
    <w:rsid w:val="006A3E35"/>
    <w:rsid w:val="006A3E60"/>
    <w:rsid w:val="006A3EA1"/>
    <w:rsid w:val="006A3EA9"/>
    <w:rsid w:val="006A3EFB"/>
    <w:rsid w:val="006A400E"/>
    <w:rsid w:val="006A404E"/>
    <w:rsid w:val="006A4058"/>
    <w:rsid w:val="006A40FF"/>
    <w:rsid w:val="006A4143"/>
    <w:rsid w:val="006A419E"/>
    <w:rsid w:val="006A4261"/>
    <w:rsid w:val="006A42D5"/>
    <w:rsid w:val="006A43E8"/>
    <w:rsid w:val="006A44BE"/>
    <w:rsid w:val="006A4538"/>
    <w:rsid w:val="006A4545"/>
    <w:rsid w:val="006A4623"/>
    <w:rsid w:val="006A4683"/>
    <w:rsid w:val="006A478C"/>
    <w:rsid w:val="006A47A7"/>
    <w:rsid w:val="006A48BF"/>
    <w:rsid w:val="006A48C1"/>
    <w:rsid w:val="006A492F"/>
    <w:rsid w:val="006A497D"/>
    <w:rsid w:val="006A49BA"/>
    <w:rsid w:val="006A49FE"/>
    <w:rsid w:val="006A4A40"/>
    <w:rsid w:val="006A4AA6"/>
    <w:rsid w:val="006A4AE1"/>
    <w:rsid w:val="006A4AEB"/>
    <w:rsid w:val="006A4BD2"/>
    <w:rsid w:val="006A4EFB"/>
    <w:rsid w:val="006A4FF5"/>
    <w:rsid w:val="006A5044"/>
    <w:rsid w:val="006A50B1"/>
    <w:rsid w:val="006A514A"/>
    <w:rsid w:val="006A51E0"/>
    <w:rsid w:val="006A5302"/>
    <w:rsid w:val="006A5397"/>
    <w:rsid w:val="006A547F"/>
    <w:rsid w:val="006A55D2"/>
    <w:rsid w:val="006A5794"/>
    <w:rsid w:val="006A57BC"/>
    <w:rsid w:val="006A57E2"/>
    <w:rsid w:val="006A586C"/>
    <w:rsid w:val="006A5937"/>
    <w:rsid w:val="006A599B"/>
    <w:rsid w:val="006A59AF"/>
    <w:rsid w:val="006A5A0F"/>
    <w:rsid w:val="006A5B2B"/>
    <w:rsid w:val="006A5B8E"/>
    <w:rsid w:val="006A5CEE"/>
    <w:rsid w:val="006A5DD0"/>
    <w:rsid w:val="006A5DD9"/>
    <w:rsid w:val="006A5EBB"/>
    <w:rsid w:val="006A5F2F"/>
    <w:rsid w:val="006A5F4B"/>
    <w:rsid w:val="006A6008"/>
    <w:rsid w:val="006A60C2"/>
    <w:rsid w:val="006A618B"/>
    <w:rsid w:val="006A623C"/>
    <w:rsid w:val="006A624D"/>
    <w:rsid w:val="006A6306"/>
    <w:rsid w:val="006A638A"/>
    <w:rsid w:val="006A6390"/>
    <w:rsid w:val="006A63C1"/>
    <w:rsid w:val="006A6448"/>
    <w:rsid w:val="006A652B"/>
    <w:rsid w:val="006A663D"/>
    <w:rsid w:val="006A674A"/>
    <w:rsid w:val="006A674D"/>
    <w:rsid w:val="006A6769"/>
    <w:rsid w:val="006A676B"/>
    <w:rsid w:val="006A676C"/>
    <w:rsid w:val="006A679A"/>
    <w:rsid w:val="006A67B4"/>
    <w:rsid w:val="006A67F4"/>
    <w:rsid w:val="006A6890"/>
    <w:rsid w:val="006A68AD"/>
    <w:rsid w:val="006A68DE"/>
    <w:rsid w:val="006A694F"/>
    <w:rsid w:val="006A6950"/>
    <w:rsid w:val="006A6ACD"/>
    <w:rsid w:val="006A6BE1"/>
    <w:rsid w:val="006A6C04"/>
    <w:rsid w:val="006A6D48"/>
    <w:rsid w:val="006A6D66"/>
    <w:rsid w:val="006A6D9E"/>
    <w:rsid w:val="006A6E5C"/>
    <w:rsid w:val="006A6EB1"/>
    <w:rsid w:val="006A6F21"/>
    <w:rsid w:val="006A6FC3"/>
    <w:rsid w:val="006A7030"/>
    <w:rsid w:val="006A7062"/>
    <w:rsid w:val="006A7102"/>
    <w:rsid w:val="006A712D"/>
    <w:rsid w:val="006A716C"/>
    <w:rsid w:val="006A71DE"/>
    <w:rsid w:val="006A71E8"/>
    <w:rsid w:val="006A71EA"/>
    <w:rsid w:val="006A7235"/>
    <w:rsid w:val="006A737D"/>
    <w:rsid w:val="006A73E6"/>
    <w:rsid w:val="006A7461"/>
    <w:rsid w:val="006A74AE"/>
    <w:rsid w:val="006A753A"/>
    <w:rsid w:val="006A755A"/>
    <w:rsid w:val="006A756D"/>
    <w:rsid w:val="006A75AE"/>
    <w:rsid w:val="006A7618"/>
    <w:rsid w:val="006A7619"/>
    <w:rsid w:val="006A764A"/>
    <w:rsid w:val="006A77B7"/>
    <w:rsid w:val="006A77C1"/>
    <w:rsid w:val="006A77E9"/>
    <w:rsid w:val="006A7803"/>
    <w:rsid w:val="006A7859"/>
    <w:rsid w:val="006A7861"/>
    <w:rsid w:val="006A786C"/>
    <w:rsid w:val="006A7A99"/>
    <w:rsid w:val="006A7AD5"/>
    <w:rsid w:val="006A7B09"/>
    <w:rsid w:val="006A7B1F"/>
    <w:rsid w:val="006A7C64"/>
    <w:rsid w:val="006A7C67"/>
    <w:rsid w:val="006A7CBE"/>
    <w:rsid w:val="006A7DB0"/>
    <w:rsid w:val="006A7DD3"/>
    <w:rsid w:val="006A7DE0"/>
    <w:rsid w:val="006A7F63"/>
    <w:rsid w:val="006B007B"/>
    <w:rsid w:val="006B00C6"/>
    <w:rsid w:val="006B00EA"/>
    <w:rsid w:val="006B0122"/>
    <w:rsid w:val="006B016D"/>
    <w:rsid w:val="006B0170"/>
    <w:rsid w:val="006B01BC"/>
    <w:rsid w:val="006B0252"/>
    <w:rsid w:val="006B035E"/>
    <w:rsid w:val="006B0378"/>
    <w:rsid w:val="006B03D9"/>
    <w:rsid w:val="006B0404"/>
    <w:rsid w:val="006B0528"/>
    <w:rsid w:val="006B053A"/>
    <w:rsid w:val="006B058E"/>
    <w:rsid w:val="006B0651"/>
    <w:rsid w:val="006B0652"/>
    <w:rsid w:val="006B06A5"/>
    <w:rsid w:val="006B06E3"/>
    <w:rsid w:val="006B06EF"/>
    <w:rsid w:val="006B06FA"/>
    <w:rsid w:val="006B074D"/>
    <w:rsid w:val="006B07A3"/>
    <w:rsid w:val="006B07DE"/>
    <w:rsid w:val="006B0805"/>
    <w:rsid w:val="006B080D"/>
    <w:rsid w:val="006B08B1"/>
    <w:rsid w:val="006B096F"/>
    <w:rsid w:val="006B097A"/>
    <w:rsid w:val="006B09AD"/>
    <w:rsid w:val="006B09C7"/>
    <w:rsid w:val="006B0AA6"/>
    <w:rsid w:val="006B0AAE"/>
    <w:rsid w:val="006B0BAB"/>
    <w:rsid w:val="006B0BBC"/>
    <w:rsid w:val="006B0CF4"/>
    <w:rsid w:val="006B0DA9"/>
    <w:rsid w:val="006B0E90"/>
    <w:rsid w:val="006B0FDA"/>
    <w:rsid w:val="006B105B"/>
    <w:rsid w:val="006B107E"/>
    <w:rsid w:val="006B10D3"/>
    <w:rsid w:val="006B1124"/>
    <w:rsid w:val="006B1154"/>
    <w:rsid w:val="006B117F"/>
    <w:rsid w:val="006B11C0"/>
    <w:rsid w:val="006B1237"/>
    <w:rsid w:val="006B1255"/>
    <w:rsid w:val="006B126D"/>
    <w:rsid w:val="006B1296"/>
    <w:rsid w:val="006B1299"/>
    <w:rsid w:val="006B12B2"/>
    <w:rsid w:val="006B141C"/>
    <w:rsid w:val="006B151B"/>
    <w:rsid w:val="006B1535"/>
    <w:rsid w:val="006B15C4"/>
    <w:rsid w:val="006B1600"/>
    <w:rsid w:val="006B1801"/>
    <w:rsid w:val="006B18A5"/>
    <w:rsid w:val="006B18B9"/>
    <w:rsid w:val="006B1985"/>
    <w:rsid w:val="006B19BA"/>
    <w:rsid w:val="006B1A34"/>
    <w:rsid w:val="006B1AA3"/>
    <w:rsid w:val="006B1AFB"/>
    <w:rsid w:val="006B1B57"/>
    <w:rsid w:val="006B1B9E"/>
    <w:rsid w:val="006B1BE0"/>
    <w:rsid w:val="006B1C3D"/>
    <w:rsid w:val="006B1C5C"/>
    <w:rsid w:val="006B1CCF"/>
    <w:rsid w:val="006B1EE5"/>
    <w:rsid w:val="006B1F65"/>
    <w:rsid w:val="006B1F9A"/>
    <w:rsid w:val="006B20F8"/>
    <w:rsid w:val="006B2107"/>
    <w:rsid w:val="006B23ED"/>
    <w:rsid w:val="006B2464"/>
    <w:rsid w:val="006B24B8"/>
    <w:rsid w:val="006B24FA"/>
    <w:rsid w:val="006B2531"/>
    <w:rsid w:val="006B2557"/>
    <w:rsid w:val="006B26CA"/>
    <w:rsid w:val="006B283E"/>
    <w:rsid w:val="006B2870"/>
    <w:rsid w:val="006B2895"/>
    <w:rsid w:val="006B28B3"/>
    <w:rsid w:val="006B2929"/>
    <w:rsid w:val="006B29C0"/>
    <w:rsid w:val="006B29C1"/>
    <w:rsid w:val="006B29DF"/>
    <w:rsid w:val="006B2A49"/>
    <w:rsid w:val="006B2B3F"/>
    <w:rsid w:val="006B2BA7"/>
    <w:rsid w:val="006B2BCE"/>
    <w:rsid w:val="006B2C2E"/>
    <w:rsid w:val="006B2C72"/>
    <w:rsid w:val="006B2CB9"/>
    <w:rsid w:val="006B2D34"/>
    <w:rsid w:val="006B2DF9"/>
    <w:rsid w:val="006B2EBD"/>
    <w:rsid w:val="006B2EC8"/>
    <w:rsid w:val="006B2F7D"/>
    <w:rsid w:val="006B3079"/>
    <w:rsid w:val="006B3116"/>
    <w:rsid w:val="006B31A3"/>
    <w:rsid w:val="006B31A4"/>
    <w:rsid w:val="006B31B7"/>
    <w:rsid w:val="006B3207"/>
    <w:rsid w:val="006B3227"/>
    <w:rsid w:val="006B3261"/>
    <w:rsid w:val="006B3307"/>
    <w:rsid w:val="006B334D"/>
    <w:rsid w:val="006B3458"/>
    <w:rsid w:val="006B3482"/>
    <w:rsid w:val="006B34A3"/>
    <w:rsid w:val="006B373B"/>
    <w:rsid w:val="006B3850"/>
    <w:rsid w:val="006B3879"/>
    <w:rsid w:val="006B388B"/>
    <w:rsid w:val="006B38DD"/>
    <w:rsid w:val="006B38FF"/>
    <w:rsid w:val="006B3927"/>
    <w:rsid w:val="006B3948"/>
    <w:rsid w:val="006B3977"/>
    <w:rsid w:val="006B3AF7"/>
    <w:rsid w:val="006B3B68"/>
    <w:rsid w:val="006B3DA1"/>
    <w:rsid w:val="006B3DFF"/>
    <w:rsid w:val="006B3E5F"/>
    <w:rsid w:val="006B3EF6"/>
    <w:rsid w:val="006B3EFC"/>
    <w:rsid w:val="006B3FD3"/>
    <w:rsid w:val="006B3FE6"/>
    <w:rsid w:val="006B3FEA"/>
    <w:rsid w:val="006B4084"/>
    <w:rsid w:val="006B409C"/>
    <w:rsid w:val="006B4109"/>
    <w:rsid w:val="006B41C0"/>
    <w:rsid w:val="006B41CB"/>
    <w:rsid w:val="006B41FA"/>
    <w:rsid w:val="006B4379"/>
    <w:rsid w:val="006B43A0"/>
    <w:rsid w:val="006B43EB"/>
    <w:rsid w:val="006B4428"/>
    <w:rsid w:val="006B4513"/>
    <w:rsid w:val="006B45AC"/>
    <w:rsid w:val="006B487B"/>
    <w:rsid w:val="006B4902"/>
    <w:rsid w:val="006B4932"/>
    <w:rsid w:val="006B49B2"/>
    <w:rsid w:val="006B49B4"/>
    <w:rsid w:val="006B4ACD"/>
    <w:rsid w:val="006B4B2F"/>
    <w:rsid w:val="006B4D25"/>
    <w:rsid w:val="006B4DE8"/>
    <w:rsid w:val="006B4E8E"/>
    <w:rsid w:val="006B4F05"/>
    <w:rsid w:val="006B4FDF"/>
    <w:rsid w:val="006B5002"/>
    <w:rsid w:val="006B504E"/>
    <w:rsid w:val="006B5061"/>
    <w:rsid w:val="006B5073"/>
    <w:rsid w:val="006B509C"/>
    <w:rsid w:val="006B50E6"/>
    <w:rsid w:val="006B524A"/>
    <w:rsid w:val="006B539A"/>
    <w:rsid w:val="006B53C0"/>
    <w:rsid w:val="006B5401"/>
    <w:rsid w:val="006B5485"/>
    <w:rsid w:val="006B54FF"/>
    <w:rsid w:val="006B5533"/>
    <w:rsid w:val="006B55A5"/>
    <w:rsid w:val="006B55B7"/>
    <w:rsid w:val="006B5607"/>
    <w:rsid w:val="006B57F7"/>
    <w:rsid w:val="006B5814"/>
    <w:rsid w:val="006B588D"/>
    <w:rsid w:val="006B58DB"/>
    <w:rsid w:val="006B5929"/>
    <w:rsid w:val="006B592B"/>
    <w:rsid w:val="006B59DE"/>
    <w:rsid w:val="006B5A44"/>
    <w:rsid w:val="006B5A5B"/>
    <w:rsid w:val="006B5B20"/>
    <w:rsid w:val="006B5BA9"/>
    <w:rsid w:val="006B5C25"/>
    <w:rsid w:val="006B5CAB"/>
    <w:rsid w:val="006B5DCD"/>
    <w:rsid w:val="006B5DF0"/>
    <w:rsid w:val="006B5E3F"/>
    <w:rsid w:val="006B5E4E"/>
    <w:rsid w:val="006B5E60"/>
    <w:rsid w:val="006B5EFA"/>
    <w:rsid w:val="006B5F1F"/>
    <w:rsid w:val="006B5FA7"/>
    <w:rsid w:val="006B5FC2"/>
    <w:rsid w:val="006B5FE9"/>
    <w:rsid w:val="006B6033"/>
    <w:rsid w:val="006B606B"/>
    <w:rsid w:val="006B612D"/>
    <w:rsid w:val="006B6197"/>
    <w:rsid w:val="006B61ED"/>
    <w:rsid w:val="006B62BD"/>
    <w:rsid w:val="006B62F5"/>
    <w:rsid w:val="006B6464"/>
    <w:rsid w:val="006B6661"/>
    <w:rsid w:val="006B66A2"/>
    <w:rsid w:val="006B670F"/>
    <w:rsid w:val="006B673A"/>
    <w:rsid w:val="006B6765"/>
    <w:rsid w:val="006B678C"/>
    <w:rsid w:val="006B67A2"/>
    <w:rsid w:val="006B680E"/>
    <w:rsid w:val="006B6875"/>
    <w:rsid w:val="006B68D7"/>
    <w:rsid w:val="006B698F"/>
    <w:rsid w:val="006B6A96"/>
    <w:rsid w:val="006B6AB7"/>
    <w:rsid w:val="006B6AB8"/>
    <w:rsid w:val="006B6AD8"/>
    <w:rsid w:val="006B6B28"/>
    <w:rsid w:val="006B6B44"/>
    <w:rsid w:val="006B6BD4"/>
    <w:rsid w:val="006B6CA8"/>
    <w:rsid w:val="006B6CB3"/>
    <w:rsid w:val="006B6CD7"/>
    <w:rsid w:val="006B6CF0"/>
    <w:rsid w:val="006B6D72"/>
    <w:rsid w:val="006B6E1C"/>
    <w:rsid w:val="006B6EB5"/>
    <w:rsid w:val="006B6F0A"/>
    <w:rsid w:val="006B6F80"/>
    <w:rsid w:val="006B6FB2"/>
    <w:rsid w:val="006B6FF5"/>
    <w:rsid w:val="006B70BF"/>
    <w:rsid w:val="006B71E7"/>
    <w:rsid w:val="006B7216"/>
    <w:rsid w:val="006B729E"/>
    <w:rsid w:val="006B72AC"/>
    <w:rsid w:val="006B7364"/>
    <w:rsid w:val="006B757D"/>
    <w:rsid w:val="006B75ED"/>
    <w:rsid w:val="006B75EE"/>
    <w:rsid w:val="006B7799"/>
    <w:rsid w:val="006B789A"/>
    <w:rsid w:val="006B79AB"/>
    <w:rsid w:val="006B7A38"/>
    <w:rsid w:val="006B7AAE"/>
    <w:rsid w:val="006B7B1A"/>
    <w:rsid w:val="006B7C1C"/>
    <w:rsid w:val="006B7C33"/>
    <w:rsid w:val="006B7CD4"/>
    <w:rsid w:val="006B7CE2"/>
    <w:rsid w:val="006B7D00"/>
    <w:rsid w:val="006B7DA1"/>
    <w:rsid w:val="006B7E7D"/>
    <w:rsid w:val="006B7EC2"/>
    <w:rsid w:val="006B7F10"/>
    <w:rsid w:val="006B7F39"/>
    <w:rsid w:val="006C0027"/>
    <w:rsid w:val="006C00D6"/>
    <w:rsid w:val="006C019B"/>
    <w:rsid w:val="006C02F9"/>
    <w:rsid w:val="006C0354"/>
    <w:rsid w:val="006C03FA"/>
    <w:rsid w:val="006C03FF"/>
    <w:rsid w:val="006C0421"/>
    <w:rsid w:val="006C049D"/>
    <w:rsid w:val="006C04E7"/>
    <w:rsid w:val="006C0514"/>
    <w:rsid w:val="006C05B3"/>
    <w:rsid w:val="006C05F2"/>
    <w:rsid w:val="006C068B"/>
    <w:rsid w:val="006C069C"/>
    <w:rsid w:val="006C06DF"/>
    <w:rsid w:val="006C078A"/>
    <w:rsid w:val="006C08AC"/>
    <w:rsid w:val="006C09DE"/>
    <w:rsid w:val="006C09FF"/>
    <w:rsid w:val="006C0AFB"/>
    <w:rsid w:val="006C0B2B"/>
    <w:rsid w:val="006C0B64"/>
    <w:rsid w:val="006C0BFC"/>
    <w:rsid w:val="006C0CEE"/>
    <w:rsid w:val="006C0D86"/>
    <w:rsid w:val="006C0D87"/>
    <w:rsid w:val="006C0DAD"/>
    <w:rsid w:val="006C0E35"/>
    <w:rsid w:val="006C1072"/>
    <w:rsid w:val="006C11D8"/>
    <w:rsid w:val="006C1229"/>
    <w:rsid w:val="006C1259"/>
    <w:rsid w:val="006C1394"/>
    <w:rsid w:val="006C14B7"/>
    <w:rsid w:val="006C159A"/>
    <w:rsid w:val="006C16BF"/>
    <w:rsid w:val="006C1719"/>
    <w:rsid w:val="006C1735"/>
    <w:rsid w:val="006C179D"/>
    <w:rsid w:val="006C1892"/>
    <w:rsid w:val="006C18F8"/>
    <w:rsid w:val="006C1939"/>
    <w:rsid w:val="006C19CE"/>
    <w:rsid w:val="006C19F6"/>
    <w:rsid w:val="006C1A00"/>
    <w:rsid w:val="006C1A2A"/>
    <w:rsid w:val="006C1A75"/>
    <w:rsid w:val="006C1B0C"/>
    <w:rsid w:val="006C1B15"/>
    <w:rsid w:val="006C1B71"/>
    <w:rsid w:val="006C1B87"/>
    <w:rsid w:val="006C1C02"/>
    <w:rsid w:val="006C1C3B"/>
    <w:rsid w:val="006C1D26"/>
    <w:rsid w:val="006C1E6D"/>
    <w:rsid w:val="006C1EE9"/>
    <w:rsid w:val="006C1F0C"/>
    <w:rsid w:val="006C1F15"/>
    <w:rsid w:val="006C1F18"/>
    <w:rsid w:val="006C2078"/>
    <w:rsid w:val="006C2139"/>
    <w:rsid w:val="006C2145"/>
    <w:rsid w:val="006C2179"/>
    <w:rsid w:val="006C2201"/>
    <w:rsid w:val="006C2254"/>
    <w:rsid w:val="006C22C8"/>
    <w:rsid w:val="006C23D7"/>
    <w:rsid w:val="006C2461"/>
    <w:rsid w:val="006C24FD"/>
    <w:rsid w:val="006C2551"/>
    <w:rsid w:val="006C25EB"/>
    <w:rsid w:val="006C2743"/>
    <w:rsid w:val="006C275A"/>
    <w:rsid w:val="006C2810"/>
    <w:rsid w:val="006C284A"/>
    <w:rsid w:val="006C2893"/>
    <w:rsid w:val="006C28B4"/>
    <w:rsid w:val="006C29BC"/>
    <w:rsid w:val="006C29CE"/>
    <w:rsid w:val="006C2A4F"/>
    <w:rsid w:val="006C2A72"/>
    <w:rsid w:val="006C2AF2"/>
    <w:rsid w:val="006C2AF7"/>
    <w:rsid w:val="006C2B12"/>
    <w:rsid w:val="006C2B9F"/>
    <w:rsid w:val="006C2BF9"/>
    <w:rsid w:val="006C2CCE"/>
    <w:rsid w:val="006C2CCF"/>
    <w:rsid w:val="006C2CDD"/>
    <w:rsid w:val="006C2E08"/>
    <w:rsid w:val="006C2E85"/>
    <w:rsid w:val="006C2F31"/>
    <w:rsid w:val="006C30FD"/>
    <w:rsid w:val="006C3237"/>
    <w:rsid w:val="006C330E"/>
    <w:rsid w:val="006C333E"/>
    <w:rsid w:val="006C34E3"/>
    <w:rsid w:val="006C3589"/>
    <w:rsid w:val="006C362F"/>
    <w:rsid w:val="006C3687"/>
    <w:rsid w:val="006C36B7"/>
    <w:rsid w:val="006C36F3"/>
    <w:rsid w:val="006C371C"/>
    <w:rsid w:val="006C371D"/>
    <w:rsid w:val="006C375B"/>
    <w:rsid w:val="006C3779"/>
    <w:rsid w:val="006C382B"/>
    <w:rsid w:val="006C3924"/>
    <w:rsid w:val="006C3963"/>
    <w:rsid w:val="006C39AC"/>
    <w:rsid w:val="006C39C0"/>
    <w:rsid w:val="006C3ABA"/>
    <w:rsid w:val="006C3AFE"/>
    <w:rsid w:val="006C3B76"/>
    <w:rsid w:val="006C3B8F"/>
    <w:rsid w:val="006C3C0D"/>
    <w:rsid w:val="006C3C56"/>
    <w:rsid w:val="006C3CF5"/>
    <w:rsid w:val="006C3D22"/>
    <w:rsid w:val="006C3DCF"/>
    <w:rsid w:val="006C3E08"/>
    <w:rsid w:val="006C3F8E"/>
    <w:rsid w:val="006C3FBD"/>
    <w:rsid w:val="006C3FE5"/>
    <w:rsid w:val="006C4010"/>
    <w:rsid w:val="006C4095"/>
    <w:rsid w:val="006C40E9"/>
    <w:rsid w:val="006C4229"/>
    <w:rsid w:val="006C4283"/>
    <w:rsid w:val="006C4322"/>
    <w:rsid w:val="006C4344"/>
    <w:rsid w:val="006C4350"/>
    <w:rsid w:val="006C4377"/>
    <w:rsid w:val="006C43EE"/>
    <w:rsid w:val="006C43F1"/>
    <w:rsid w:val="006C440E"/>
    <w:rsid w:val="006C445C"/>
    <w:rsid w:val="006C4497"/>
    <w:rsid w:val="006C45A4"/>
    <w:rsid w:val="006C472E"/>
    <w:rsid w:val="006C4791"/>
    <w:rsid w:val="006C47AB"/>
    <w:rsid w:val="006C4839"/>
    <w:rsid w:val="006C495B"/>
    <w:rsid w:val="006C49A7"/>
    <w:rsid w:val="006C4A1E"/>
    <w:rsid w:val="006C4A25"/>
    <w:rsid w:val="006C4A4C"/>
    <w:rsid w:val="006C4AA8"/>
    <w:rsid w:val="006C4AC6"/>
    <w:rsid w:val="006C4B69"/>
    <w:rsid w:val="006C4C13"/>
    <w:rsid w:val="006C4CA0"/>
    <w:rsid w:val="006C4D92"/>
    <w:rsid w:val="006C4DAC"/>
    <w:rsid w:val="006C4DB1"/>
    <w:rsid w:val="006C4DDE"/>
    <w:rsid w:val="006C4F1F"/>
    <w:rsid w:val="006C502F"/>
    <w:rsid w:val="006C5164"/>
    <w:rsid w:val="006C5175"/>
    <w:rsid w:val="006C534C"/>
    <w:rsid w:val="006C53DC"/>
    <w:rsid w:val="006C5435"/>
    <w:rsid w:val="006C545E"/>
    <w:rsid w:val="006C5547"/>
    <w:rsid w:val="006C5642"/>
    <w:rsid w:val="006C56FF"/>
    <w:rsid w:val="006C572B"/>
    <w:rsid w:val="006C58FD"/>
    <w:rsid w:val="006C5949"/>
    <w:rsid w:val="006C59AA"/>
    <w:rsid w:val="006C59AC"/>
    <w:rsid w:val="006C59E8"/>
    <w:rsid w:val="006C59EF"/>
    <w:rsid w:val="006C5A56"/>
    <w:rsid w:val="006C5B73"/>
    <w:rsid w:val="006C5C12"/>
    <w:rsid w:val="006C5C17"/>
    <w:rsid w:val="006C5C1D"/>
    <w:rsid w:val="006C5C37"/>
    <w:rsid w:val="006C5C85"/>
    <w:rsid w:val="006C5E9D"/>
    <w:rsid w:val="006C5ED6"/>
    <w:rsid w:val="006C5EF7"/>
    <w:rsid w:val="006C5F15"/>
    <w:rsid w:val="006C5FF8"/>
    <w:rsid w:val="006C606D"/>
    <w:rsid w:val="006C60F3"/>
    <w:rsid w:val="006C616C"/>
    <w:rsid w:val="006C61A0"/>
    <w:rsid w:val="006C622B"/>
    <w:rsid w:val="006C645D"/>
    <w:rsid w:val="006C64B1"/>
    <w:rsid w:val="006C653C"/>
    <w:rsid w:val="006C65C0"/>
    <w:rsid w:val="006C65D5"/>
    <w:rsid w:val="006C662E"/>
    <w:rsid w:val="006C6686"/>
    <w:rsid w:val="006C66DA"/>
    <w:rsid w:val="006C66F0"/>
    <w:rsid w:val="006C6773"/>
    <w:rsid w:val="006C6805"/>
    <w:rsid w:val="006C6844"/>
    <w:rsid w:val="006C6851"/>
    <w:rsid w:val="006C68BC"/>
    <w:rsid w:val="006C691D"/>
    <w:rsid w:val="006C693E"/>
    <w:rsid w:val="006C697A"/>
    <w:rsid w:val="006C6A48"/>
    <w:rsid w:val="006C6ADD"/>
    <w:rsid w:val="006C6AFB"/>
    <w:rsid w:val="006C6BEE"/>
    <w:rsid w:val="006C6C9F"/>
    <w:rsid w:val="006C6D1B"/>
    <w:rsid w:val="006C6D64"/>
    <w:rsid w:val="006C6DE4"/>
    <w:rsid w:val="006C6E0A"/>
    <w:rsid w:val="006C6EC2"/>
    <w:rsid w:val="006C6F25"/>
    <w:rsid w:val="006C6F3E"/>
    <w:rsid w:val="006C7025"/>
    <w:rsid w:val="006C708C"/>
    <w:rsid w:val="006C70D4"/>
    <w:rsid w:val="006C7169"/>
    <w:rsid w:val="006C71B3"/>
    <w:rsid w:val="006C7302"/>
    <w:rsid w:val="006C7343"/>
    <w:rsid w:val="006C7369"/>
    <w:rsid w:val="006C73AD"/>
    <w:rsid w:val="006C73E7"/>
    <w:rsid w:val="006C73FC"/>
    <w:rsid w:val="006C74CA"/>
    <w:rsid w:val="006C74F1"/>
    <w:rsid w:val="006C7659"/>
    <w:rsid w:val="006C7671"/>
    <w:rsid w:val="006C767C"/>
    <w:rsid w:val="006C76D6"/>
    <w:rsid w:val="006C77B8"/>
    <w:rsid w:val="006C792F"/>
    <w:rsid w:val="006C7965"/>
    <w:rsid w:val="006C79C3"/>
    <w:rsid w:val="006C79C5"/>
    <w:rsid w:val="006C7A92"/>
    <w:rsid w:val="006C7A98"/>
    <w:rsid w:val="006C7D82"/>
    <w:rsid w:val="006C7D9C"/>
    <w:rsid w:val="006C7DBA"/>
    <w:rsid w:val="006C7E93"/>
    <w:rsid w:val="006C7EC1"/>
    <w:rsid w:val="006C7EE3"/>
    <w:rsid w:val="006C7FEB"/>
    <w:rsid w:val="006D00BA"/>
    <w:rsid w:val="006D00C7"/>
    <w:rsid w:val="006D00DE"/>
    <w:rsid w:val="006D0151"/>
    <w:rsid w:val="006D0286"/>
    <w:rsid w:val="006D033D"/>
    <w:rsid w:val="006D0394"/>
    <w:rsid w:val="006D04B6"/>
    <w:rsid w:val="006D04F5"/>
    <w:rsid w:val="006D04F6"/>
    <w:rsid w:val="006D0505"/>
    <w:rsid w:val="006D0542"/>
    <w:rsid w:val="006D05D3"/>
    <w:rsid w:val="006D06FD"/>
    <w:rsid w:val="006D0756"/>
    <w:rsid w:val="006D07FE"/>
    <w:rsid w:val="006D0811"/>
    <w:rsid w:val="006D0817"/>
    <w:rsid w:val="006D0881"/>
    <w:rsid w:val="006D0963"/>
    <w:rsid w:val="006D09AB"/>
    <w:rsid w:val="006D0A74"/>
    <w:rsid w:val="006D0B48"/>
    <w:rsid w:val="006D0B67"/>
    <w:rsid w:val="006D0BE7"/>
    <w:rsid w:val="006D0CA3"/>
    <w:rsid w:val="006D0D1B"/>
    <w:rsid w:val="006D0DC0"/>
    <w:rsid w:val="006D0E08"/>
    <w:rsid w:val="006D0E8C"/>
    <w:rsid w:val="006D0EA0"/>
    <w:rsid w:val="006D1074"/>
    <w:rsid w:val="006D107B"/>
    <w:rsid w:val="006D10EF"/>
    <w:rsid w:val="006D11F1"/>
    <w:rsid w:val="006D1215"/>
    <w:rsid w:val="006D121F"/>
    <w:rsid w:val="006D1248"/>
    <w:rsid w:val="006D126E"/>
    <w:rsid w:val="006D12A8"/>
    <w:rsid w:val="006D12FF"/>
    <w:rsid w:val="006D1384"/>
    <w:rsid w:val="006D13B1"/>
    <w:rsid w:val="006D13C9"/>
    <w:rsid w:val="006D1491"/>
    <w:rsid w:val="006D15E1"/>
    <w:rsid w:val="006D15FD"/>
    <w:rsid w:val="006D1618"/>
    <w:rsid w:val="006D16CE"/>
    <w:rsid w:val="006D16FD"/>
    <w:rsid w:val="006D17D7"/>
    <w:rsid w:val="006D181D"/>
    <w:rsid w:val="006D1855"/>
    <w:rsid w:val="006D18C9"/>
    <w:rsid w:val="006D1946"/>
    <w:rsid w:val="006D1A5C"/>
    <w:rsid w:val="006D1A5E"/>
    <w:rsid w:val="006D1B31"/>
    <w:rsid w:val="006D1BB0"/>
    <w:rsid w:val="006D1C67"/>
    <w:rsid w:val="006D1CB5"/>
    <w:rsid w:val="006D1D19"/>
    <w:rsid w:val="006D1D8D"/>
    <w:rsid w:val="006D1DD7"/>
    <w:rsid w:val="006D206E"/>
    <w:rsid w:val="006D20AA"/>
    <w:rsid w:val="006D2176"/>
    <w:rsid w:val="006D2188"/>
    <w:rsid w:val="006D21FE"/>
    <w:rsid w:val="006D2245"/>
    <w:rsid w:val="006D22F0"/>
    <w:rsid w:val="006D233F"/>
    <w:rsid w:val="006D2418"/>
    <w:rsid w:val="006D2563"/>
    <w:rsid w:val="006D2587"/>
    <w:rsid w:val="006D2596"/>
    <w:rsid w:val="006D26D2"/>
    <w:rsid w:val="006D26F1"/>
    <w:rsid w:val="006D2720"/>
    <w:rsid w:val="006D27C7"/>
    <w:rsid w:val="006D27EB"/>
    <w:rsid w:val="006D27F9"/>
    <w:rsid w:val="006D2844"/>
    <w:rsid w:val="006D284E"/>
    <w:rsid w:val="006D28CF"/>
    <w:rsid w:val="006D296D"/>
    <w:rsid w:val="006D29C7"/>
    <w:rsid w:val="006D29CC"/>
    <w:rsid w:val="006D29DA"/>
    <w:rsid w:val="006D2A4F"/>
    <w:rsid w:val="006D2AB3"/>
    <w:rsid w:val="006D2B45"/>
    <w:rsid w:val="006D2BBD"/>
    <w:rsid w:val="006D2C0F"/>
    <w:rsid w:val="006D2C16"/>
    <w:rsid w:val="006D2C9D"/>
    <w:rsid w:val="006D2D07"/>
    <w:rsid w:val="006D2D95"/>
    <w:rsid w:val="006D2E59"/>
    <w:rsid w:val="006D2E6A"/>
    <w:rsid w:val="006D2EA2"/>
    <w:rsid w:val="006D2EFD"/>
    <w:rsid w:val="006D302D"/>
    <w:rsid w:val="006D3062"/>
    <w:rsid w:val="006D30B9"/>
    <w:rsid w:val="006D313A"/>
    <w:rsid w:val="006D3165"/>
    <w:rsid w:val="006D3271"/>
    <w:rsid w:val="006D328A"/>
    <w:rsid w:val="006D32CF"/>
    <w:rsid w:val="006D339A"/>
    <w:rsid w:val="006D34C1"/>
    <w:rsid w:val="006D3505"/>
    <w:rsid w:val="006D3569"/>
    <w:rsid w:val="006D357D"/>
    <w:rsid w:val="006D359C"/>
    <w:rsid w:val="006D35A0"/>
    <w:rsid w:val="006D35CA"/>
    <w:rsid w:val="006D365F"/>
    <w:rsid w:val="006D36C3"/>
    <w:rsid w:val="006D373D"/>
    <w:rsid w:val="006D374D"/>
    <w:rsid w:val="006D3752"/>
    <w:rsid w:val="006D39E7"/>
    <w:rsid w:val="006D3A37"/>
    <w:rsid w:val="006D3A50"/>
    <w:rsid w:val="006D3A51"/>
    <w:rsid w:val="006D3AA1"/>
    <w:rsid w:val="006D3AA5"/>
    <w:rsid w:val="006D3B0D"/>
    <w:rsid w:val="006D3B2F"/>
    <w:rsid w:val="006D3C2D"/>
    <w:rsid w:val="006D3C45"/>
    <w:rsid w:val="006D3D0B"/>
    <w:rsid w:val="006D3D52"/>
    <w:rsid w:val="006D3DEA"/>
    <w:rsid w:val="006D3E4F"/>
    <w:rsid w:val="006D3EAB"/>
    <w:rsid w:val="006D3F35"/>
    <w:rsid w:val="006D4081"/>
    <w:rsid w:val="006D4143"/>
    <w:rsid w:val="006D461B"/>
    <w:rsid w:val="006D468C"/>
    <w:rsid w:val="006D46B6"/>
    <w:rsid w:val="006D47D0"/>
    <w:rsid w:val="006D4872"/>
    <w:rsid w:val="006D49D1"/>
    <w:rsid w:val="006D4A0A"/>
    <w:rsid w:val="006D4A42"/>
    <w:rsid w:val="006D4A8D"/>
    <w:rsid w:val="006D4B2C"/>
    <w:rsid w:val="006D4B48"/>
    <w:rsid w:val="006D4B72"/>
    <w:rsid w:val="006D4B9F"/>
    <w:rsid w:val="006D4C1A"/>
    <w:rsid w:val="006D4C9F"/>
    <w:rsid w:val="006D4D41"/>
    <w:rsid w:val="006D4D73"/>
    <w:rsid w:val="006D4D92"/>
    <w:rsid w:val="006D4DDE"/>
    <w:rsid w:val="006D4E2F"/>
    <w:rsid w:val="006D4E4C"/>
    <w:rsid w:val="006D4F76"/>
    <w:rsid w:val="006D4F85"/>
    <w:rsid w:val="006D5097"/>
    <w:rsid w:val="006D510D"/>
    <w:rsid w:val="006D5115"/>
    <w:rsid w:val="006D516E"/>
    <w:rsid w:val="006D522A"/>
    <w:rsid w:val="006D52BF"/>
    <w:rsid w:val="006D5328"/>
    <w:rsid w:val="006D543E"/>
    <w:rsid w:val="006D5582"/>
    <w:rsid w:val="006D55E2"/>
    <w:rsid w:val="006D56E8"/>
    <w:rsid w:val="006D5738"/>
    <w:rsid w:val="006D5761"/>
    <w:rsid w:val="006D577D"/>
    <w:rsid w:val="006D57EF"/>
    <w:rsid w:val="006D581B"/>
    <w:rsid w:val="006D5879"/>
    <w:rsid w:val="006D58C8"/>
    <w:rsid w:val="006D591B"/>
    <w:rsid w:val="006D59B0"/>
    <w:rsid w:val="006D5A6F"/>
    <w:rsid w:val="006D5A72"/>
    <w:rsid w:val="006D5AD8"/>
    <w:rsid w:val="006D5AEA"/>
    <w:rsid w:val="006D5B26"/>
    <w:rsid w:val="006D5BAE"/>
    <w:rsid w:val="006D5BDF"/>
    <w:rsid w:val="006D5C13"/>
    <w:rsid w:val="006D5C2D"/>
    <w:rsid w:val="006D5C90"/>
    <w:rsid w:val="006D5DBD"/>
    <w:rsid w:val="006D5DCD"/>
    <w:rsid w:val="006D5E59"/>
    <w:rsid w:val="006D5F73"/>
    <w:rsid w:val="006D60C1"/>
    <w:rsid w:val="006D6160"/>
    <w:rsid w:val="006D6164"/>
    <w:rsid w:val="006D6169"/>
    <w:rsid w:val="006D627C"/>
    <w:rsid w:val="006D62E4"/>
    <w:rsid w:val="006D6470"/>
    <w:rsid w:val="006D6472"/>
    <w:rsid w:val="006D65F3"/>
    <w:rsid w:val="006D65F9"/>
    <w:rsid w:val="006D6654"/>
    <w:rsid w:val="006D66A8"/>
    <w:rsid w:val="006D66D6"/>
    <w:rsid w:val="006D6884"/>
    <w:rsid w:val="006D68B4"/>
    <w:rsid w:val="006D68E1"/>
    <w:rsid w:val="006D69D6"/>
    <w:rsid w:val="006D6A1F"/>
    <w:rsid w:val="006D6A4D"/>
    <w:rsid w:val="006D6A80"/>
    <w:rsid w:val="006D6B1F"/>
    <w:rsid w:val="006D6B23"/>
    <w:rsid w:val="006D6C02"/>
    <w:rsid w:val="006D6CBF"/>
    <w:rsid w:val="006D6CF0"/>
    <w:rsid w:val="006D6D00"/>
    <w:rsid w:val="006D6D0E"/>
    <w:rsid w:val="006D6DAC"/>
    <w:rsid w:val="006D6E27"/>
    <w:rsid w:val="006D6EEC"/>
    <w:rsid w:val="006D6F37"/>
    <w:rsid w:val="006D6F3B"/>
    <w:rsid w:val="006D6F40"/>
    <w:rsid w:val="006D6F7C"/>
    <w:rsid w:val="006D6F84"/>
    <w:rsid w:val="006D701A"/>
    <w:rsid w:val="006D7078"/>
    <w:rsid w:val="006D70CA"/>
    <w:rsid w:val="006D70EB"/>
    <w:rsid w:val="006D70F4"/>
    <w:rsid w:val="006D71D7"/>
    <w:rsid w:val="006D7332"/>
    <w:rsid w:val="006D73A0"/>
    <w:rsid w:val="006D73C0"/>
    <w:rsid w:val="006D7444"/>
    <w:rsid w:val="006D74AC"/>
    <w:rsid w:val="006D755C"/>
    <w:rsid w:val="006D75B5"/>
    <w:rsid w:val="006D75EE"/>
    <w:rsid w:val="006D76CC"/>
    <w:rsid w:val="006D7715"/>
    <w:rsid w:val="006D773A"/>
    <w:rsid w:val="006D778C"/>
    <w:rsid w:val="006D7859"/>
    <w:rsid w:val="006D787D"/>
    <w:rsid w:val="006D7891"/>
    <w:rsid w:val="006D78E4"/>
    <w:rsid w:val="006D7A03"/>
    <w:rsid w:val="006D7A23"/>
    <w:rsid w:val="006D7AEB"/>
    <w:rsid w:val="006D7B28"/>
    <w:rsid w:val="006D7CA6"/>
    <w:rsid w:val="006D7D1D"/>
    <w:rsid w:val="006D7D71"/>
    <w:rsid w:val="006D7DC9"/>
    <w:rsid w:val="006D7DDE"/>
    <w:rsid w:val="006D7DF5"/>
    <w:rsid w:val="006D7E06"/>
    <w:rsid w:val="006D7E72"/>
    <w:rsid w:val="006D7EA2"/>
    <w:rsid w:val="006E00B4"/>
    <w:rsid w:val="006E010F"/>
    <w:rsid w:val="006E016C"/>
    <w:rsid w:val="006E021C"/>
    <w:rsid w:val="006E037F"/>
    <w:rsid w:val="006E03CD"/>
    <w:rsid w:val="006E03E0"/>
    <w:rsid w:val="006E0445"/>
    <w:rsid w:val="006E0561"/>
    <w:rsid w:val="006E0567"/>
    <w:rsid w:val="006E058E"/>
    <w:rsid w:val="006E0594"/>
    <w:rsid w:val="006E0644"/>
    <w:rsid w:val="006E0686"/>
    <w:rsid w:val="006E06F3"/>
    <w:rsid w:val="006E074A"/>
    <w:rsid w:val="006E075E"/>
    <w:rsid w:val="006E08F4"/>
    <w:rsid w:val="006E08F6"/>
    <w:rsid w:val="006E0946"/>
    <w:rsid w:val="006E094C"/>
    <w:rsid w:val="006E09C9"/>
    <w:rsid w:val="006E09F2"/>
    <w:rsid w:val="006E0AE2"/>
    <w:rsid w:val="006E0AE8"/>
    <w:rsid w:val="006E0BA9"/>
    <w:rsid w:val="006E0BE0"/>
    <w:rsid w:val="006E0C20"/>
    <w:rsid w:val="006E0C7B"/>
    <w:rsid w:val="006E0CF4"/>
    <w:rsid w:val="006E0D13"/>
    <w:rsid w:val="006E0D19"/>
    <w:rsid w:val="006E0D34"/>
    <w:rsid w:val="006E0E0F"/>
    <w:rsid w:val="006E0E84"/>
    <w:rsid w:val="006E0FCA"/>
    <w:rsid w:val="006E12DC"/>
    <w:rsid w:val="006E1387"/>
    <w:rsid w:val="006E148C"/>
    <w:rsid w:val="006E14F7"/>
    <w:rsid w:val="006E14FD"/>
    <w:rsid w:val="006E150B"/>
    <w:rsid w:val="006E1519"/>
    <w:rsid w:val="006E16A3"/>
    <w:rsid w:val="006E1713"/>
    <w:rsid w:val="006E178A"/>
    <w:rsid w:val="006E1A54"/>
    <w:rsid w:val="006E1A78"/>
    <w:rsid w:val="006E1A7E"/>
    <w:rsid w:val="006E1A81"/>
    <w:rsid w:val="006E1B90"/>
    <w:rsid w:val="006E1BCC"/>
    <w:rsid w:val="006E1BED"/>
    <w:rsid w:val="006E1BF3"/>
    <w:rsid w:val="006E1C5D"/>
    <w:rsid w:val="006E1D0F"/>
    <w:rsid w:val="006E1D21"/>
    <w:rsid w:val="006E1D81"/>
    <w:rsid w:val="006E1DD2"/>
    <w:rsid w:val="006E1EB6"/>
    <w:rsid w:val="006E208B"/>
    <w:rsid w:val="006E2124"/>
    <w:rsid w:val="006E216A"/>
    <w:rsid w:val="006E2241"/>
    <w:rsid w:val="006E225A"/>
    <w:rsid w:val="006E2305"/>
    <w:rsid w:val="006E2350"/>
    <w:rsid w:val="006E2374"/>
    <w:rsid w:val="006E2388"/>
    <w:rsid w:val="006E23BA"/>
    <w:rsid w:val="006E24F2"/>
    <w:rsid w:val="006E24F7"/>
    <w:rsid w:val="006E2540"/>
    <w:rsid w:val="006E2565"/>
    <w:rsid w:val="006E266D"/>
    <w:rsid w:val="006E2689"/>
    <w:rsid w:val="006E2730"/>
    <w:rsid w:val="006E2739"/>
    <w:rsid w:val="006E2825"/>
    <w:rsid w:val="006E28D2"/>
    <w:rsid w:val="006E2A41"/>
    <w:rsid w:val="006E2A80"/>
    <w:rsid w:val="006E2B2D"/>
    <w:rsid w:val="006E2BE7"/>
    <w:rsid w:val="006E2BEE"/>
    <w:rsid w:val="006E2BF0"/>
    <w:rsid w:val="006E2CCF"/>
    <w:rsid w:val="006E2D2A"/>
    <w:rsid w:val="006E2E74"/>
    <w:rsid w:val="006E2E8A"/>
    <w:rsid w:val="006E2EF5"/>
    <w:rsid w:val="006E2F21"/>
    <w:rsid w:val="006E2F4A"/>
    <w:rsid w:val="006E2FA8"/>
    <w:rsid w:val="006E3171"/>
    <w:rsid w:val="006E317F"/>
    <w:rsid w:val="006E3221"/>
    <w:rsid w:val="006E33A5"/>
    <w:rsid w:val="006E3451"/>
    <w:rsid w:val="006E3584"/>
    <w:rsid w:val="006E359A"/>
    <w:rsid w:val="006E35D9"/>
    <w:rsid w:val="006E3653"/>
    <w:rsid w:val="006E36D7"/>
    <w:rsid w:val="006E3738"/>
    <w:rsid w:val="006E373E"/>
    <w:rsid w:val="006E3838"/>
    <w:rsid w:val="006E39A1"/>
    <w:rsid w:val="006E3B09"/>
    <w:rsid w:val="006E3B5E"/>
    <w:rsid w:val="006E3BE5"/>
    <w:rsid w:val="006E3CC1"/>
    <w:rsid w:val="006E3CC3"/>
    <w:rsid w:val="006E3CEB"/>
    <w:rsid w:val="006E3D3D"/>
    <w:rsid w:val="006E3DF9"/>
    <w:rsid w:val="006E3E95"/>
    <w:rsid w:val="006E3F6B"/>
    <w:rsid w:val="006E3FC9"/>
    <w:rsid w:val="006E40CB"/>
    <w:rsid w:val="006E4186"/>
    <w:rsid w:val="006E41D0"/>
    <w:rsid w:val="006E4254"/>
    <w:rsid w:val="006E426E"/>
    <w:rsid w:val="006E429B"/>
    <w:rsid w:val="006E429C"/>
    <w:rsid w:val="006E42DA"/>
    <w:rsid w:val="006E42F5"/>
    <w:rsid w:val="006E43EB"/>
    <w:rsid w:val="006E456C"/>
    <w:rsid w:val="006E4655"/>
    <w:rsid w:val="006E46AC"/>
    <w:rsid w:val="006E4855"/>
    <w:rsid w:val="006E4934"/>
    <w:rsid w:val="006E4A4A"/>
    <w:rsid w:val="006E4A5E"/>
    <w:rsid w:val="006E4AEA"/>
    <w:rsid w:val="006E4B62"/>
    <w:rsid w:val="006E4D00"/>
    <w:rsid w:val="006E4D52"/>
    <w:rsid w:val="006E4DAD"/>
    <w:rsid w:val="006E4DB0"/>
    <w:rsid w:val="006E4DDE"/>
    <w:rsid w:val="006E4E09"/>
    <w:rsid w:val="006E504D"/>
    <w:rsid w:val="006E5162"/>
    <w:rsid w:val="006E5169"/>
    <w:rsid w:val="006E5227"/>
    <w:rsid w:val="006E52CA"/>
    <w:rsid w:val="006E52D6"/>
    <w:rsid w:val="006E5369"/>
    <w:rsid w:val="006E53D9"/>
    <w:rsid w:val="006E53EF"/>
    <w:rsid w:val="006E5540"/>
    <w:rsid w:val="006E556F"/>
    <w:rsid w:val="006E55A7"/>
    <w:rsid w:val="006E59A0"/>
    <w:rsid w:val="006E5A57"/>
    <w:rsid w:val="006E5A65"/>
    <w:rsid w:val="006E5B0F"/>
    <w:rsid w:val="006E5C24"/>
    <w:rsid w:val="006E5C25"/>
    <w:rsid w:val="006E5D12"/>
    <w:rsid w:val="006E5E69"/>
    <w:rsid w:val="006E5E85"/>
    <w:rsid w:val="006E5E8D"/>
    <w:rsid w:val="006E5EDD"/>
    <w:rsid w:val="006E5F16"/>
    <w:rsid w:val="006E5F32"/>
    <w:rsid w:val="006E5FD7"/>
    <w:rsid w:val="006E5FDC"/>
    <w:rsid w:val="006E5FE5"/>
    <w:rsid w:val="006E60E5"/>
    <w:rsid w:val="006E613B"/>
    <w:rsid w:val="006E6143"/>
    <w:rsid w:val="006E61C8"/>
    <w:rsid w:val="006E61CB"/>
    <w:rsid w:val="006E6231"/>
    <w:rsid w:val="006E6288"/>
    <w:rsid w:val="006E6432"/>
    <w:rsid w:val="006E6553"/>
    <w:rsid w:val="006E6563"/>
    <w:rsid w:val="006E669E"/>
    <w:rsid w:val="006E66AC"/>
    <w:rsid w:val="006E677F"/>
    <w:rsid w:val="006E6785"/>
    <w:rsid w:val="006E678A"/>
    <w:rsid w:val="006E6805"/>
    <w:rsid w:val="006E6861"/>
    <w:rsid w:val="006E6872"/>
    <w:rsid w:val="006E6930"/>
    <w:rsid w:val="006E693B"/>
    <w:rsid w:val="006E697A"/>
    <w:rsid w:val="006E6A22"/>
    <w:rsid w:val="006E6A35"/>
    <w:rsid w:val="006E6A91"/>
    <w:rsid w:val="006E6ABD"/>
    <w:rsid w:val="006E6AD5"/>
    <w:rsid w:val="006E6BA8"/>
    <w:rsid w:val="006E6C5A"/>
    <w:rsid w:val="006E6D4D"/>
    <w:rsid w:val="006E6D70"/>
    <w:rsid w:val="006E6D7C"/>
    <w:rsid w:val="006E6D84"/>
    <w:rsid w:val="006E6DF0"/>
    <w:rsid w:val="006E6FAB"/>
    <w:rsid w:val="006E6FB8"/>
    <w:rsid w:val="006E6FBE"/>
    <w:rsid w:val="006E7082"/>
    <w:rsid w:val="006E7111"/>
    <w:rsid w:val="006E711B"/>
    <w:rsid w:val="006E7151"/>
    <w:rsid w:val="006E71E3"/>
    <w:rsid w:val="006E7224"/>
    <w:rsid w:val="006E72D1"/>
    <w:rsid w:val="006E733B"/>
    <w:rsid w:val="006E733F"/>
    <w:rsid w:val="006E73A0"/>
    <w:rsid w:val="006E74F8"/>
    <w:rsid w:val="006E769E"/>
    <w:rsid w:val="006E771E"/>
    <w:rsid w:val="006E79C1"/>
    <w:rsid w:val="006E7A00"/>
    <w:rsid w:val="006E7A9C"/>
    <w:rsid w:val="006E7C22"/>
    <w:rsid w:val="006E7D72"/>
    <w:rsid w:val="006E7DB1"/>
    <w:rsid w:val="006E7DBD"/>
    <w:rsid w:val="006E7DFA"/>
    <w:rsid w:val="006E7ECC"/>
    <w:rsid w:val="006E7F5F"/>
    <w:rsid w:val="006F0126"/>
    <w:rsid w:val="006F0235"/>
    <w:rsid w:val="006F0297"/>
    <w:rsid w:val="006F0340"/>
    <w:rsid w:val="006F03D0"/>
    <w:rsid w:val="006F04C6"/>
    <w:rsid w:val="006F04D4"/>
    <w:rsid w:val="006F0515"/>
    <w:rsid w:val="006F0520"/>
    <w:rsid w:val="006F05D6"/>
    <w:rsid w:val="006F05DB"/>
    <w:rsid w:val="006F05EC"/>
    <w:rsid w:val="006F063B"/>
    <w:rsid w:val="006F06CA"/>
    <w:rsid w:val="006F06FA"/>
    <w:rsid w:val="006F0723"/>
    <w:rsid w:val="006F076D"/>
    <w:rsid w:val="006F0885"/>
    <w:rsid w:val="006F0948"/>
    <w:rsid w:val="006F0971"/>
    <w:rsid w:val="006F0AA8"/>
    <w:rsid w:val="006F0AB7"/>
    <w:rsid w:val="006F0BD7"/>
    <w:rsid w:val="006F0C37"/>
    <w:rsid w:val="006F0C5C"/>
    <w:rsid w:val="006F0D5E"/>
    <w:rsid w:val="006F0F36"/>
    <w:rsid w:val="006F0F6F"/>
    <w:rsid w:val="006F0FB6"/>
    <w:rsid w:val="006F0FCA"/>
    <w:rsid w:val="006F1074"/>
    <w:rsid w:val="006F119F"/>
    <w:rsid w:val="006F121A"/>
    <w:rsid w:val="006F12D0"/>
    <w:rsid w:val="006F130E"/>
    <w:rsid w:val="006F1383"/>
    <w:rsid w:val="006F13A6"/>
    <w:rsid w:val="006F13B7"/>
    <w:rsid w:val="006F13DD"/>
    <w:rsid w:val="006F13E6"/>
    <w:rsid w:val="006F13F9"/>
    <w:rsid w:val="006F1480"/>
    <w:rsid w:val="006F14D9"/>
    <w:rsid w:val="006F153C"/>
    <w:rsid w:val="006F15E1"/>
    <w:rsid w:val="006F15EA"/>
    <w:rsid w:val="006F160A"/>
    <w:rsid w:val="006F16A1"/>
    <w:rsid w:val="006F17CC"/>
    <w:rsid w:val="006F17DB"/>
    <w:rsid w:val="006F17F0"/>
    <w:rsid w:val="006F1827"/>
    <w:rsid w:val="006F1883"/>
    <w:rsid w:val="006F19D5"/>
    <w:rsid w:val="006F1A87"/>
    <w:rsid w:val="006F1A8F"/>
    <w:rsid w:val="006F1AAA"/>
    <w:rsid w:val="006F1BE7"/>
    <w:rsid w:val="006F1C51"/>
    <w:rsid w:val="006F1D7A"/>
    <w:rsid w:val="006F1D81"/>
    <w:rsid w:val="006F1E0E"/>
    <w:rsid w:val="006F1E61"/>
    <w:rsid w:val="006F1EBE"/>
    <w:rsid w:val="006F1EC4"/>
    <w:rsid w:val="006F1EEA"/>
    <w:rsid w:val="006F1F8F"/>
    <w:rsid w:val="006F2022"/>
    <w:rsid w:val="006F2310"/>
    <w:rsid w:val="006F2329"/>
    <w:rsid w:val="006F232A"/>
    <w:rsid w:val="006F23E1"/>
    <w:rsid w:val="006F23F8"/>
    <w:rsid w:val="006F2407"/>
    <w:rsid w:val="006F24E5"/>
    <w:rsid w:val="006F2532"/>
    <w:rsid w:val="006F258C"/>
    <w:rsid w:val="006F2618"/>
    <w:rsid w:val="006F272D"/>
    <w:rsid w:val="006F2750"/>
    <w:rsid w:val="006F2790"/>
    <w:rsid w:val="006F287C"/>
    <w:rsid w:val="006F28A6"/>
    <w:rsid w:val="006F28B0"/>
    <w:rsid w:val="006F2929"/>
    <w:rsid w:val="006F2944"/>
    <w:rsid w:val="006F29FE"/>
    <w:rsid w:val="006F2A1D"/>
    <w:rsid w:val="006F2BCF"/>
    <w:rsid w:val="006F2C2C"/>
    <w:rsid w:val="006F2C3A"/>
    <w:rsid w:val="006F2CE9"/>
    <w:rsid w:val="006F2CEA"/>
    <w:rsid w:val="006F2DF0"/>
    <w:rsid w:val="006F2DFF"/>
    <w:rsid w:val="006F2F33"/>
    <w:rsid w:val="006F2F53"/>
    <w:rsid w:val="006F2F7C"/>
    <w:rsid w:val="006F2FD7"/>
    <w:rsid w:val="006F306E"/>
    <w:rsid w:val="006F310E"/>
    <w:rsid w:val="006F3189"/>
    <w:rsid w:val="006F3264"/>
    <w:rsid w:val="006F32EE"/>
    <w:rsid w:val="006F331A"/>
    <w:rsid w:val="006F33D1"/>
    <w:rsid w:val="006F33FD"/>
    <w:rsid w:val="006F34FE"/>
    <w:rsid w:val="006F3515"/>
    <w:rsid w:val="006F35A0"/>
    <w:rsid w:val="006F35E2"/>
    <w:rsid w:val="006F35FF"/>
    <w:rsid w:val="006F3792"/>
    <w:rsid w:val="006F3ABE"/>
    <w:rsid w:val="006F3BBE"/>
    <w:rsid w:val="006F3D03"/>
    <w:rsid w:val="006F3D4E"/>
    <w:rsid w:val="006F3D69"/>
    <w:rsid w:val="006F3DED"/>
    <w:rsid w:val="006F3E2B"/>
    <w:rsid w:val="006F3E57"/>
    <w:rsid w:val="006F3EC6"/>
    <w:rsid w:val="006F3FB5"/>
    <w:rsid w:val="006F3FBC"/>
    <w:rsid w:val="006F3FDA"/>
    <w:rsid w:val="006F3FE5"/>
    <w:rsid w:val="006F409F"/>
    <w:rsid w:val="006F4105"/>
    <w:rsid w:val="006F41DE"/>
    <w:rsid w:val="006F421E"/>
    <w:rsid w:val="006F4222"/>
    <w:rsid w:val="006F4285"/>
    <w:rsid w:val="006F428A"/>
    <w:rsid w:val="006F428F"/>
    <w:rsid w:val="006F42DD"/>
    <w:rsid w:val="006F43AF"/>
    <w:rsid w:val="006F43EC"/>
    <w:rsid w:val="006F4424"/>
    <w:rsid w:val="006F44AE"/>
    <w:rsid w:val="006F4566"/>
    <w:rsid w:val="006F45D8"/>
    <w:rsid w:val="006F45D9"/>
    <w:rsid w:val="006F47E2"/>
    <w:rsid w:val="006F47FF"/>
    <w:rsid w:val="006F49F5"/>
    <w:rsid w:val="006F4A74"/>
    <w:rsid w:val="006F4A80"/>
    <w:rsid w:val="006F4B19"/>
    <w:rsid w:val="006F4D09"/>
    <w:rsid w:val="006F4D49"/>
    <w:rsid w:val="006F4D9A"/>
    <w:rsid w:val="006F4EC7"/>
    <w:rsid w:val="006F4F44"/>
    <w:rsid w:val="006F5001"/>
    <w:rsid w:val="006F50EE"/>
    <w:rsid w:val="006F511B"/>
    <w:rsid w:val="006F5120"/>
    <w:rsid w:val="006F5381"/>
    <w:rsid w:val="006F539C"/>
    <w:rsid w:val="006F54A8"/>
    <w:rsid w:val="006F54B9"/>
    <w:rsid w:val="006F5530"/>
    <w:rsid w:val="006F5572"/>
    <w:rsid w:val="006F5697"/>
    <w:rsid w:val="006F56B2"/>
    <w:rsid w:val="006F56D5"/>
    <w:rsid w:val="006F5740"/>
    <w:rsid w:val="006F5751"/>
    <w:rsid w:val="006F5853"/>
    <w:rsid w:val="006F58DA"/>
    <w:rsid w:val="006F58E6"/>
    <w:rsid w:val="006F595E"/>
    <w:rsid w:val="006F5993"/>
    <w:rsid w:val="006F5A63"/>
    <w:rsid w:val="006F5AFD"/>
    <w:rsid w:val="006F5B90"/>
    <w:rsid w:val="006F5CDB"/>
    <w:rsid w:val="006F5E1B"/>
    <w:rsid w:val="006F5E40"/>
    <w:rsid w:val="006F5EA4"/>
    <w:rsid w:val="006F5ECE"/>
    <w:rsid w:val="006F5EDB"/>
    <w:rsid w:val="006F5F08"/>
    <w:rsid w:val="006F5FEC"/>
    <w:rsid w:val="006F605C"/>
    <w:rsid w:val="006F6088"/>
    <w:rsid w:val="006F6154"/>
    <w:rsid w:val="006F6194"/>
    <w:rsid w:val="006F619A"/>
    <w:rsid w:val="006F61C9"/>
    <w:rsid w:val="006F6210"/>
    <w:rsid w:val="006F62C5"/>
    <w:rsid w:val="006F639F"/>
    <w:rsid w:val="006F6465"/>
    <w:rsid w:val="006F64B2"/>
    <w:rsid w:val="006F651D"/>
    <w:rsid w:val="006F6548"/>
    <w:rsid w:val="006F661A"/>
    <w:rsid w:val="006F6630"/>
    <w:rsid w:val="006F6706"/>
    <w:rsid w:val="006F6772"/>
    <w:rsid w:val="006F677E"/>
    <w:rsid w:val="006F699D"/>
    <w:rsid w:val="006F69C6"/>
    <w:rsid w:val="006F6AA1"/>
    <w:rsid w:val="006F6AA3"/>
    <w:rsid w:val="006F6ACF"/>
    <w:rsid w:val="006F6ADD"/>
    <w:rsid w:val="006F6B34"/>
    <w:rsid w:val="006F6D13"/>
    <w:rsid w:val="006F6D47"/>
    <w:rsid w:val="006F6D85"/>
    <w:rsid w:val="006F6E5B"/>
    <w:rsid w:val="006F6F14"/>
    <w:rsid w:val="006F6FA1"/>
    <w:rsid w:val="006F6FB3"/>
    <w:rsid w:val="006F6FDA"/>
    <w:rsid w:val="006F7004"/>
    <w:rsid w:val="006F702B"/>
    <w:rsid w:val="006F7031"/>
    <w:rsid w:val="006F7075"/>
    <w:rsid w:val="006F70B3"/>
    <w:rsid w:val="006F722B"/>
    <w:rsid w:val="006F7301"/>
    <w:rsid w:val="006F7339"/>
    <w:rsid w:val="006F7471"/>
    <w:rsid w:val="006F74CA"/>
    <w:rsid w:val="006F7593"/>
    <w:rsid w:val="006F75AA"/>
    <w:rsid w:val="006F769A"/>
    <w:rsid w:val="006F76D4"/>
    <w:rsid w:val="006F7705"/>
    <w:rsid w:val="006F7707"/>
    <w:rsid w:val="006F7801"/>
    <w:rsid w:val="006F7941"/>
    <w:rsid w:val="006F797D"/>
    <w:rsid w:val="006F79C8"/>
    <w:rsid w:val="006F79D6"/>
    <w:rsid w:val="006F7AB0"/>
    <w:rsid w:val="006F7B52"/>
    <w:rsid w:val="006F7B59"/>
    <w:rsid w:val="006F7BCA"/>
    <w:rsid w:val="006F7C7E"/>
    <w:rsid w:val="006F7CEB"/>
    <w:rsid w:val="006F7CFE"/>
    <w:rsid w:val="006F7D14"/>
    <w:rsid w:val="006F7E00"/>
    <w:rsid w:val="006F7E97"/>
    <w:rsid w:val="006F7F30"/>
    <w:rsid w:val="006F7FAC"/>
    <w:rsid w:val="00700080"/>
    <w:rsid w:val="007000F0"/>
    <w:rsid w:val="0070010D"/>
    <w:rsid w:val="007001FB"/>
    <w:rsid w:val="0070020E"/>
    <w:rsid w:val="00700320"/>
    <w:rsid w:val="007003AE"/>
    <w:rsid w:val="00700432"/>
    <w:rsid w:val="007004BA"/>
    <w:rsid w:val="007004F3"/>
    <w:rsid w:val="007005DE"/>
    <w:rsid w:val="007006B1"/>
    <w:rsid w:val="007007C3"/>
    <w:rsid w:val="0070088C"/>
    <w:rsid w:val="0070092D"/>
    <w:rsid w:val="0070093F"/>
    <w:rsid w:val="0070094F"/>
    <w:rsid w:val="007009C2"/>
    <w:rsid w:val="00700AAA"/>
    <w:rsid w:val="00700AEB"/>
    <w:rsid w:val="00700B5B"/>
    <w:rsid w:val="00700B8A"/>
    <w:rsid w:val="00700C47"/>
    <w:rsid w:val="00700D7C"/>
    <w:rsid w:val="00700DE5"/>
    <w:rsid w:val="00700E2F"/>
    <w:rsid w:val="00700E9E"/>
    <w:rsid w:val="00700EB4"/>
    <w:rsid w:val="00700EF4"/>
    <w:rsid w:val="00700F1E"/>
    <w:rsid w:val="00700F7D"/>
    <w:rsid w:val="00700FA3"/>
    <w:rsid w:val="00700FC2"/>
    <w:rsid w:val="00700FD9"/>
    <w:rsid w:val="00701006"/>
    <w:rsid w:val="00701007"/>
    <w:rsid w:val="00701059"/>
    <w:rsid w:val="0070106E"/>
    <w:rsid w:val="007010A8"/>
    <w:rsid w:val="007010D5"/>
    <w:rsid w:val="00701101"/>
    <w:rsid w:val="00701162"/>
    <w:rsid w:val="007011B6"/>
    <w:rsid w:val="0070127E"/>
    <w:rsid w:val="0070133E"/>
    <w:rsid w:val="007013BF"/>
    <w:rsid w:val="0070147F"/>
    <w:rsid w:val="00701487"/>
    <w:rsid w:val="0070150A"/>
    <w:rsid w:val="0070152F"/>
    <w:rsid w:val="007015EC"/>
    <w:rsid w:val="00701637"/>
    <w:rsid w:val="00701665"/>
    <w:rsid w:val="007016AD"/>
    <w:rsid w:val="007016CD"/>
    <w:rsid w:val="00701764"/>
    <w:rsid w:val="00701839"/>
    <w:rsid w:val="00701848"/>
    <w:rsid w:val="0070195D"/>
    <w:rsid w:val="007019B8"/>
    <w:rsid w:val="007019F8"/>
    <w:rsid w:val="00701C15"/>
    <w:rsid w:val="00701E61"/>
    <w:rsid w:val="00701ED5"/>
    <w:rsid w:val="00701EF1"/>
    <w:rsid w:val="00701F10"/>
    <w:rsid w:val="0070205B"/>
    <w:rsid w:val="00702072"/>
    <w:rsid w:val="007020B8"/>
    <w:rsid w:val="0070212C"/>
    <w:rsid w:val="0070218C"/>
    <w:rsid w:val="00702259"/>
    <w:rsid w:val="007022AE"/>
    <w:rsid w:val="00702337"/>
    <w:rsid w:val="0070234D"/>
    <w:rsid w:val="0070238E"/>
    <w:rsid w:val="007024C5"/>
    <w:rsid w:val="007025E3"/>
    <w:rsid w:val="0070261C"/>
    <w:rsid w:val="00702664"/>
    <w:rsid w:val="00702670"/>
    <w:rsid w:val="0070271F"/>
    <w:rsid w:val="0070274D"/>
    <w:rsid w:val="0070278A"/>
    <w:rsid w:val="007027BE"/>
    <w:rsid w:val="007027FA"/>
    <w:rsid w:val="0070280B"/>
    <w:rsid w:val="0070281A"/>
    <w:rsid w:val="0070292C"/>
    <w:rsid w:val="0070293F"/>
    <w:rsid w:val="00702951"/>
    <w:rsid w:val="00702A9C"/>
    <w:rsid w:val="00702ABB"/>
    <w:rsid w:val="00702B76"/>
    <w:rsid w:val="00702C4A"/>
    <w:rsid w:val="00702C6D"/>
    <w:rsid w:val="00702CDC"/>
    <w:rsid w:val="00702CF5"/>
    <w:rsid w:val="00702DC0"/>
    <w:rsid w:val="00702DFF"/>
    <w:rsid w:val="00702E0C"/>
    <w:rsid w:val="00702E25"/>
    <w:rsid w:val="00702E81"/>
    <w:rsid w:val="00702EAB"/>
    <w:rsid w:val="00702EDB"/>
    <w:rsid w:val="00702F83"/>
    <w:rsid w:val="00702F87"/>
    <w:rsid w:val="00702FDF"/>
    <w:rsid w:val="00702FEB"/>
    <w:rsid w:val="0070303D"/>
    <w:rsid w:val="007030BE"/>
    <w:rsid w:val="00703116"/>
    <w:rsid w:val="00703132"/>
    <w:rsid w:val="0070313F"/>
    <w:rsid w:val="007032B9"/>
    <w:rsid w:val="0070337A"/>
    <w:rsid w:val="00703395"/>
    <w:rsid w:val="007033B8"/>
    <w:rsid w:val="0070346A"/>
    <w:rsid w:val="0070349B"/>
    <w:rsid w:val="007034E4"/>
    <w:rsid w:val="00703585"/>
    <w:rsid w:val="007035F8"/>
    <w:rsid w:val="00703611"/>
    <w:rsid w:val="00703734"/>
    <w:rsid w:val="00703753"/>
    <w:rsid w:val="007037BA"/>
    <w:rsid w:val="007038C5"/>
    <w:rsid w:val="00703973"/>
    <w:rsid w:val="007039F8"/>
    <w:rsid w:val="00703A66"/>
    <w:rsid w:val="00703A99"/>
    <w:rsid w:val="00703BF9"/>
    <w:rsid w:val="00703C85"/>
    <w:rsid w:val="00703D6D"/>
    <w:rsid w:val="00703DF4"/>
    <w:rsid w:val="00703F89"/>
    <w:rsid w:val="00704115"/>
    <w:rsid w:val="00704127"/>
    <w:rsid w:val="007041B8"/>
    <w:rsid w:val="00704352"/>
    <w:rsid w:val="00704366"/>
    <w:rsid w:val="0070439F"/>
    <w:rsid w:val="0070454C"/>
    <w:rsid w:val="00704640"/>
    <w:rsid w:val="007046EA"/>
    <w:rsid w:val="0070471D"/>
    <w:rsid w:val="0070476E"/>
    <w:rsid w:val="00704775"/>
    <w:rsid w:val="007047BF"/>
    <w:rsid w:val="0070489C"/>
    <w:rsid w:val="007048A0"/>
    <w:rsid w:val="007048EB"/>
    <w:rsid w:val="0070494E"/>
    <w:rsid w:val="007049A5"/>
    <w:rsid w:val="00704A64"/>
    <w:rsid w:val="00704B06"/>
    <w:rsid w:val="00704B24"/>
    <w:rsid w:val="00704C2E"/>
    <w:rsid w:val="00704D38"/>
    <w:rsid w:val="00704D3E"/>
    <w:rsid w:val="00704E0A"/>
    <w:rsid w:val="00704E2D"/>
    <w:rsid w:val="00704E6E"/>
    <w:rsid w:val="00704ED6"/>
    <w:rsid w:val="00704F0F"/>
    <w:rsid w:val="007050A6"/>
    <w:rsid w:val="007051F7"/>
    <w:rsid w:val="00705210"/>
    <w:rsid w:val="007052AC"/>
    <w:rsid w:val="00705362"/>
    <w:rsid w:val="00705388"/>
    <w:rsid w:val="007053CC"/>
    <w:rsid w:val="007053D3"/>
    <w:rsid w:val="00705406"/>
    <w:rsid w:val="0070541D"/>
    <w:rsid w:val="00705423"/>
    <w:rsid w:val="00705476"/>
    <w:rsid w:val="007058AD"/>
    <w:rsid w:val="00705936"/>
    <w:rsid w:val="0070598A"/>
    <w:rsid w:val="007059C1"/>
    <w:rsid w:val="00705A0E"/>
    <w:rsid w:val="00705A10"/>
    <w:rsid w:val="00705A27"/>
    <w:rsid w:val="00705A85"/>
    <w:rsid w:val="00705ADE"/>
    <w:rsid w:val="00705AE7"/>
    <w:rsid w:val="00705B34"/>
    <w:rsid w:val="00705BCF"/>
    <w:rsid w:val="00705BE1"/>
    <w:rsid w:val="00705C11"/>
    <w:rsid w:val="00705C56"/>
    <w:rsid w:val="00705D1A"/>
    <w:rsid w:val="00705D7E"/>
    <w:rsid w:val="00705E52"/>
    <w:rsid w:val="00705F13"/>
    <w:rsid w:val="00705FE7"/>
    <w:rsid w:val="00706083"/>
    <w:rsid w:val="0070619C"/>
    <w:rsid w:val="007061A0"/>
    <w:rsid w:val="007061C0"/>
    <w:rsid w:val="00706256"/>
    <w:rsid w:val="00706257"/>
    <w:rsid w:val="007062AC"/>
    <w:rsid w:val="007062BE"/>
    <w:rsid w:val="007063DF"/>
    <w:rsid w:val="00706442"/>
    <w:rsid w:val="007064E6"/>
    <w:rsid w:val="007065EB"/>
    <w:rsid w:val="00706669"/>
    <w:rsid w:val="007066B6"/>
    <w:rsid w:val="007066E9"/>
    <w:rsid w:val="0070673C"/>
    <w:rsid w:val="0070688C"/>
    <w:rsid w:val="007069E9"/>
    <w:rsid w:val="00706A71"/>
    <w:rsid w:val="00706AA7"/>
    <w:rsid w:val="00706B6A"/>
    <w:rsid w:val="00706B96"/>
    <w:rsid w:val="00706C6C"/>
    <w:rsid w:val="00706D97"/>
    <w:rsid w:val="00706DE2"/>
    <w:rsid w:val="00706DF3"/>
    <w:rsid w:val="00706E01"/>
    <w:rsid w:val="00706E5F"/>
    <w:rsid w:val="00706E8E"/>
    <w:rsid w:val="00706EB2"/>
    <w:rsid w:val="00707216"/>
    <w:rsid w:val="0070723D"/>
    <w:rsid w:val="0070736B"/>
    <w:rsid w:val="00707375"/>
    <w:rsid w:val="0070745C"/>
    <w:rsid w:val="0070750A"/>
    <w:rsid w:val="0070754B"/>
    <w:rsid w:val="00707574"/>
    <w:rsid w:val="0070758B"/>
    <w:rsid w:val="007075B8"/>
    <w:rsid w:val="00707642"/>
    <w:rsid w:val="00707710"/>
    <w:rsid w:val="00707882"/>
    <w:rsid w:val="0070788A"/>
    <w:rsid w:val="007078A7"/>
    <w:rsid w:val="0070791F"/>
    <w:rsid w:val="00707968"/>
    <w:rsid w:val="00707A2D"/>
    <w:rsid w:val="00707AAF"/>
    <w:rsid w:val="00707BF4"/>
    <w:rsid w:val="0071002B"/>
    <w:rsid w:val="007101C7"/>
    <w:rsid w:val="00710204"/>
    <w:rsid w:val="0071021D"/>
    <w:rsid w:val="00710252"/>
    <w:rsid w:val="007103F5"/>
    <w:rsid w:val="007104DB"/>
    <w:rsid w:val="007104DC"/>
    <w:rsid w:val="00710558"/>
    <w:rsid w:val="0071066E"/>
    <w:rsid w:val="00710695"/>
    <w:rsid w:val="007106E0"/>
    <w:rsid w:val="007106E6"/>
    <w:rsid w:val="00710757"/>
    <w:rsid w:val="007107A1"/>
    <w:rsid w:val="0071080D"/>
    <w:rsid w:val="007108AE"/>
    <w:rsid w:val="007108B9"/>
    <w:rsid w:val="007108DD"/>
    <w:rsid w:val="00710959"/>
    <w:rsid w:val="00710988"/>
    <w:rsid w:val="0071098B"/>
    <w:rsid w:val="00710A66"/>
    <w:rsid w:val="00710A89"/>
    <w:rsid w:val="00710AAC"/>
    <w:rsid w:val="00710B64"/>
    <w:rsid w:val="00710C01"/>
    <w:rsid w:val="00710C65"/>
    <w:rsid w:val="00710D27"/>
    <w:rsid w:val="00710F17"/>
    <w:rsid w:val="00710F66"/>
    <w:rsid w:val="00710FBA"/>
    <w:rsid w:val="00711087"/>
    <w:rsid w:val="007111B6"/>
    <w:rsid w:val="00711240"/>
    <w:rsid w:val="00711243"/>
    <w:rsid w:val="0071129E"/>
    <w:rsid w:val="00711430"/>
    <w:rsid w:val="00711446"/>
    <w:rsid w:val="00711580"/>
    <w:rsid w:val="007115E9"/>
    <w:rsid w:val="007115F2"/>
    <w:rsid w:val="0071173F"/>
    <w:rsid w:val="00711826"/>
    <w:rsid w:val="0071183C"/>
    <w:rsid w:val="00711862"/>
    <w:rsid w:val="0071192E"/>
    <w:rsid w:val="00711985"/>
    <w:rsid w:val="007119A1"/>
    <w:rsid w:val="00711AA4"/>
    <w:rsid w:val="00711ACE"/>
    <w:rsid w:val="00711B50"/>
    <w:rsid w:val="00711B6C"/>
    <w:rsid w:val="00711BC3"/>
    <w:rsid w:val="00711C80"/>
    <w:rsid w:val="00711D52"/>
    <w:rsid w:val="00711DE1"/>
    <w:rsid w:val="00711EFB"/>
    <w:rsid w:val="00711F9B"/>
    <w:rsid w:val="00711FF8"/>
    <w:rsid w:val="00712036"/>
    <w:rsid w:val="0071203B"/>
    <w:rsid w:val="0071206A"/>
    <w:rsid w:val="00712112"/>
    <w:rsid w:val="00712118"/>
    <w:rsid w:val="00712133"/>
    <w:rsid w:val="0071213D"/>
    <w:rsid w:val="00712150"/>
    <w:rsid w:val="00712251"/>
    <w:rsid w:val="00712331"/>
    <w:rsid w:val="0071235D"/>
    <w:rsid w:val="00712364"/>
    <w:rsid w:val="007123E7"/>
    <w:rsid w:val="00712410"/>
    <w:rsid w:val="007124AD"/>
    <w:rsid w:val="00712501"/>
    <w:rsid w:val="00712510"/>
    <w:rsid w:val="007125C7"/>
    <w:rsid w:val="007126AF"/>
    <w:rsid w:val="00712710"/>
    <w:rsid w:val="00712731"/>
    <w:rsid w:val="00712806"/>
    <w:rsid w:val="0071281A"/>
    <w:rsid w:val="00712938"/>
    <w:rsid w:val="00712957"/>
    <w:rsid w:val="00712CD1"/>
    <w:rsid w:val="00712D81"/>
    <w:rsid w:val="00712F1E"/>
    <w:rsid w:val="00712F5D"/>
    <w:rsid w:val="00712FB7"/>
    <w:rsid w:val="00713103"/>
    <w:rsid w:val="0071317E"/>
    <w:rsid w:val="00713182"/>
    <w:rsid w:val="007131C1"/>
    <w:rsid w:val="007131FF"/>
    <w:rsid w:val="00713295"/>
    <w:rsid w:val="00713334"/>
    <w:rsid w:val="00713418"/>
    <w:rsid w:val="00713486"/>
    <w:rsid w:val="007134A8"/>
    <w:rsid w:val="00713596"/>
    <w:rsid w:val="007135F0"/>
    <w:rsid w:val="007136FF"/>
    <w:rsid w:val="00713A33"/>
    <w:rsid w:val="00713B0C"/>
    <w:rsid w:val="00713B55"/>
    <w:rsid w:val="00713B70"/>
    <w:rsid w:val="00713BFD"/>
    <w:rsid w:val="00713CAF"/>
    <w:rsid w:val="00713D00"/>
    <w:rsid w:val="00713DA1"/>
    <w:rsid w:val="00713DB6"/>
    <w:rsid w:val="00713DF1"/>
    <w:rsid w:val="00713F06"/>
    <w:rsid w:val="00713F58"/>
    <w:rsid w:val="00713FA2"/>
    <w:rsid w:val="00713FD9"/>
    <w:rsid w:val="007140C5"/>
    <w:rsid w:val="007140C6"/>
    <w:rsid w:val="007141A3"/>
    <w:rsid w:val="007141BC"/>
    <w:rsid w:val="00714216"/>
    <w:rsid w:val="0071421F"/>
    <w:rsid w:val="0071435F"/>
    <w:rsid w:val="0071446D"/>
    <w:rsid w:val="00714573"/>
    <w:rsid w:val="007146AC"/>
    <w:rsid w:val="007146DE"/>
    <w:rsid w:val="007147B2"/>
    <w:rsid w:val="0071485D"/>
    <w:rsid w:val="00714965"/>
    <w:rsid w:val="00714979"/>
    <w:rsid w:val="00714994"/>
    <w:rsid w:val="0071499B"/>
    <w:rsid w:val="00714A39"/>
    <w:rsid w:val="00714B32"/>
    <w:rsid w:val="00714B54"/>
    <w:rsid w:val="00714B5C"/>
    <w:rsid w:val="00714BD4"/>
    <w:rsid w:val="00714EE0"/>
    <w:rsid w:val="00714FEC"/>
    <w:rsid w:val="007150A0"/>
    <w:rsid w:val="0071517A"/>
    <w:rsid w:val="007151F7"/>
    <w:rsid w:val="007151FB"/>
    <w:rsid w:val="00715257"/>
    <w:rsid w:val="007152C7"/>
    <w:rsid w:val="00715327"/>
    <w:rsid w:val="007153D0"/>
    <w:rsid w:val="0071540D"/>
    <w:rsid w:val="00715478"/>
    <w:rsid w:val="007155A4"/>
    <w:rsid w:val="007155A9"/>
    <w:rsid w:val="007155E9"/>
    <w:rsid w:val="0071560C"/>
    <w:rsid w:val="00715692"/>
    <w:rsid w:val="007156B2"/>
    <w:rsid w:val="007156C8"/>
    <w:rsid w:val="007156D6"/>
    <w:rsid w:val="007156DD"/>
    <w:rsid w:val="0071571C"/>
    <w:rsid w:val="00715872"/>
    <w:rsid w:val="0071588E"/>
    <w:rsid w:val="00715919"/>
    <w:rsid w:val="007159AC"/>
    <w:rsid w:val="007159BA"/>
    <w:rsid w:val="00715B17"/>
    <w:rsid w:val="00715BB0"/>
    <w:rsid w:val="00715BCA"/>
    <w:rsid w:val="00715C27"/>
    <w:rsid w:val="00715CA3"/>
    <w:rsid w:val="00715D75"/>
    <w:rsid w:val="00715DED"/>
    <w:rsid w:val="00715E83"/>
    <w:rsid w:val="00715E8E"/>
    <w:rsid w:val="00715ED0"/>
    <w:rsid w:val="00715F55"/>
    <w:rsid w:val="00715F9B"/>
    <w:rsid w:val="00716063"/>
    <w:rsid w:val="0071608C"/>
    <w:rsid w:val="0071609E"/>
    <w:rsid w:val="00716100"/>
    <w:rsid w:val="00716164"/>
    <w:rsid w:val="0071617E"/>
    <w:rsid w:val="00716199"/>
    <w:rsid w:val="00716247"/>
    <w:rsid w:val="007163A9"/>
    <w:rsid w:val="007163C4"/>
    <w:rsid w:val="00716472"/>
    <w:rsid w:val="007164AF"/>
    <w:rsid w:val="007164E8"/>
    <w:rsid w:val="00716558"/>
    <w:rsid w:val="00716570"/>
    <w:rsid w:val="00716619"/>
    <w:rsid w:val="0071664B"/>
    <w:rsid w:val="0071669D"/>
    <w:rsid w:val="007166A9"/>
    <w:rsid w:val="007166D3"/>
    <w:rsid w:val="007166EB"/>
    <w:rsid w:val="007167DF"/>
    <w:rsid w:val="0071687F"/>
    <w:rsid w:val="007168A5"/>
    <w:rsid w:val="007168E8"/>
    <w:rsid w:val="0071692C"/>
    <w:rsid w:val="00716944"/>
    <w:rsid w:val="00716A21"/>
    <w:rsid w:val="00716ABA"/>
    <w:rsid w:val="00716B37"/>
    <w:rsid w:val="00716BFD"/>
    <w:rsid w:val="00716C1F"/>
    <w:rsid w:val="00716C53"/>
    <w:rsid w:val="00716CDA"/>
    <w:rsid w:val="00716CF0"/>
    <w:rsid w:val="00716D3B"/>
    <w:rsid w:val="00716DFA"/>
    <w:rsid w:val="00716E60"/>
    <w:rsid w:val="00716E9D"/>
    <w:rsid w:val="00716F2D"/>
    <w:rsid w:val="00716F59"/>
    <w:rsid w:val="00716F9E"/>
    <w:rsid w:val="0071705E"/>
    <w:rsid w:val="007171C3"/>
    <w:rsid w:val="00717246"/>
    <w:rsid w:val="00717298"/>
    <w:rsid w:val="007173BC"/>
    <w:rsid w:val="0071740B"/>
    <w:rsid w:val="00717471"/>
    <w:rsid w:val="007174C2"/>
    <w:rsid w:val="007174C9"/>
    <w:rsid w:val="007174F4"/>
    <w:rsid w:val="00717501"/>
    <w:rsid w:val="0071751C"/>
    <w:rsid w:val="00717668"/>
    <w:rsid w:val="007176FE"/>
    <w:rsid w:val="00717730"/>
    <w:rsid w:val="0071789F"/>
    <w:rsid w:val="0071794A"/>
    <w:rsid w:val="00717B9F"/>
    <w:rsid w:val="00717BBC"/>
    <w:rsid w:val="00717BD2"/>
    <w:rsid w:val="00717C03"/>
    <w:rsid w:val="00717C8E"/>
    <w:rsid w:val="00717D0F"/>
    <w:rsid w:val="00717D38"/>
    <w:rsid w:val="00717DA2"/>
    <w:rsid w:val="00717DB0"/>
    <w:rsid w:val="00717DB4"/>
    <w:rsid w:val="00717E18"/>
    <w:rsid w:val="00717E47"/>
    <w:rsid w:val="00717E7C"/>
    <w:rsid w:val="00717E88"/>
    <w:rsid w:val="00717F23"/>
    <w:rsid w:val="00717FE9"/>
    <w:rsid w:val="0072009F"/>
    <w:rsid w:val="00720176"/>
    <w:rsid w:val="00720330"/>
    <w:rsid w:val="00720428"/>
    <w:rsid w:val="007204B1"/>
    <w:rsid w:val="0072050E"/>
    <w:rsid w:val="00720579"/>
    <w:rsid w:val="007205B1"/>
    <w:rsid w:val="0072062A"/>
    <w:rsid w:val="0072083E"/>
    <w:rsid w:val="007208B8"/>
    <w:rsid w:val="00720908"/>
    <w:rsid w:val="00720911"/>
    <w:rsid w:val="00720916"/>
    <w:rsid w:val="00720A2B"/>
    <w:rsid w:val="00720A57"/>
    <w:rsid w:val="00720A5A"/>
    <w:rsid w:val="00720A92"/>
    <w:rsid w:val="00720AD4"/>
    <w:rsid w:val="00720B09"/>
    <w:rsid w:val="00720B48"/>
    <w:rsid w:val="00720BEA"/>
    <w:rsid w:val="00720C82"/>
    <w:rsid w:val="00720C8F"/>
    <w:rsid w:val="00720D88"/>
    <w:rsid w:val="00720E23"/>
    <w:rsid w:val="00720E42"/>
    <w:rsid w:val="00720EC5"/>
    <w:rsid w:val="00720ECC"/>
    <w:rsid w:val="00720F07"/>
    <w:rsid w:val="00720F12"/>
    <w:rsid w:val="0072106A"/>
    <w:rsid w:val="007210F1"/>
    <w:rsid w:val="00721117"/>
    <w:rsid w:val="00721144"/>
    <w:rsid w:val="00721191"/>
    <w:rsid w:val="007211F1"/>
    <w:rsid w:val="0072124D"/>
    <w:rsid w:val="0072127D"/>
    <w:rsid w:val="00721354"/>
    <w:rsid w:val="007213AA"/>
    <w:rsid w:val="007213CC"/>
    <w:rsid w:val="007213FC"/>
    <w:rsid w:val="00721461"/>
    <w:rsid w:val="007215EA"/>
    <w:rsid w:val="007215EB"/>
    <w:rsid w:val="00721607"/>
    <w:rsid w:val="007216AD"/>
    <w:rsid w:val="0072185E"/>
    <w:rsid w:val="007218C9"/>
    <w:rsid w:val="007218FC"/>
    <w:rsid w:val="00721973"/>
    <w:rsid w:val="007219C8"/>
    <w:rsid w:val="00721A1F"/>
    <w:rsid w:val="00721A94"/>
    <w:rsid w:val="00721AB4"/>
    <w:rsid w:val="00721AE6"/>
    <w:rsid w:val="00721AE9"/>
    <w:rsid w:val="00721BA5"/>
    <w:rsid w:val="00721BC4"/>
    <w:rsid w:val="00721BF5"/>
    <w:rsid w:val="00721D0D"/>
    <w:rsid w:val="00721DC3"/>
    <w:rsid w:val="00721DEA"/>
    <w:rsid w:val="00721DF2"/>
    <w:rsid w:val="00721ECB"/>
    <w:rsid w:val="0072208B"/>
    <w:rsid w:val="0072210C"/>
    <w:rsid w:val="007221FC"/>
    <w:rsid w:val="0072225A"/>
    <w:rsid w:val="007222DE"/>
    <w:rsid w:val="00722361"/>
    <w:rsid w:val="007223C0"/>
    <w:rsid w:val="007225DE"/>
    <w:rsid w:val="00722647"/>
    <w:rsid w:val="007226DC"/>
    <w:rsid w:val="00722750"/>
    <w:rsid w:val="0072275D"/>
    <w:rsid w:val="0072278C"/>
    <w:rsid w:val="0072279E"/>
    <w:rsid w:val="007227A9"/>
    <w:rsid w:val="00722904"/>
    <w:rsid w:val="007229D7"/>
    <w:rsid w:val="00722A09"/>
    <w:rsid w:val="00722A0C"/>
    <w:rsid w:val="00722ACD"/>
    <w:rsid w:val="00722ADB"/>
    <w:rsid w:val="00722B33"/>
    <w:rsid w:val="00722B53"/>
    <w:rsid w:val="00722BD2"/>
    <w:rsid w:val="00722C4F"/>
    <w:rsid w:val="00722D44"/>
    <w:rsid w:val="00722DBE"/>
    <w:rsid w:val="00722DF8"/>
    <w:rsid w:val="00722F90"/>
    <w:rsid w:val="00722FA2"/>
    <w:rsid w:val="00722FCF"/>
    <w:rsid w:val="00723045"/>
    <w:rsid w:val="007230EC"/>
    <w:rsid w:val="0072316F"/>
    <w:rsid w:val="007231C4"/>
    <w:rsid w:val="00723232"/>
    <w:rsid w:val="00723438"/>
    <w:rsid w:val="0072349E"/>
    <w:rsid w:val="00723550"/>
    <w:rsid w:val="00723551"/>
    <w:rsid w:val="0072359B"/>
    <w:rsid w:val="00723712"/>
    <w:rsid w:val="007237EB"/>
    <w:rsid w:val="00723888"/>
    <w:rsid w:val="0072389B"/>
    <w:rsid w:val="00723909"/>
    <w:rsid w:val="00723973"/>
    <w:rsid w:val="007239F0"/>
    <w:rsid w:val="00723A38"/>
    <w:rsid w:val="00723A41"/>
    <w:rsid w:val="00723ACD"/>
    <w:rsid w:val="00723B36"/>
    <w:rsid w:val="00723BA0"/>
    <w:rsid w:val="00723C06"/>
    <w:rsid w:val="00723C6E"/>
    <w:rsid w:val="00723DC0"/>
    <w:rsid w:val="00723E9A"/>
    <w:rsid w:val="00723ED0"/>
    <w:rsid w:val="00723EFD"/>
    <w:rsid w:val="00723F02"/>
    <w:rsid w:val="00723F15"/>
    <w:rsid w:val="00724168"/>
    <w:rsid w:val="00724279"/>
    <w:rsid w:val="0072430D"/>
    <w:rsid w:val="00724422"/>
    <w:rsid w:val="00724468"/>
    <w:rsid w:val="0072466A"/>
    <w:rsid w:val="007246C3"/>
    <w:rsid w:val="00724746"/>
    <w:rsid w:val="0072477C"/>
    <w:rsid w:val="007248D1"/>
    <w:rsid w:val="00724947"/>
    <w:rsid w:val="007249A7"/>
    <w:rsid w:val="00724A0A"/>
    <w:rsid w:val="00724A15"/>
    <w:rsid w:val="00724A19"/>
    <w:rsid w:val="00724A4C"/>
    <w:rsid w:val="00724A72"/>
    <w:rsid w:val="00724AB5"/>
    <w:rsid w:val="00724C37"/>
    <w:rsid w:val="00724DD0"/>
    <w:rsid w:val="00724DE6"/>
    <w:rsid w:val="00724E10"/>
    <w:rsid w:val="00724E94"/>
    <w:rsid w:val="00724EE7"/>
    <w:rsid w:val="00724EEB"/>
    <w:rsid w:val="00724F0E"/>
    <w:rsid w:val="00724F2E"/>
    <w:rsid w:val="00724FD9"/>
    <w:rsid w:val="0072509F"/>
    <w:rsid w:val="007250A0"/>
    <w:rsid w:val="007250FD"/>
    <w:rsid w:val="00725155"/>
    <w:rsid w:val="00725175"/>
    <w:rsid w:val="00725188"/>
    <w:rsid w:val="0072525A"/>
    <w:rsid w:val="00725333"/>
    <w:rsid w:val="0072535B"/>
    <w:rsid w:val="0072536C"/>
    <w:rsid w:val="00725400"/>
    <w:rsid w:val="00725408"/>
    <w:rsid w:val="00725445"/>
    <w:rsid w:val="00725477"/>
    <w:rsid w:val="00725563"/>
    <w:rsid w:val="007256C7"/>
    <w:rsid w:val="007256F9"/>
    <w:rsid w:val="00725869"/>
    <w:rsid w:val="00725904"/>
    <w:rsid w:val="00725909"/>
    <w:rsid w:val="0072598C"/>
    <w:rsid w:val="007259E6"/>
    <w:rsid w:val="00725A1E"/>
    <w:rsid w:val="00725A79"/>
    <w:rsid w:val="00725AE7"/>
    <w:rsid w:val="00725AEC"/>
    <w:rsid w:val="00725BC3"/>
    <w:rsid w:val="00725C2C"/>
    <w:rsid w:val="00725CDC"/>
    <w:rsid w:val="00725CF8"/>
    <w:rsid w:val="00725DE3"/>
    <w:rsid w:val="00725DE7"/>
    <w:rsid w:val="00725EC0"/>
    <w:rsid w:val="00725F14"/>
    <w:rsid w:val="00725F97"/>
    <w:rsid w:val="00726005"/>
    <w:rsid w:val="00726011"/>
    <w:rsid w:val="00726083"/>
    <w:rsid w:val="007260DC"/>
    <w:rsid w:val="0072623D"/>
    <w:rsid w:val="0072625F"/>
    <w:rsid w:val="007262E0"/>
    <w:rsid w:val="00726388"/>
    <w:rsid w:val="0072640A"/>
    <w:rsid w:val="00726423"/>
    <w:rsid w:val="00726428"/>
    <w:rsid w:val="00726430"/>
    <w:rsid w:val="0072645F"/>
    <w:rsid w:val="007264F3"/>
    <w:rsid w:val="0072651F"/>
    <w:rsid w:val="00726528"/>
    <w:rsid w:val="0072653A"/>
    <w:rsid w:val="007266DD"/>
    <w:rsid w:val="0072677A"/>
    <w:rsid w:val="007267AF"/>
    <w:rsid w:val="007267B1"/>
    <w:rsid w:val="00726821"/>
    <w:rsid w:val="0072694C"/>
    <w:rsid w:val="00726A48"/>
    <w:rsid w:val="00726A7D"/>
    <w:rsid w:val="00726AD2"/>
    <w:rsid w:val="00726C14"/>
    <w:rsid w:val="00726CA8"/>
    <w:rsid w:val="00726DDE"/>
    <w:rsid w:val="00726E65"/>
    <w:rsid w:val="00726E8A"/>
    <w:rsid w:val="00726F16"/>
    <w:rsid w:val="00726FD1"/>
    <w:rsid w:val="00727061"/>
    <w:rsid w:val="007271B4"/>
    <w:rsid w:val="007271EA"/>
    <w:rsid w:val="007272E6"/>
    <w:rsid w:val="007273EC"/>
    <w:rsid w:val="00727538"/>
    <w:rsid w:val="00727539"/>
    <w:rsid w:val="00727633"/>
    <w:rsid w:val="00727635"/>
    <w:rsid w:val="00727689"/>
    <w:rsid w:val="007276C2"/>
    <w:rsid w:val="007276F4"/>
    <w:rsid w:val="00727781"/>
    <w:rsid w:val="0072781E"/>
    <w:rsid w:val="0072784E"/>
    <w:rsid w:val="0072789A"/>
    <w:rsid w:val="007278B4"/>
    <w:rsid w:val="007278F4"/>
    <w:rsid w:val="00727969"/>
    <w:rsid w:val="007279AC"/>
    <w:rsid w:val="007279DD"/>
    <w:rsid w:val="00727AC7"/>
    <w:rsid w:val="00727AFC"/>
    <w:rsid w:val="00727D44"/>
    <w:rsid w:val="00727E33"/>
    <w:rsid w:val="00727F2A"/>
    <w:rsid w:val="00727FCA"/>
    <w:rsid w:val="00730006"/>
    <w:rsid w:val="00730066"/>
    <w:rsid w:val="007300A0"/>
    <w:rsid w:val="007300B4"/>
    <w:rsid w:val="007300CA"/>
    <w:rsid w:val="007300CF"/>
    <w:rsid w:val="00730155"/>
    <w:rsid w:val="0073017C"/>
    <w:rsid w:val="00730199"/>
    <w:rsid w:val="00730265"/>
    <w:rsid w:val="00730307"/>
    <w:rsid w:val="00730316"/>
    <w:rsid w:val="00730571"/>
    <w:rsid w:val="00730584"/>
    <w:rsid w:val="007305E5"/>
    <w:rsid w:val="00730633"/>
    <w:rsid w:val="0073070E"/>
    <w:rsid w:val="0073074F"/>
    <w:rsid w:val="00730792"/>
    <w:rsid w:val="007307A4"/>
    <w:rsid w:val="007307F2"/>
    <w:rsid w:val="007308D7"/>
    <w:rsid w:val="00730900"/>
    <w:rsid w:val="00730901"/>
    <w:rsid w:val="0073092E"/>
    <w:rsid w:val="00730948"/>
    <w:rsid w:val="00730AB3"/>
    <w:rsid w:val="00730C9A"/>
    <w:rsid w:val="00730CB2"/>
    <w:rsid w:val="00730E14"/>
    <w:rsid w:val="00730E79"/>
    <w:rsid w:val="00730E9F"/>
    <w:rsid w:val="00730FD4"/>
    <w:rsid w:val="0073103A"/>
    <w:rsid w:val="0073108B"/>
    <w:rsid w:val="00731109"/>
    <w:rsid w:val="00731127"/>
    <w:rsid w:val="00731154"/>
    <w:rsid w:val="00731224"/>
    <w:rsid w:val="0073132D"/>
    <w:rsid w:val="007314F2"/>
    <w:rsid w:val="0073152A"/>
    <w:rsid w:val="00731598"/>
    <w:rsid w:val="007315F9"/>
    <w:rsid w:val="0073163B"/>
    <w:rsid w:val="0073166E"/>
    <w:rsid w:val="007316B0"/>
    <w:rsid w:val="007316B4"/>
    <w:rsid w:val="007316D3"/>
    <w:rsid w:val="00731726"/>
    <w:rsid w:val="00731727"/>
    <w:rsid w:val="0073177E"/>
    <w:rsid w:val="007317F9"/>
    <w:rsid w:val="00731952"/>
    <w:rsid w:val="0073197A"/>
    <w:rsid w:val="00731ABC"/>
    <w:rsid w:val="00731B96"/>
    <w:rsid w:val="00731BD0"/>
    <w:rsid w:val="00731BED"/>
    <w:rsid w:val="00731E0F"/>
    <w:rsid w:val="00731F60"/>
    <w:rsid w:val="00731F64"/>
    <w:rsid w:val="00731F8F"/>
    <w:rsid w:val="00731FAC"/>
    <w:rsid w:val="00731FC8"/>
    <w:rsid w:val="00732011"/>
    <w:rsid w:val="0073206A"/>
    <w:rsid w:val="00732085"/>
    <w:rsid w:val="0073210F"/>
    <w:rsid w:val="007321BC"/>
    <w:rsid w:val="0073222E"/>
    <w:rsid w:val="0073228D"/>
    <w:rsid w:val="007322A8"/>
    <w:rsid w:val="007323AC"/>
    <w:rsid w:val="00732400"/>
    <w:rsid w:val="00732464"/>
    <w:rsid w:val="00732476"/>
    <w:rsid w:val="007325F9"/>
    <w:rsid w:val="00732678"/>
    <w:rsid w:val="0073272C"/>
    <w:rsid w:val="007327B3"/>
    <w:rsid w:val="007327C0"/>
    <w:rsid w:val="007327FE"/>
    <w:rsid w:val="00732954"/>
    <w:rsid w:val="007329AA"/>
    <w:rsid w:val="00732AB9"/>
    <w:rsid w:val="00732BA9"/>
    <w:rsid w:val="00732C7C"/>
    <w:rsid w:val="00732CD7"/>
    <w:rsid w:val="00732DCE"/>
    <w:rsid w:val="00732E10"/>
    <w:rsid w:val="00732E2C"/>
    <w:rsid w:val="00732E44"/>
    <w:rsid w:val="00732F06"/>
    <w:rsid w:val="00732FD1"/>
    <w:rsid w:val="00732FD4"/>
    <w:rsid w:val="00732FFF"/>
    <w:rsid w:val="00733001"/>
    <w:rsid w:val="0073300A"/>
    <w:rsid w:val="007330D2"/>
    <w:rsid w:val="00733119"/>
    <w:rsid w:val="0073323E"/>
    <w:rsid w:val="00733331"/>
    <w:rsid w:val="007333C7"/>
    <w:rsid w:val="007333F8"/>
    <w:rsid w:val="007334FC"/>
    <w:rsid w:val="00733510"/>
    <w:rsid w:val="0073357C"/>
    <w:rsid w:val="00733646"/>
    <w:rsid w:val="00733672"/>
    <w:rsid w:val="00733681"/>
    <w:rsid w:val="007336CD"/>
    <w:rsid w:val="007338A4"/>
    <w:rsid w:val="00733909"/>
    <w:rsid w:val="00733918"/>
    <w:rsid w:val="00733993"/>
    <w:rsid w:val="007339BD"/>
    <w:rsid w:val="00733A27"/>
    <w:rsid w:val="00733A59"/>
    <w:rsid w:val="00733A97"/>
    <w:rsid w:val="00733B03"/>
    <w:rsid w:val="00733D15"/>
    <w:rsid w:val="00733D1F"/>
    <w:rsid w:val="00733D8A"/>
    <w:rsid w:val="00733E04"/>
    <w:rsid w:val="00733E76"/>
    <w:rsid w:val="00733FD0"/>
    <w:rsid w:val="0073411B"/>
    <w:rsid w:val="00734218"/>
    <w:rsid w:val="0073424C"/>
    <w:rsid w:val="0073431F"/>
    <w:rsid w:val="0073438A"/>
    <w:rsid w:val="007343A0"/>
    <w:rsid w:val="0073448E"/>
    <w:rsid w:val="007344DE"/>
    <w:rsid w:val="0073451F"/>
    <w:rsid w:val="00734527"/>
    <w:rsid w:val="0073456D"/>
    <w:rsid w:val="0073459B"/>
    <w:rsid w:val="007345C4"/>
    <w:rsid w:val="0073460A"/>
    <w:rsid w:val="0073460C"/>
    <w:rsid w:val="007346EC"/>
    <w:rsid w:val="007346FE"/>
    <w:rsid w:val="007347BA"/>
    <w:rsid w:val="00734882"/>
    <w:rsid w:val="00734889"/>
    <w:rsid w:val="007348A6"/>
    <w:rsid w:val="007348DF"/>
    <w:rsid w:val="00734929"/>
    <w:rsid w:val="007349C9"/>
    <w:rsid w:val="007349DC"/>
    <w:rsid w:val="00734B11"/>
    <w:rsid w:val="00734BBC"/>
    <w:rsid w:val="00734BC2"/>
    <w:rsid w:val="00734BE0"/>
    <w:rsid w:val="00734CAF"/>
    <w:rsid w:val="00734DD8"/>
    <w:rsid w:val="00734E22"/>
    <w:rsid w:val="00734E50"/>
    <w:rsid w:val="00734F0F"/>
    <w:rsid w:val="00734F16"/>
    <w:rsid w:val="00734FBF"/>
    <w:rsid w:val="0073500A"/>
    <w:rsid w:val="00735036"/>
    <w:rsid w:val="00735058"/>
    <w:rsid w:val="00735092"/>
    <w:rsid w:val="007350EE"/>
    <w:rsid w:val="0073521D"/>
    <w:rsid w:val="007352A6"/>
    <w:rsid w:val="00735388"/>
    <w:rsid w:val="0073542A"/>
    <w:rsid w:val="007354CF"/>
    <w:rsid w:val="00735571"/>
    <w:rsid w:val="00735695"/>
    <w:rsid w:val="007356CD"/>
    <w:rsid w:val="00735792"/>
    <w:rsid w:val="007357C5"/>
    <w:rsid w:val="007358A7"/>
    <w:rsid w:val="007358E2"/>
    <w:rsid w:val="00735A0D"/>
    <w:rsid w:val="00735A4B"/>
    <w:rsid w:val="00735AAA"/>
    <w:rsid w:val="00735AFD"/>
    <w:rsid w:val="00735B6D"/>
    <w:rsid w:val="00735B71"/>
    <w:rsid w:val="00735C8A"/>
    <w:rsid w:val="00735C8C"/>
    <w:rsid w:val="00735D24"/>
    <w:rsid w:val="00735D8C"/>
    <w:rsid w:val="00735E52"/>
    <w:rsid w:val="00735E8D"/>
    <w:rsid w:val="00735EFE"/>
    <w:rsid w:val="00735F21"/>
    <w:rsid w:val="00736073"/>
    <w:rsid w:val="00736075"/>
    <w:rsid w:val="0073612C"/>
    <w:rsid w:val="00736132"/>
    <w:rsid w:val="00736163"/>
    <w:rsid w:val="0073628C"/>
    <w:rsid w:val="00736301"/>
    <w:rsid w:val="00736504"/>
    <w:rsid w:val="00736520"/>
    <w:rsid w:val="00736577"/>
    <w:rsid w:val="00736586"/>
    <w:rsid w:val="00736684"/>
    <w:rsid w:val="00736697"/>
    <w:rsid w:val="00736761"/>
    <w:rsid w:val="00736781"/>
    <w:rsid w:val="0073679E"/>
    <w:rsid w:val="007368E5"/>
    <w:rsid w:val="007369C2"/>
    <w:rsid w:val="007369C4"/>
    <w:rsid w:val="007369ED"/>
    <w:rsid w:val="00736A6E"/>
    <w:rsid w:val="00736A76"/>
    <w:rsid w:val="00736ACD"/>
    <w:rsid w:val="00736B1A"/>
    <w:rsid w:val="00736BFB"/>
    <w:rsid w:val="00736C18"/>
    <w:rsid w:val="00736CEF"/>
    <w:rsid w:val="00736CFE"/>
    <w:rsid w:val="00736D3A"/>
    <w:rsid w:val="00736DB6"/>
    <w:rsid w:val="00736E4D"/>
    <w:rsid w:val="00736F3E"/>
    <w:rsid w:val="0073718A"/>
    <w:rsid w:val="0073738C"/>
    <w:rsid w:val="00737467"/>
    <w:rsid w:val="00737521"/>
    <w:rsid w:val="00737545"/>
    <w:rsid w:val="007375EA"/>
    <w:rsid w:val="00737647"/>
    <w:rsid w:val="0073766F"/>
    <w:rsid w:val="007376C4"/>
    <w:rsid w:val="00737779"/>
    <w:rsid w:val="007378EB"/>
    <w:rsid w:val="007379E0"/>
    <w:rsid w:val="007379FE"/>
    <w:rsid w:val="00737B2B"/>
    <w:rsid w:val="00737B5D"/>
    <w:rsid w:val="00737B62"/>
    <w:rsid w:val="00737B73"/>
    <w:rsid w:val="00737CBC"/>
    <w:rsid w:val="00737CF6"/>
    <w:rsid w:val="00737DAA"/>
    <w:rsid w:val="00737E03"/>
    <w:rsid w:val="00737E53"/>
    <w:rsid w:val="00737EA4"/>
    <w:rsid w:val="00737EC4"/>
    <w:rsid w:val="00737EDF"/>
    <w:rsid w:val="00737EEE"/>
    <w:rsid w:val="00737F60"/>
    <w:rsid w:val="00737F64"/>
    <w:rsid w:val="0074013E"/>
    <w:rsid w:val="00740176"/>
    <w:rsid w:val="0074024C"/>
    <w:rsid w:val="00740256"/>
    <w:rsid w:val="0074026B"/>
    <w:rsid w:val="007403A1"/>
    <w:rsid w:val="00740424"/>
    <w:rsid w:val="00740458"/>
    <w:rsid w:val="007404EA"/>
    <w:rsid w:val="00740504"/>
    <w:rsid w:val="007405A2"/>
    <w:rsid w:val="007405BE"/>
    <w:rsid w:val="00740630"/>
    <w:rsid w:val="00740678"/>
    <w:rsid w:val="007406C0"/>
    <w:rsid w:val="007406C8"/>
    <w:rsid w:val="00740714"/>
    <w:rsid w:val="007407E5"/>
    <w:rsid w:val="00740825"/>
    <w:rsid w:val="007408D5"/>
    <w:rsid w:val="007408D8"/>
    <w:rsid w:val="0074096B"/>
    <w:rsid w:val="0074097E"/>
    <w:rsid w:val="00740A3E"/>
    <w:rsid w:val="00740A6D"/>
    <w:rsid w:val="00740B27"/>
    <w:rsid w:val="00740B36"/>
    <w:rsid w:val="00740BA9"/>
    <w:rsid w:val="00740BB2"/>
    <w:rsid w:val="00740BC0"/>
    <w:rsid w:val="00740BCA"/>
    <w:rsid w:val="00740BD8"/>
    <w:rsid w:val="00740C02"/>
    <w:rsid w:val="00740C52"/>
    <w:rsid w:val="00740C72"/>
    <w:rsid w:val="00740DB0"/>
    <w:rsid w:val="00740DFA"/>
    <w:rsid w:val="00740DFD"/>
    <w:rsid w:val="00740E24"/>
    <w:rsid w:val="00740EEA"/>
    <w:rsid w:val="00740F17"/>
    <w:rsid w:val="00740F20"/>
    <w:rsid w:val="00740F25"/>
    <w:rsid w:val="00740F5B"/>
    <w:rsid w:val="00740FB5"/>
    <w:rsid w:val="0074104B"/>
    <w:rsid w:val="0074105F"/>
    <w:rsid w:val="007410C4"/>
    <w:rsid w:val="007411F5"/>
    <w:rsid w:val="00741202"/>
    <w:rsid w:val="0074124C"/>
    <w:rsid w:val="00741253"/>
    <w:rsid w:val="00741324"/>
    <w:rsid w:val="00741329"/>
    <w:rsid w:val="007413CB"/>
    <w:rsid w:val="007413F8"/>
    <w:rsid w:val="007414C2"/>
    <w:rsid w:val="007416B4"/>
    <w:rsid w:val="007416CD"/>
    <w:rsid w:val="00741799"/>
    <w:rsid w:val="00741814"/>
    <w:rsid w:val="007418E3"/>
    <w:rsid w:val="007419C2"/>
    <w:rsid w:val="007419D6"/>
    <w:rsid w:val="00741A2D"/>
    <w:rsid w:val="00741A78"/>
    <w:rsid w:val="00741A7D"/>
    <w:rsid w:val="00741B20"/>
    <w:rsid w:val="00741C57"/>
    <w:rsid w:val="00741C6E"/>
    <w:rsid w:val="00741CB0"/>
    <w:rsid w:val="00741CF5"/>
    <w:rsid w:val="00741D30"/>
    <w:rsid w:val="00741D4C"/>
    <w:rsid w:val="00741D59"/>
    <w:rsid w:val="00741E36"/>
    <w:rsid w:val="00741F5F"/>
    <w:rsid w:val="007420C9"/>
    <w:rsid w:val="007420D6"/>
    <w:rsid w:val="0074212C"/>
    <w:rsid w:val="007421E8"/>
    <w:rsid w:val="00742366"/>
    <w:rsid w:val="00742451"/>
    <w:rsid w:val="00742550"/>
    <w:rsid w:val="00742565"/>
    <w:rsid w:val="007426CF"/>
    <w:rsid w:val="007426E8"/>
    <w:rsid w:val="007426F0"/>
    <w:rsid w:val="0074274B"/>
    <w:rsid w:val="007427DC"/>
    <w:rsid w:val="00742837"/>
    <w:rsid w:val="00742A12"/>
    <w:rsid w:val="00742A26"/>
    <w:rsid w:val="00742A8F"/>
    <w:rsid w:val="00742BFB"/>
    <w:rsid w:val="00742C60"/>
    <w:rsid w:val="00742C9E"/>
    <w:rsid w:val="00742E2C"/>
    <w:rsid w:val="00742E7D"/>
    <w:rsid w:val="00742E88"/>
    <w:rsid w:val="00743005"/>
    <w:rsid w:val="00743040"/>
    <w:rsid w:val="0074304B"/>
    <w:rsid w:val="00743071"/>
    <w:rsid w:val="00743092"/>
    <w:rsid w:val="007431A1"/>
    <w:rsid w:val="0074320B"/>
    <w:rsid w:val="00743339"/>
    <w:rsid w:val="00743427"/>
    <w:rsid w:val="00743431"/>
    <w:rsid w:val="0074349A"/>
    <w:rsid w:val="00743538"/>
    <w:rsid w:val="007435AC"/>
    <w:rsid w:val="007435B1"/>
    <w:rsid w:val="007435BA"/>
    <w:rsid w:val="007435EC"/>
    <w:rsid w:val="0074361E"/>
    <w:rsid w:val="007436A1"/>
    <w:rsid w:val="00743713"/>
    <w:rsid w:val="00743798"/>
    <w:rsid w:val="007437C8"/>
    <w:rsid w:val="007437EC"/>
    <w:rsid w:val="0074388F"/>
    <w:rsid w:val="00743891"/>
    <w:rsid w:val="007438EC"/>
    <w:rsid w:val="007439A4"/>
    <w:rsid w:val="007439A7"/>
    <w:rsid w:val="007439D3"/>
    <w:rsid w:val="00743A15"/>
    <w:rsid w:val="00743A43"/>
    <w:rsid w:val="00743A84"/>
    <w:rsid w:val="00743AF2"/>
    <w:rsid w:val="00743B4E"/>
    <w:rsid w:val="00743B53"/>
    <w:rsid w:val="00743BCA"/>
    <w:rsid w:val="00743DA1"/>
    <w:rsid w:val="00743E38"/>
    <w:rsid w:val="00743EAC"/>
    <w:rsid w:val="00743F2A"/>
    <w:rsid w:val="00744059"/>
    <w:rsid w:val="00744074"/>
    <w:rsid w:val="00744168"/>
    <w:rsid w:val="00744188"/>
    <w:rsid w:val="00744208"/>
    <w:rsid w:val="00744221"/>
    <w:rsid w:val="00744227"/>
    <w:rsid w:val="00744393"/>
    <w:rsid w:val="007443BE"/>
    <w:rsid w:val="007443ED"/>
    <w:rsid w:val="00744484"/>
    <w:rsid w:val="007444AF"/>
    <w:rsid w:val="00744529"/>
    <w:rsid w:val="0074452C"/>
    <w:rsid w:val="0074453D"/>
    <w:rsid w:val="007445A1"/>
    <w:rsid w:val="00744691"/>
    <w:rsid w:val="00744728"/>
    <w:rsid w:val="00744744"/>
    <w:rsid w:val="007447AF"/>
    <w:rsid w:val="007447D2"/>
    <w:rsid w:val="00744912"/>
    <w:rsid w:val="00744962"/>
    <w:rsid w:val="00744A10"/>
    <w:rsid w:val="00744B81"/>
    <w:rsid w:val="00744BC6"/>
    <w:rsid w:val="00744BFD"/>
    <w:rsid w:val="00744C00"/>
    <w:rsid w:val="00744CDA"/>
    <w:rsid w:val="00744CFA"/>
    <w:rsid w:val="00744D23"/>
    <w:rsid w:val="00744D5D"/>
    <w:rsid w:val="00744DB0"/>
    <w:rsid w:val="00744E2C"/>
    <w:rsid w:val="00744EDA"/>
    <w:rsid w:val="0074506D"/>
    <w:rsid w:val="007450D6"/>
    <w:rsid w:val="007450D8"/>
    <w:rsid w:val="00745161"/>
    <w:rsid w:val="00745232"/>
    <w:rsid w:val="007453CA"/>
    <w:rsid w:val="0074552B"/>
    <w:rsid w:val="00745629"/>
    <w:rsid w:val="00745632"/>
    <w:rsid w:val="00745676"/>
    <w:rsid w:val="00745685"/>
    <w:rsid w:val="00745697"/>
    <w:rsid w:val="0074574B"/>
    <w:rsid w:val="00745787"/>
    <w:rsid w:val="00745808"/>
    <w:rsid w:val="007458A5"/>
    <w:rsid w:val="007458DD"/>
    <w:rsid w:val="007458F2"/>
    <w:rsid w:val="00745926"/>
    <w:rsid w:val="00745971"/>
    <w:rsid w:val="0074597C"/>
    <w:rsid w:val="0074599F"/>
    <w:rsid w:val="00745A31"/>
    <w:rsid w:val="00745B4F"/>
    <w:rsid w:val="00745BAD"/>
    <w:rsid w:val="00745BE2"/>
    <w:rsid w:val="00745C28"/>
    <w:rsid w:val="00745C47"/>
    <w:rsid w:val="00745CC3"/>
    <w:rsid w:val="00745CCD"/>
    <w:rsid w:val="00745CD5"/>
    <w:rsid w:val="00745D80"/>
    <w:rsid w:val="00745DD8"/>
    <w:rsid w:val="00745E26"/>
    <w:rsid w:val="00745EDD"/>
    <w:rsid w:val="00745F5A"/>
    <w:rsid w:val="00746023"/>
    <w:rsid w:val="007460B1"/>
    <w:rsid w:val="007460F5"/>
    <w:rsid w:val="00746173"/>
    <w:rsid w:val="007461C2"/>
    <w:rsid w:val="007461FD"/>
    <w:rsid w:val="007462A4"/>
    <w:rsid w:val="007462D7"/>
    <w:rsid w:val="0074630C"/>
    <w:rsid w:val="0074634C"/>
    <w:rsid w:val="00746351"/>
    <w:rsid w:val="0074645A"/>
    <w:rsid w:val="0074646E"/>
    <w:rsid w:val="007464FA"/>
    <w:rsid w:val="00746612"/>
    <w:rsid w:val="0074664F"/>
    <w:rsid w:val="0074666C"/>
    <w:rsid w:val="0074667D"/>
    <w:rsid w:val="00746694"/>
    <w:rsid w:val="007466DC"/>
    <w:rsid w:val="007466F2"/>
    <w:rsid w:val="00746794"/>
    <w:rsid w:val="007467AC"/>
    <w:rsid w:val="007467F3"/>
    <w:rsid w:val="0074680E"/>
    <w:rsid w:val="00746827"/>
    <w:rsid w:val="0074682D"/>
    <w:rsid w:val="00746B6F"/>
    <w:rsid w:val="00746DBB"/>
    <w:rsid w:val="00746F3D"/>
    <w:rsid w:val="00747184"/>
    <w:rsid w:val="0074718E"/>
    <w:rsid w:val="007471B5"/>
    <w:rsid w:val="007471B6"/>
    <w:rsid w:val="007472DA"/>
    <w:rsid w:val="00747300"/>
    <w:rsid w:val="00747364"/>
    <w:rsid w:val="0074737D"/>
    <w:rsid w:val="007473C7"/>
    <w:rsid w:val="007473DC"/>
    <w:rsid w:val="00747466"/>
    <w:rsid w:val="0074750D"/>
    <w:rsid w:val="00747551"/>
    <w:rsid w:val="0074769A"/>
    <w:rsid w:val="007477F3"/>
    <w:rsid w:val="0074780C"/>
    <w:rsid w:val="0074784D"/>
    <w:rsid w:val="007479AE"/>
    <w:rsid w:val="007479B7"/>
    <w:rsid w:val="00747A1F"/>
    <w:rsid w:val="00747A46"/>
    <w:rsid w:val="00747A73"/>
    <w:rsid w:val="00747A77"/>
    <w:rsid w:val="00747AF1"/>
    <w:rsid w:val="00747BD0"/>
    <w:rsid w:val="00747C6C"/>
    <w:rsid w:val="00747CCC"/>
    <w:rsid w:val="00747D09"/>
    <w:rsid w:val="00747D54"/>
    <w:rsid w:val="00747D80"/>
    <w:rsid w:val="00747DE2"/>
    <w:rsid w:val="00747DF7"/>
    <w:rsid w:val="00747EB0"/>
    <w:rsid w:val="00747F51"/>
    <w:rsid w:val="00747F6D"/>
    <w:rsid w:val="00747F8D"/>
    <w:rsid w:val="00747FB5"/>
    <w:rsid w:val="00747FD1"/>
    <w:rsid w:val="00750049"/>
    <w:rsid w:val="007501A4"/>
    <w:rsid w:val="007501E8"/>
    <w:rsid w:val="0075023D"/>
    <w:rsid w:val="0075036D"/>
    <w:rsid w:val="00750372"/>
    <w:rsid w:val="00750393"/>
    <w:rsid w:val="007503B3"/>
    <w:rsid w:val="007503D9"/>
    <w:rsid w:val="007505FB"/>
    <w:rsid w:val="007507D5"/>
    <w:rsid w:val="0075080D"/>
    <w:rsid w:val="0075086E"/>
    <w:rsid w:val="00750908"/>
    <w:rsid w:val="007509DD"/>
    <w:rsid w:val="00750A6B"/>
    <w:rsid w:val="00750AB3"/>
    <w:rsid w:val="00750AE6"/>
    <w:rsid w:val="00750B30"/>
    <w:rsid w:val="00750BF2"/>
    <w:rsid w:val="00750CF8"/>
    <w:rsid w:val="00750D4A"/>
    <w:rsid w:val="00750F2A"/>
    <w:rsid w:val="007510D3"/>
    <w:rsid w:val="0075114A"/>
    <w:rsid w:val="00751170"/>
    <w:rsid w:val="007511E8"/>
    <w:rsid w:val="007512F4"/>
    <w:rsid w:val="00751396"/>
    <w:rsid w:val="00751484"/>
    <w:rsid w:val="00751646"/>
    <w:rsid w:val="0075170A"/>
    <w:rsid w:val="00751716"/>
    <w:rsid w:val="007517BB"/>
    <w:rsid w:val="0075181A"/>
    <w:rsid w:val="0075184B"/>
    <w:rsid w:val="00751A8F"/>
    <w:rsid w:val="00751B20"/>
    <w:rsid w:val="00751BC8"/>
    <w:rsid w:val="00751C1B"/>
    <w:rsid w:val="00751C83"/>
    <w:rsid w:val="00751D0F"/>
    <w:rsid w:val="00751D94"/>
    <w:rsid w:val="00751DA0"/>
    <w:rsid w:val="00751DCB"/>
    <w:rsid w:val="00751DF6"/>
    <w:rsid w:val="00751E22"/>
    <w:rsid w:val="00751E57"/>
    <w:rsid w:val="00751EB1"/>
    <w:rsid w:val="0075205C"/>
    <w:rsid w:val="0075207A"/>
    <w:rsid w:val="007520D8"/>
    <w:rsid w:val="0075216D"/>
    <w:rsid w:val="007522AD"/>
    <w:rsid w:val="007523EB"/>
    <w:rsid w:val="0075243D"/>
    <w:rsid w:val="007524C7"/>
    <w:rsid w:val="00752522"/>
    <w:rsid w:val="00752699"/>
    <w:rsid w:val="007527E7"/>
    <w:rsid w:val="00752813"/>
    <w:rsid w:val="00752893"/>
    <w:rsid w:val="00752899"/>
    <w:rsid w:val="007528AF"/>
    <w:rsid w:val="0075291B"/>
    <w:rsid w:val="0075293E"/>
    <w:rsid w:val="00752A64"/>
    <w:rsid w:val="00752A6A"/>
    <w:rsid w:val="00752AD7"/>
    <w:rsid w:val="00752B0C"/>
    <w:rsid w:val="00752B9C"/>
    <w:rsid w:val="00752BA9"/>
    <w:rsid w:val="00752BFB"/>
    <w:rsid w:val="00752C77"/>
    <w:rsid w:val="00752C84"/>
    <w:rsid w:val="00752CDB"/>
    <w:rsid w:val="00752CDE"/>
    <w:rsid w:val="00752D05"/>
    <w:rsid w:val="00752D25"/>
    <w:rsid w:val="00752D7D"/>
    <w:rsid w:val="00752E42"/>
    <w:rsid w:val="00752E6D"/>
    <w:rsid w:val="00752EA3"/>
    <w:rsid w:val="00752FDA"/>
    <w:rsid w:val="0075301D"/>
    <w:rsid w:val="007530DF"/>
    <w:rsid w:val="00753306"/>
    <w:rsid w:val="007533CE"/>
    <w:rsid w:val="007534A1"/>
    <w:rsid w:val="0075355D"/>
    <w:rsid w:val="0075373C"/>
    <w:rsid w:val="007537DC"/>
    <w:rsid w:val="00753843"/>
    <w:rsid w:val="007538C0"/>
    <w:rsid w:val="007539D1"/>
    <w:rsid w:val="00753A15"/>
    <w:rsid w:val="00753B04"/>
    <w:rsid w:val="00753CC5"/>
    <w:rsid w:val="00753D22"/>
    <w:rsid w:val="00753D45"/>
    <w:rsid w:val="00753DD2"/>
    <w:rsid w:val="00753E4C"/>
    <w:rsid w:val="00753EB5"/>
    <w:rsid w:val="00753EC5"/>
    <w:rsid w:val="00753F74"/>
    <w:rsid w:val="00753FEA"/>
    <w:rsid w:val="00754000"/>
    <w:rsid w:val="0075412C"/>
    <w:rsid w:val="00754165"/>
    <w:rsid w:val="00754215"/>
    <w:rsid w:val="00754216"/>
    <w:rsid w:val="007542BF"/>
    <w:rsid w:val="007543A4"/>
    <w:rsid w:val="00754415"/>
    <w:rsid w:val="0075445F"/>
    <w:rsid w:val="00754486"/>
    <w:rsid w:val="007544D3"/>
    <w:rsid w:val="0075454A"/>
    <w:rsid w:val="0075457C"/>
    <w:rsid w:val="0075457F"/>
    <w:rsid w:val="0075463F"/>
    <w:rsid w:val="0075469F"/>
    <w:rsid w:val="00754746"/>
    <w:rsid w:val="007547C8"/>
    <w:rsid w:val="007548AB"/>
    <w:rsid w:val="00754921"/>
    <w:rsid w:val="00754960"/>
    <w:rsid w:val="00754984"/>
    <w:rsid w:val="007549E9"/>
    <w:rsid w:val="007549FE"/>
    <w:rsid w:val="00754A08"/>
    <w:rsid w:val="00754A4D"/>
    <w:rsid w:val="00754AAB"/>
    <w:rsid w:val="00754B68"/>
    <w:rsid w:val="00754B79"/>
    <w:rsid w:val="00754BC2"/>
    <w:rsid w:val="00754C07"/>
    <w:rsid w:val="00754C34"/>
    <w:rsid w:val="00754C9F"/>
    <w:rsid w:val="00754CC8"/>
    <w:rsid w:val="00754D0F"/>
    <w:rsid w:val="00754D71"/>
    <w:rsid w:val="00754DB5"/>
    <w:rsid w:val="00754DD2"/>
    <w:rsid w:val="00754E51"/>
    <w:rsid w:val="00754EC8"/>
    <w:rsid w:val="00754ED6"/>
    <w:rsid w:val="00754EDF"/>
    <w:rsid w:val="00754EFF"/>
    <w:rsid w:val="00754F26"/>
    <w:rsid w:val="00754F37"/>
    <w:rsid w:val="00754F86"/>
    <w:rsid w:val="0075502A"/>
    <w:rsid w:val="00755064"/>
    <w:rsid w:val="007550B7"/>
    <w:rsid w:val="007551CD"/>
    <w:rsid w:val="0075522B"/>
    <w:rsid w:val="0075537F"/>
    <w:rsid w:val="00755407"/>
    <w:rsid w:val="007554A3"/>
    <w:rsid w:val="0075559A"/>
    <w:rsid w:val="0075559E"/>
    <w:rsid w:val="007555E9"/>
    <w:rsid w:val="00755702"/>
    <w:rsid w:val="00755781"/>
    <w:rsid w:val="007557AD"/>
    <w:rsid w:val="007557C5"/>
    <w:rsid w:val="007557D4"/>
    <w:rsid w:val="00755809"/>
    <w:rsid w:val="00755850"/>
    <w:rsid w:val="00755875"/>
    <w:rsid w:val="00755915"/>
    <w:rsid w:val="0075595E"/>
    <w:rsid w:val="007559F5"/>
    <w:rsid w:val="00755A0B"/>
    <w:rsid w:val="00755A3C"/>
    <w:rsid w:val="00755A5F"/>
    <w:rsid w:val="00755AF4"/>
    <w:rsid w:val="00755B2F"/>
    <w:rsid w:val="00755B7B"/>
    <w:rsid w:val="00755C3E"/>
    <w:rsid w:val="00755CC7"/>
    <w:rsid w:val="00755CE2"/>
    <w:rsid w:val="00755D4C"/>
    <w:rsid w:val="00755D8D"/>
    <w:rsid w:val="00755D97"/>
    <w:rsid w:val="00755D9D"/>
    <w:rsid w:val="00755E4B"/>
    <w:rsid w:val="00755E67"/>
    <w:rsid w:val="00755EFF"/>
    <w:rsid w:val="00756043"/>
    <w:rsid w:val="00756078"/>
    <w:rsid w:val="007560B7"/>
    <w:rsid w:val="00756220"/>
    <w:rsid w:val="00756225"/>
    <w:rsid w:val="00756356"/>
    <w:rsid w:val="00756426"/>
    <w:rsid w:val="0075647F"/>
    <w:rsid w:val="00756550"/>
    <w:rsid w:val="0075667D"/>
    <w:rsid w:val="00756766"/>
    <w:rsid w:val="007567CA"/>
    <w:rsid w:val="007567CC"/>
    <w:rsid w:val="007567E1"/>
    <w:rsid w:val="007568FA"/>
    <w:rsid w:val="00756990"/>
    <w:rsid w:val="007569D8"/>
    <w:rsid w:val="00756A09"/>
    <w:rsid w:val="00756BC9"/>
    <w:rsid w:val="00756D04"/>
    <w:rsid w:val="00756D5F"/>
    <w:rsid w:val="00756E93"/>
    <w:rsid w:val="00756EBC"/>
    <w:rsid w:val="00756EF1"/>
    <w:rsid w:val="00756F2C"/>
    <w:rsid w:val="00756F5E"/>
    <w:rsid w:val="0075714A"/>
    <w:rsid w:val="007571C7"/>
    <w:rsid w:val="007571CD"/>
    <w:rsid w:val="007571DF"/>
    <w:rsid w:val="00757235"/>
    <w:rsid w:val="00757267"/>
    <w:rsid w:val="007572DD"/>
    <w:rsid w:val="0075734B"/>
    <w:rsid w:val="00757441"/>
    <w:rsid w:val="0075748C"/>
    <w:rsid w:val="00757499"/>
    <w:rsid w:val="00757562"/>
    <w:rsid w:val="007575CD"/>
    <w:rsid w:val="0075766A"/>
    <w:rsid w:val="00757676"/>
    <w:rsid w:val="00757678"/>
    <w:rsid w:val="007576C9"/>
    <w:rsid w:val="007577C5"/>
    <w:rsid w:val="007577E3"/>
    <w:rsid w:val="007578EF"/>
    <w:rsid w:val="007578FE"/>
    <w:rsid w:val="007579B9"/>
    <w:rsid w:val="00757A45"/>
    <w:rsid w:val="00757A79"/>
    <w:rsid w:val="00757AA2"/>
    <w:rsid w:val="00757B07"/>
    <w:rsid w:val="00757B8C"/>
    <w:rsid w:val="00757DC0"/>
    <w:rsid w:val="00757E79"/>
    <w:rsid w:val="00757E96"/>
    <w:rsid w:val="00757F5C"/>
    <w:rsid w:val="00757FCD"/>
    <w:rsid w:val="00760009"/>
    <w:rsid w:val="0076004E"/>
    <w:rsid w:val="00760121"/>
    <w:rsid w:val="00760135"/>
    <w:rsid w:val="0076024B"/>
    <w:rsid w:val="0076035B"/>
    <w:rsid w:val="0076036C"/>
    <w:rsid w:val="007603A7"/>
    <w:rsid w:val="00760409"/>
    <w:rsid w:val="00760543"/>
    <w:rsid w:val="007605D9"/>
    <w:rsid w:val="007605E4"/>
    <w:rsid w:val="007605EB"/>
    <w:rsid w:val="007605FD"/>
    <w:rsid w:val="007606D1"/>
    <w:rsid w:val="0076074B"/>
    <w:rsid w:val="00760861"/>
    <w:rsid w:val="007608FB"/>
    <w:rsid w:val="0076093B"/>
    <w:rsid w:val="0076098B"/>
    <w:rsid w:val="00760A1C"/>
    <w:rsid w:val="00760A5F"/>
    <w:rsid w:val="00760A91"/>
    <w:rsid w:val="00760BF7"/>
    <w:rsid w:val="00760C4A"/>
    <w:rsid w:val="00760CD8"/>
    <w:rsid w:val="00760D21"/>
    <w:rsid w:val="00760DE8"/>
    <w:rsid w:val="00760E0D"/>
    <w:rsid w:val="00760EE2"/>
    <w:rsid w:val="00760EF7"/>
    <w:rsid w:val="00760F01"/>
    <w:rsid w:val="00760F73"/>
    <w:rsid w:val="007610A8"/>
    <w:rsid w:val="0076110A"/>
    <w:rsid w:val="007612FD"/>
    <w:rsid w:val="00761348"/>
    <w:rsid w:val="0076137D"/>
    <w:rsid w:val="0076147A"/>
    <w:rsid w:val="007614D1"/>
    <w:rsid w:val="007614F7"/>
    <w:rsid w:val="00761557"/>
    <w:rsid w:val="00761604"/>
    <w:rsid w:val="007616C4"/>
    <w:rsid w:val="007616EC"/>
    <w:rsid w:val="007616F5"/>
    <w:rsid w:val="0076172B"/>
    <w:rsid w:val="00761744"/>
    <w:rsid w:val="007618AA"/>
    <w:rsid w:val="007618D9"/>
    <w:rsid w:val="00761907"/>
    <w:rsid w:val="00761949"/>
    <w:rsid w:val="0076196E"/>
    <w:rsid w:val="00761977"/>
    <w:rsid w:val="00761A03"/>
    <w:rsid w:val="00761A25"/>
    <w:rsid w:val="00761A31"/>
    <w:rsid w:val="00761A38"/>
    <w:rsid w:val="00761A39"/>
    <w:rsid w:val="00761AB1"/>
    <w:rsid w:val="00761AB6"/>
    <w:rsid w:val="00761B23"/>
    <w:rsid w:val="00761B7B"/>
    <w:rsid w:val="00761B82"/>
    <w:rsid w:val="00761BA9"/>
    <w:rsid w:val="00761CC0"/>
    <w:rsid w:val="00761CDC"/>
    <w:rsid w:val="00761D1A"/>
    <w:rsid w:val="00761D3A"/>
    <w:rsid w:val="00761E3F"/>
    <w:rsid w:val="00761E66"/>
    <w:rsid w:val="00761E70"/>
    <w:rsid w:val="00761E73"/>
    <w:rsid w:val="00761FD3"/>
    <w:rsid w:val="00762022"/>
    <w:rsid w:val="00762135"/>
    <w:rsid w:val="0076217E"/>
    <w:rsid w:val="00762235"/>
    <w:rsid w:val="00762255"/>
    <w:rsid w:val="00762261"/>
    <w:rsid w:val="00762265"/>
    <w:rsid w:val="007622D1"/>
    <w:rsid w:val="00762304"/>
    <w:rsid w:val="00762324"/>
    <w:rsid w:val="007623A4"/>
    <w:rsid w:val="007623C8"/>
    <w:rsid w:val="007624A7"/>
    <w:rsid w:val="007625B3"/>
    <w:rsid w:val="007625BD"/>
    <w:rsid w:val="007625D5"/>
    <w:rsid w:val="00762612"/>
    <w:rsid w:val="0076261E"/>
    <w:rsid w:val="00762681"/>
    <w:rsid w:val="0076278F"/>
    <w:rsid w:val="00762805"/>
    <w:rsid w:val="00762812"/>
    <w:rsid w:val="0076289F"/>
    <w:rsid w:val="0076291A"/>
    <w:rsid w:val="0076299A"/>
    <w:rsid w:val="00762B18"/>
    <w:rsid w:val="00762C03"/>
    <w:rsid w:val="00762C1E"/>
    <w:rsid w:val="00762D0D"/>
    <w:rsid w:val="00762E09"/>
    <w:rsid w:val="00762E3B"/>
    <w:rsid w:val="00762FCA"/>
    <w:rsid w:val="00763037"/>
    <w:rsid w:val="007630A7"/>
    <w:rsid w:val="00763168"/>
    <w:rsid w:val="007631AB"/>
    <w:rsid w:val="007631D7"/>
    <w:rsid w:val="0076332D"/>
    <w:rsid w:val="007633A1"/>
    <w:rsid w:val="007633C2"/>
    <w:rsid w:val="00763474"/>
    <w:rsid w:val="0076348B"/>
    <w:rsid w:val="00763499"/>
    <w:rsid w:val="00763512"/>
    <w:rsid w:val="00763597"/>
    <w:rsid w:val="00763689"/>
    <w:rsid w:val="00763869"/>
    <w:rsid w:val="0076389B"/>
    <w:rsid w:val="0076395A"/>
    <w:rsid w:val="0076397B"/>
    <w:rsid w:val="00763983"/>
    <w:rsid w:val="00763ADF"/>
    <w:rsid w:val="00763AF5"/>
    <w:rsid w:val="00763B7F"/>
    <w:rsid w:val="00763BD6"/>
    <w:rsid w:val="00763BDD"/>
    <w:rsid w:val="00763DEA"/>
    <w:rsid w:val="00763DEE"/>
    <w:rsid w:val="00763DF9"/>
    <w:rsid w:val="00763E6F"/>
    <w:rsid w:val="00763F03"/>
    <w:rsid w:val="00763F07"/>
    <w:rsid w:val="00763F60"/>
    <w:rsid w:val="00763FB5"/>
    <w:rsid w:val="0076402A"/>
    <w:rsid w:val="0076402B"/>
    <w:rsid w:val="00764075"/>
    <w:rsid w:val="00764079"/>
    <w:rsid w:val="0076407E"/>
    <w:rsid w:val="0076410D"/>
    <w:rsid w:val="0076413E"/>
    <w:rsid w:val="007641E5"/>
    <w:rsid w:val="0076423F"/>
    <w:rsid w:val="0076424A"/>
    <w:rsid w:val="00764256"/>
    <w:rsid w:val="0076439A"/>
    <w:rsid w:val="007643EB"/>
    <w:rsid w:val="0076443D"/>
    <w:rsid w:val="00764446"/>
    <w:rsid w:val="00764550"/>
    <w:rsid w:val="0076457F"/>
    <w:rsid w:val="00764598"/>
    <w:rsid w:val="007645C7"/>
    <w:rsid w:val="007645F3"/>
    <w:rsid w:val="00764669"/>
    <w:rsid w:val="00764753"/>
    <w:rsid w:val="0076485A"/>
    <w:rsid w:val="00764860"/>
    <w:rsid w:val="00764898"/>
    <w:rsid w:val="007648BA"/>
    <w:rsid w:val="007649C3"/>
    <w:rsid w:val="00764A84"/>
    <w:rsid w:val="00764AEB"/>
    <w:rsid w:val="00764B34"/>
    <w:rsid w:val="00764B65"/>
    <w:rsid w:val="00764C2B"/>
    <w:rsid w:val="00764C81"/>
    <w:rsid w:val="00764CD2"/>
    <w:rsid w:val="00764CF4"/>
    <w:rsid w:val="00764D0F"/>
    <w:rsid w:val="00764D74"/>
    <w:rsid w:val="00764E69"/>
    <w:rsid w:val="00764E91"/>
    <w:rsid w:val="00764EB7"/>
    <w:rsid w:val="00764F4F"/>
    <w:rsid w:val="00764F8E"/>
    <w:rsid w:val="00765058"/>
    <w:rsid w:val="00765297"/>
    <w:rsid w:val="00765298"/>
    <w:rsid w:val="007652B8"/>
    <w:rsid w:val="0076534F"/>
    <w:rsid w:val="007653ED"/>
    <w:rsid w:val="00765463"/>
    <w:rsid w:val="007654BE"/>
    <w:rsid w:val="007654DC"/>
    <w:rsid w:val="0076556D"/>
    <w:rsid w:val="007656C6"/>
    <w:rsid w:val="007656DA"/>
    <w:rsid w:val="00765750"/>
    <w:rsid w:val="00765777"/>
    <w:rsid w:val="00765811"/>
    <w:rsid w:val="0076585B"/>
    <w:rsid w:val="007658BE"/>
    <w:rsid w:val="007659C9"/>
    <w:rsid w:val="00765C0E"/>
    <w:rsid w:val="00765C94"/>
    <w:rsid w:val="00765D0B"/>
    <w:rsid w:val="00765DFE"/>
    <w:rsid w:val="00765E4E"/>
    <w:rsid w:val="00765F2E"/>
    <w:rsid w:val="00766184"/>
    <w:rsid w:val="00766199"/>
    <w:rsid w:val="00766242"/>
    <w:rsid w:val="0076625B"/>
    <w:rsid w:val="0076628C"/>
    <w:rsid w:val="007663A6"/>
    <w:rsid w:val="00766429"/>
    <w:rsid w:val="00766435"/>
    <w:rsid w:val="00766437"/>
    <w:rsid w:val="0076665C"/>
    <w:rsid w:val="00766688"/>
    <w:rsid w:val="007666C6"/>
    <w:rsid w:val="007667E4"/>
    <w:rsid w:val="007667F2"/>
    <w:rsid w:val="00766807"/>
    <w:rsid w:val="00766878"/>
    <w:rsid w:val="007668A9"/>
    <w:rsid w:val="0076690E"/>
    <w:rsid w:val="0076697A"/>
    <w:rsid w:val="00766A9A"/>
    <w:rsid w:val="00766ACB"/>
    <w:rsid w:val="00766B0C"/>
    <w:rsid w:val="00766CDA"/>
    <w:rsid w:val="00766CF4"/>
    <w:rsid w:val="00766DD8"/>
    <w:rsid w:val="00766DFF"/>
    <w:rsid w:val="00766E09"/>
    <w:rsid w:val="00766FA7"/>
    <w:rsid w:val="00766FAA"/>
    <w:rsid w:val="00766FB1"/>
    <w:rsid w:val="00767011"/>
    <w:rsid w:val="00767133"/>
    <w:rsid w:val="0076713E"/>
    <w:rsid w:val="0076714A"/>
    <w:rsid w:val="007672B7"/>
    <w:rsid w:val="00767373"/>
    <w:rsid w:val="007673AF"/>
    <w:rsid w:val="007673D4"/>
    <w:rsid w:val="0076740F"/>
    <w:rsid w:val="00767428"/>
    <w:rsid w:val="007674E9"/>
    <w:rsid w:val="0076761C"/>
    <w:rsid w:val="00767664"/>
    <w:rsid w:val="00767773"/>
    <w:rsid w:val="00767850"/>
    <w:rsid w:val="00767863"/>
    <w:rsid w:val="00767955"/>
    <w:rsid w:val="007679C9"/>
    <w:rsid w:val="007679CF"/>
    <w:rsid w:val="007679E6"/>
    <w:rsid w:val="00767A0C"/>
    <w:rsid w:val="00767A1E"/>
    <w:rsid w:val="00767A70"/>
    <w:rsid w:val="00767AFF"/>
    <w:rsid w:val="00767B13"/>
    <w:rsid w:val="00767B6D"/>
    <w:rsid w:val="00767B98"/>
    <w:rsid w:val="00767C0D"/>
    <w:rsid w:val="00767C28"/>
    <w:rsid w:val="00767CEF"/>
    <w:rsid w:val="00767E08"/>
    <w:rsid w:val="00767E0E"/>
    <w:rsid w:val="00767F25"/>
    <w:rsid w:val="00767F8B"/>
    <w:rsid w:val="00767F98"/>
    <w:rsid w:val="00767FA1"/>
    <w:rsid w:val="00767FDF"/>
    <w:rsid w:val="00770036"/>
    <w:rsid w:val="0077004A"/>
    <w:rsid w:val="00770069"/>
    <w:rsid w:val="007700A3"/>
    <w:rsid w:val="00770108"/>
    <w:rsid w:val="00770247"/>
    <w:rsid w:val="00770298"/>
    <w:rsid w:val="00770315"/>
    <w:rsid w:val="00770330"/>
    <w:rsid w:val="007703B9"/>
    <w:rsid w:val="007703DB"/>
    <w:rsid w:val="007703DF"/>
    <w:rsid w:val="00770484"/>
    <w:rsid w:val="0077062D"/>
    <w:rsid w:val="00770645"/>
    <w:rsid w:val="007706A4"/>
    <w:rsid w:val="007706D3"/>
    <w:rsid w:val="007708ED"/>
    <w:rsid w:val="00770910"/>
    <w:rsid w:val="0077092B"/>
    <w:rsid w:val="0077099E"/>
    <w:rsid w:val="007709DA"/>
    <w:rsid w:val="00770AB8"/>
    <w:rsid w:val="00770BF4"/>
    <w:rsid w:val="00770C2E"/>
    <w:rsid w:val="00770C75"/>
    <w:rsid w:val="00770CD9"/>
    <w:rsid w:val="00770E38"/>
    <w:rsid w:val="00770EDA"/>
    <w:rsid w:val="00770F06"/>
    <w:rsid w:val="00770F1F"/>
    <w:rsid w:val="00771015"/>
    <w:rsid w:val="00771051"/>
    <w:rsid w:val="00771085"/>
    <w:rsid w:val="007710B3"/>
    <w:rsid w:val="007710C1"/>
    <w:rsid w:val="00771187"/>
    <w:rsid w:val="00771213"/>
    <w:rsid w:val="00771236"/>
    <w:rsid w:val="007712B6"/>
    <w:rsid w:val="00771459"/>
    <w:rsid w:val="0077150D"/>
    <w:rsid w:val="00771551"/>
    <w:rsid w:val="00771590"/>
    <w:rsid w:val="007715EF"/>
    <w:rsid w:val="0077161F"/>
    <w:rsid w:val="0077162C"/>
    <w:rsid w:val="00771658"/>
    <w:rsid w:val="00771711"/>
    <w:rsid w:val="00771719"/>
    <w:rsid w:val="00771796"/>
    <w:rsid w:val="007717A3"/>
    <w:rsid w:val="00771962"/>
    <w:rsid w:val="007719BE"/>
    <w:rsid w:val="00771A2F"/>
    <w:rsid w:val="00771AF6"/>
    <w:rsid w:val="00771B50"/>
    <w:rsid w:val="00771B6A"/>
    <w:rsid w:val="00771C19"/>
    <w:rsid w:val="00771D24"/>
    <w:rsid w:val="00771EF9"/>
    <w:rsid w:val="00771F25"/>
    <w:rsid w:val="00771F69"/>
    <w:rsid w:val="00771F7B"/>
    <w:rsid w:val="00771FB0"/>
    <w:rsid w:val="00771FFA"/>
    <w:rsid w:val="007720E7"/>
    <w:rsid w:val="00772163"/>
    <w:rsid w:val="0077226B"/>
    <w:rsid w:val="007722FF"/>
    <w:rsid w:val="00772325"/>
    <w:rsid w:val="007724CC"/>
    <w:rsid w:val="00772542"/>
    <w:rsid w:val="007725B8"/>
    <w:rsid w:val="0077265F"/>
    <w:rsid w:val="007726E7"/>
    <w:rsid w:val="007727AC"/>
    <w:rsid w:val="007727CA"/>
    <w:rsid w:val="00772918"/>
    <w:rsid w:val="0077294F"/>
    <w:rsid w:val="007729F4"/>
    <w:rsid w:val="00772A13"/>
    <w:rsid w:val="00772A87"/>
    <w:rsid w:val="00772AAD"/>
    <w:rsid w:val="00772C6F"/>
    <w:rsid w:val="00772D87"/>
    <w:rsid w:val="00772E61"/>
    <w:rsid w:val="00772F6F"/>
    <w:rsid w:val="00772FE3"/>
    <w:rsid w:val="00773246"/>
    <w:rsid w:val="007732C5"/>
    <w:rsid w:val="00773302"/>
    <w:rsid w:val="0077331E"/>
    <w:rsid w:val="00773395"/>
    <w:rsid w:val="007733B4"/>
    <w:rsid w:val="00773457"/>
    <w:rsid w:val="00773488"/>
    <w:rsid w:val="007735A9"/>
    <w:rsid w:val="00773623"/>
    <w:rsid w:val="007737A2"/>
    <w:rsid w:val="007737DD"/>
    <w:rsid w:val="0077384A"/>
    <w:rsid w:val="007738AA"/>
    <w:rsid w:val="00773941"/>
    <w:rsid w:val="0077394A"/>
    <w:rsid w:val="0077396E"/>
    <w:rsid w:val="00773AB3"/>
    <w:rsid w:val="00773AD2"/>
    <w:rsid w:val="00773C0E"/>
    <w:rsid w:val="00773C8F"/>
    <w:rsid w:val="00773CD3"/>
    <w:rsid w:val="00773CDA"/>
    <w:rsid w:val="00773DAF"/>
    <w:rsid w:val="00774014"/>
    <w:rsid w:val="00774033"/>
    <w:rsid w:val="00774040"/>
    <w:rsid w:val="00774115"/>
    <w:rsid w:val="00774134"/>
    <w:rsid w:val="00774343"/>
    <w:rsid w:val="007743A1"/>
    <w:rsid w:val="007744C6"/>
    <w:rsid w:val="007745B1"/>
    <w:rsid w:val="0077464D"/>
    <w:rsid w:val="00774698"/>
    <w:rsid w:val="007746CB"/>
    <w:rsid w:val="00774703"/>
    <w:rsid w:val="00774782"/>
    <w:rsid w:val="007747E8"/>
    <w:rsid w:val="00774895"/>
    <w:rsid w:val="007749F6"/>
    <w:rsid w:val="00774A16"/>
    <w:rsid w:val="00774A56"/>
    <w:rsid w:val="00774A63"/>
    <w:rsid w:val="00774A71"/>
    <w:rsid w:val="00774A78"/>
    <w:rsid w:val="00774AC5"/>
    <w:rsid w:val="00774BED"/>
    <w:rsid w:val="00774BF2"/>
    <w:rsid w:val="00774CB4"/>
    <w:rsid w:val="00774DB7"/>
    <w:rsid w:val="00774E33"/>
    <w:rsid w:val="00774E63"/>
    <w:rsid w:val="00774E90"/>
    <w:rsid w:val="00774F8A"/>
    <w:rsid w:val="007750C5"/>
    <w:rsid w:val="007750E9"/>
    <w:rsid w:val="00775205"/>
    <w:rsid w:val="00775226"/>
    <w:rsid w:val="00775249"/>
    <w:rsid w:val="00775383"/>
    <w:rsid w:val="007753C9"/>
    <w:rsid w:val="00775505"/>
    <w:rsid w:val="00775541"/>
    <w:rsid w:val="0077555E"/>
    <w:rsid w:val="00775576"/>
    <w:rsid w:val="00775647"/>
    <w:rsid w:val="0077566C"/>
    <w:rsid w:val="0077568A"/>
    <w:rsid w:val="00775698"/>
    <w:rsid w:val="0077572C"/>
    <w:rsid w:val="007757EA"/>
    <w:rsid w:val="0077585A"/>
    <w:rsid w:val="007758DD"/>
    <w:rsid w:val="007758FA"/>
    <w:rsid w:val="007759DB"/>
    <w:rsid w:val="00775AEF"/>
    <w:rsid w:val="00775AF8"/>
    <w:rsid w:val="00775B1D"/>
    <w:rsid w:val="00775B24"/>
    <w:rsid w:val="00775C70"/>
    <w:rsid w:val="00775D00"/>
    <w:rsid w:val="00775DA2"/>
    <w:rsid w:val="00775DC0"/>
    <w:rsid w:val="00775DCC"/>
    <w:rsid w:val="00775DDD"/>
    <w:rsid w:val="00775DE7"/>
    <w:rsid w:val="00775E6F"/>
    <w:rsid w:val="00775FEC"/>
    <w:rsid w:val="0077609A"/>
    <w:rsid w:val="00776181"/>
    <w:rsid w:val="007761FB"/>
    <w:rsid w:val="0077620C"/>
    <w:rsid w:val="007762C4"/>
    <w:rsid w:val="007763C0"/>
    <w:rsid w:val="007765D5"/>
    <w:rsid w:val="00776618"/>
    <w:rsid w:val="0077674B"/>
    <w:rsid w:val="0077675F"/>
    <w:rsid w:val="00776790"/>
    <w:rsid w:val="007768AB"/>
    <w:rsid w:val="007768CA"/>
    <w:rsid w:val="0077691E"/>
    <w:rsid w:val="00776993"/>
    <w:rsid w:val="007769D7"/>
    <w:rsid w:val="00776A11"/>
    <w:rsid w:val="00776ADD"/>
    <w:rsid w:val="00776BFE"/>
    <w:rsid w:val="00776C1A"/>
    <w:rsid w:val="00776C4E"/>
    <w:rsid w:val="00776C91"/>
    <w:rsid w:val="00776D7E"/>
    <w:rsid w:val="00776DB9"/>
    <w:rsid w:val="00776DCB"/>
    <w:rsid w:val="00776E06"/>
    <w:rsid w:val="00776E38"/>
    <w:rsid w:val="00776E56"/>
    <w:rsid w:val="00776EC2"/>
    <w:rsid w:val="00776F43"/>
    <w:rsid w:val="0077705C"/>
    <w:rsid w:val="00777090"/>
    <w:rsid w:val="007770CD"/>
    <w:rsid w:val="00777137"/>
    <w:rsid w:val="0077715C"/>
    <w:rsid w:val="007771CB"/>
    <w:rsid w:val="007771E0"/>
    <w:rsid w:val="007772D3"/>
    <w:rsid w:val="00777302"/>
    <w:rsid w:val="00777384"/>
    <w:rsid w:val="007773C7"/>
    <w:rsid w:val="007773EC"/>
    <w:rsid w:val="0077745D"/>
    <w:rsid w:val="007774AE"/>
    <w:rsid w:val="007774BB"/>
    <w:rsid w:val="007774D4"/>
    <w:rsid w:val="007775BB"/>
    <w:rsid w:val="007776DC"/>
    <w:rsid w:val="00777704"/>
    <w:rsid w:val="007779C4"/>
    <w:rsid w:val="00777A68"/>
    <w:rsid w:val="00777B46"/>
    <w:rsid w:val="00777B48"/>
    <w:rsid w:val="00777BE8"/>
    <w:rsid w:val="00777CFF"/>
    <w:rsid w:val="00777DB4"/>
    <w:rsid w:val="00777E9C"/>
    <w:rsid w:val="00777F10"/>
    <w:rsid w:val="00777F66"/>
    <w:rsid w:val="00777FAA"/>
    <w:rsid w:val="00777FC4"/>
    <w:rsid w:val="00780170"/>
    <w:rsid w:val="007801F7"/>
    <w:rsid w:val="0078026C"/>
    <w:rsid w:val="00780276"/>
    <w:rsid w:val="007802C6"/>
    <w:rsid w:val="00780357"/>
    <w:rsid w:val="0078036B"/>
    <w:rsid w:val="0078049B"/>
    <w:rsid w:val="00780555"/>
    <w:rsid w:val="007805A1"/>
    <w:rsid w:val="0078064E"/>
    <w:rsid w:val="0078065F"/>
    <w:rsid w:val="007806F8"/>
    <w:rsid w:val="00780775"/>
    <w:rsid w:val="0078089F"/>
    <w:rsid w:val="007808EB"/>
    <w:rsid w:val="00780962"/>
    <w:rsid w:val="00780995"/>
    <w:rsid w:val="0078099A"/>
    <w:rsid w:val="00780A53"/>
    <w:rsid w:val="00780A7F"/>
    <w:rsid w:val="00780AA8"/>
    <w:rsid w:val="00780AA9"/>
    <w:rsid w:val="00780AD5"/>
    <w:rsid w:val="00780D38"/>
    <w:rsid w:val="00780D7D"/>
    <w:rsid w:val="00780D7E"/>
    <w:rsid w:val="00780E56"/>
    <w:rsid w:val="00780E74"/>
    <w:rsid w:val="00781027"/>
    <w:rsid w:val="0078109D"/>
    <w:rsid w:val="00781199"/>
    <w:rsid w:val="007811C7"/>
    <w:rsid w:val="00781213"/>
    <w:rsid w:val="00781290"/>
    <w:rsid w:val="00781307"/>
    <w:rsid w:val="00781332"/>
    <w:rsid w:val="0078141D"/>
    <w:rsid w:val="007814A9"/>
    <w:rsid w:val="007814C9"/>
    <w:rsid w:val="00781565"/>
    <w:rsid w:val="007815D0"/>
    <w:rsid w:val="007817AB"/>
    <w:rsid w:val="00781803"/>
    <w:rsid w:val="0078185E"/>
    <w:rsid w:val="007818FB"/>
    <w:rsid w:val="00781917"/>
    <w:rsid w:val="0078198F"/>
    <w:rsid w:val="007819C0"/>
    <w:rsid w:val="007819D8"/>
    <w:rsid w:val="00781A3B"/>
    <w:rsid w:val="00781B7A"/>
    <w:rsid w:val="00781BAD"/>
    <w:rsid w:val="00781BD0"/>
    <w:rsid w:val="00781C7A"/>
    <w:rsid w:val="00781CA8"/>
    <w:rsid w:val="00781D9E"/>
    <w:rsid w:val="00781E21"/>
    <w:rsid w:val="00781E59"/>
    <w:rsid w:val="00781E5D"/>
    <w:rsid w:val="00781EBC"/>
    <w:rsid w:val="00781F28"/>
    <w:rsid w:val="00781F48"/>
    <w:rsid w:val="007820E2"/>
    <w:rsid w:val="0078226A"/>
    <w:rsid w:val="007822C1"/>
    <w:rsid w:val="0078232F"/>
    <w:rsid w:val="0078239A"/>
    <w:rsid w:val="007823C1"/>
    <w:rsid w:val="007823F1"/>
    <w:rsid w:val="00782411"/>
    <w:rsid w:val="00782420"/>
    <w:rsid w:val="00782490"/>
    <w:rsid w:val="007824B1"/>
    <w:rsid w:val="007824DD"/>
    <w:rsid w:val="007824E3"/>
    <w:rsid w:val="0078257B"/>
    <w:rsid w:val="0078265B"/>
    <w:rsid w:val="00782685"/>
    <w:rsid w:val="007826C4"/>
    <w:rsid w:val="007826CD"/>
    <w:rsid w:val="007827EC"/>
    <w:rsid w:val="00782866"/>
    <w:rsid w:val="00782912"/>
    <w:rsid w:val="00782968"/>
    <w:rsid w:val="0078298A"/>
    <w:rsid w:val="007829AA"/>
    <w:rsid w:val="00782A5F"/>
    <w:rsid w:val="00782AF1"/>
    <w:rsid w:val="00782AF6"/>
    <w:rsid w:val="00782B38"/>
    <w:rsid w:val="00782B70"/>
    <w:rsid w:val="00782C67"/>
    <w:rsid w:val="00782CCD"/>
    <w:rsid w:val="00782E2E"/>
    <w:rsid w:val="00782E93"/>
    <w:rsid w:val="00782E97"/>
    <w:rsid w:val="00782EF7"/>
    <w:rsid w:val="00782F2F"/>
    <w:rsid w:val="00782FAC"/>
    <w:rsid w:val="00782FB9"/>
    <w:rsid w:val="00783094"/>
    <w:rsid w:val="00783101"/>
    <w:rsid w:val="00783212"/>
    <w:rsid w:val="0078321A"/>
    <w:rsid w:val="0078323A"/>
    <w:rsid w:val="0078328D"/>
    <w:rsid w:val="007832FF"/>
    <w:rsid w:val="0078332C"/>
    <w:rsid w:val="00783500"/>
    <w:rsid w:val="00783525"/>
    <w:rsid w:val="0078370A"/>
    <w:rsid w:val="00783719"/>
    <w:rsid w:val="007838AB"/>
    <w:rsid w:val="0078393F"/>
    <w:rsid w:val="007839AF"/>
    <w:rsid w:val="007839F3"/>
    <w:rsid w:val="00783AFF"/>
    <w:rsid w:val="00783B00"/>
    <w:rsid w:val="00783BC4"/>
    <w:rsid w:val="00783C5D"/>
    <w:rsid w:val="00783C90"/>
    <w:rsid w:val="00783D75"/>
    <w:rsid w:val="00783D98"/>
    <w:rsid w:val="00783E16"/>
    <w:rsid w:val="00783E7B"/>
    <w:rsid w:val="00783F06"/>
    <w:rsid w:val="00783F0C"/>
    <w:rsid w:val="0078401D"/>
    <w:rsid w:val="00784067"/>
    <w:rsid w:val="0078406E"/>
    <w:rsid w:val="0078408C"/>
    <w:rsid w:val="007840B5"/>
    <w:rsid w:val="00784102"/>
    <w:rsid w:val="0078412C"/>
    <w:rsid w:val="00784200"/>
    <w:rsid w:val="00784277"/>
    <w:rsid w:val="007842E0"/>
    <w:rsid w:val="00784309"/>
    <w:rsid w:val="00784330"/>
    <w:rsid w:val="0078435A"/>
    <w:rsid w:val="00784391"/>
    <w:rsid w:val="007844C7"/>
    <w:rsid w:val="007844F4"/>
    <w:rsid w:val="00784598"/>
    <w:rsid w:val="007846B6"/>
    <w:rsid w:val="007846E5"/>
    <w:rsid w:val="00784719"/>
    <w:rsid w:val="0078476F"/>
    <w:rsid w:val="00784830"/>
    <w:rsid w:val="0078489C"/>
    <w:rsid w:val="007848AE"/>
    <w:rsid w:val="007848C8"/>
    <w:rsid w:val="00784933"/>
    <w:rsid w:val="00784942"/>
    <w:rsid w:val="0078497F"/>
    <w:rsid w:val="00784A52"/>
    <w:rsid w:val="00784B2B"/>
    <w:rsid w:val="00784B83"/>
    <w:rsid w:val="00784BD7"/>
    <w:rsid w:val="00784BDB"/>
    <w:rsid w:val="00784C0A"/>
    <w:rsid w:val="00784C15"/>
    <w:rsid w:val="00784DC3"/>
    <w:rsid w:val="00784E2E"/>
    <w:rsid w:val="00784EE4"/>
    <w:rsid w:val="00784F58"/>
    <w:rsid w:val="00785013"/>
    <w:rsid w:val="00785050"/>
    <w:rsid w:val="0078505B"/>
    <w:rsid w:val="0078513C"/>
    <w:rsid w:val="007851C8"/>
    <w:rsid w:val="007852ED"/>
    <w:rsid w:val="00785313"/>
    <w:rsid w:val="0078534C"/>
    <w:rsid w:val="00785381"/>
    <w:rsid w:val="00785430"/>
    <w:rsid w:val="00785519"/>
    <w:rsid w:val="00785549"/>
    <w:rsid w:val="007855ED"/>
    <w:rsid w:val="0078564E"/>
    <w:rsid w:val="007856B2"/>
    <w:rsid w:val="007857D5"/>
    <w:rsid w:val="0078590C"/>
    <w:rsid w:val="00785911"/>
    <w:rsid w:val="00785916"/>
    <w:rsid w:val="0078592B"/>
    <w:rsid w:val="00785A0D"/>
    <w:rsid w:val="00785A27"/>
    <w:rsid w:val="00785A34"/>
    <w:rsid w:val="00785A69"/>
    <w:rsid w:val="00785AFF"/>
    <w:rsid w:val="00785B07"/>
    <w:rsid w:val="00785B4F"/>
    <w:rsid w:val="00785CDC"/>
    <w:rsid w:val="00785CE1"/>
    <w:rsid w:val="00785D8B"/>
    <w:rsid w:val="00785EE1"/>
    <w:rsid w:val="00785FEB"/>
    <w:rsid w:val="0078617A"/>
    <w:rsid w:val="00786182"/>
    <w:rsid w:val="0078621B"/>
    <w:rsid w:val="007862B2"/>
    <w:rsid w:val="0078645D"/>
    <w:rsid w:val="007864BD"/>
    <w:rsid w:val="007866A8"/>
    <w:rsid w:val="007866CD"/>
    <w:rsid w:val="00786A4E"/>
    <w:rsid w:val="00786A8C"/>
    <w:rsid w:val="00786B12"/>
    <w:rsid w:val="00786B23"/>
    <w:rsid w:val="00786BEE"/>
    <w:rsid w:val="00786C1C"/>
    <w:rsid w:val="00786DE9"/>
    <w:rsid w:val="00786F03"/>
    <w:rsid w:val="00786F6A"/>
    <w:rsid w:val="00786F93"/>
    <w:rsid w:val="00787031"/>
    <w:rsid w:val="0078727A"/>
    <w:rsid w:val="007872A2"/>
    <w:rsid w:val="007872B5"/>
    <w:rsid w:val="00787386"/>
    <w:rsid w:val="00787426"/>
    <w:rsid w:val="0078742E"/>
    <w:rsid w:val="00787491"/>
    <w:rsid w:val="00787837"/>
    <w:rsid w:val="007878E1"/>
    <w:rsid w:val="007879DE"/>
    <w:rsid w:val="00787A47"/>
    <w:rsid w:val="00787AA6"/>
    <w:rsid w:val="00787AAF"/>
    <w:rsid w:val="00787B58"/>
    <w:rsid w:val="00787BCE"/>
    <w:rsid w:val="00787C99"/>
    <w:rsid w:val="00787CCD"/>
    <w:rsid w:val="00787CEF"/>
    <w:rsid w:val="00787D9B"/>
    <w:rsid w:val="00787E9E"/>
    <w:rsid w:val="00787EF7"/>
    <w:rsid w:val="00787F57"/>
    <w:rsid w:val="00787F8B"/>
    <w:rsid w:val="00790061"/>
    <w:rsid w:val="007901EC"/>
    <w:rsid w:val="007903D1"/>
    <w:rsid w:val="007903D5"/>
    <w:rsid w:val="00790483"/>
    <w:rsid w:val="00790613"/>
    <w:rsid w:val="00790623"/>
    <w:rsid w:val="0079068E"/>
    <w:rsid w:val="007907EA"/>
    <w:rsid w:val="007908FB"/>
    <w:rsid w:val="0079091C"/>
    <w:rsid w:val="0079099C"/>
    <w:rsid w:val="007909E5"/>
    <w:rsid w:val="00790AA9"/>
    <w:rsid w:val="00790B40"/>
    <w:rsid w:val="00790B5F"/>
    <w:rsid w:val="00790BC1"/>
    <w:rsid w:val="00790C13"/>
    <w:rsid w:val="00790C5E"/>
    <w:rsid w:val="00790C69"/>
    <w:rsid w:val="00790C88"/>
    <w:rsid w:val="00790DED"/>
    <w:rsid w:val="00790E26"/>
    <w:rsid w:val="00790E75"/>
    <w:rsid w:val="00790E7D"/>
    <w:rsid w:val="00790EE3"/>
    <w:rsid w:val="00790F58"/>
    <w:rsid w:val="00791014"/>
    <w:rsid w:val="00791047"/>
    <w:rsid w:val="0079107C"/>
    <w:rsid w:val="0079107E"/>
    <w:rsid w:val="007912CE"/>
    <w:rsid w:val="007912DB"/>
    <w:rsid w:val="00791315"/>
    <w:rsid w:val="0079132D"/>
    <w:rsid w:val="0079139B"/>
    <w:rsid w:val="007913A5"/>
    <w:rsid w:val="007915A8"/>
    <w:rsid w:val="0079162F"/>
    <w:rsid w:val="00791653"/>
    <w:rsid w:val="00791673"/>
    <w:rsid w:val="007916D6"/>
    <w:rsid w:val="007916FD"/>
    <w:rsid w:val="007917F3"/>
    <w:rsid w:val="00791854"/>
    <w:rsid w:val="0079189E"/>
    <w:rsid w:val="0079190E"/>
    <w:rsid w:val="00791998"/>
    <w:rsid w:val="007919A5"/>
    <w:rsid w:val="00791A6C"/>
    <w:rsid w:val="00791A91"/>
    <w:rsid w:val="00791AE2"/>
    <w:rsid w:val="00791B84"/>
    <w:rsid w:val="00791B91"/>
    <w:rsid w:val="00791BAF"/>
    <w:rsid w:val="00791C0A"/>
    <w:rsid w:val="00791C19"/>
    <w:rsid w:val="00791CE8"/>
    <w:rsid w:val="00791D6F"/>
    <w:rsid w:val="00791DB7"/>
    <w:rsid w:val="00791DB9"/>
    <w:rsid w:val="00791E78"/>
    <w:rsid w:val="00791E96"/>
    <w:rsid w:val="00791F49"/>
    <w:rsid w:val="0079202F"/>
    <w:rsid w:val="00792060"/>
    <w:rsid w:val="00792074"/>
    <w:rsid w:val="007920D4"/>
    <w:rsid w:val="0079215A"/>
    <w:rsid w:val="0079218F"/>
    <w:rsid w:val="007921A0"/>
    <w:rsid w:val="007921D5"/>
    <w:rsid w:val="007921E4"/>
    <w:rsid w:val="00792332"/>
    <w:rsid w:val="00792347"/>
    <w:rsid w:val="00792372"/>
    <w:rsid w:val="00792378"/>
    <w:rsid w:val="007924A4"/>
    <w:rsid w:val="007924CE"/>
    <w:rsid w:val="007924D6"/>
    <w:rsid w:val="007924E6"/>
    <w:rsid w:val="007925A4"/>
    <w:rsid w:val="00792608"/>
    <w:rsid w:val="00792631"/>
    <w:rsid w:val="00792703"/>
    <w:rsid w:val="0079295F"/>
    <w:rsid w:val="00792AB0"/>
    <w:rsid w:val="00792AEA"/>
    <w:rsid w:val="00792BE2"/>
    <w:rsid w:val="00792BE4"/>
    <w:rsid w:val="00792D12"/>
    <w:rsid w:val="00792D46"/>
    <w:rsid w:val="00792D63"/>
    <w:rsid w:val="00792D6D"/>
    <w:rsid w:val="00792DCB"/>
    <w:rsid w:val="00792ED4"/>
    <w:rsid w:val="00792F19"/>
    <w:rsid w:val="00792F1A"/>
    <w:rsid w:val="0079302F"/>
    <w:rsid w:val="007930C1"/>
    <w:rsid w:val="007932A3"/>
    <w:rsid w:val="007932B6"/>
    <w:rsid w:val="007933A7"/>
    <w:rsid w:val="00793400"/>
    <w:rsid w:val="0079348C"/>
    <w:rsid w:val="007934A8"/>
    <w:rsid w:val="0079351B"/>
    <w:rsid w:val="00793529"/>
    <w:rsid w:val="0079356F"/>
    <w:rsid w:val="0079373A"/>
    <w:rsid w:val="00793827"/>
    <w:rsid w:val="0079382A"/>
    <w:rsid w:val="00793957"/>
    <w:rsid w:val="00793964"/>
    <w:rsid w:val="00793A2F"/>
    <w:rsid w:val="00793A40"/>
    <w:rsid w:val="00793AB6"/>
    <w:rsid w:val="00793AC7"/>
    <w:rsid w:val="00793B44"/>
    <w:rsid w:val="00793B56"/>
    <w:rsid w:val="00793B8B"/>
    <w:rsid w:val="00793B93"/>
    <w:rsid w:val="00793BC4"/>
    <w:rsid w:val="00793BED"/>
    <w:rsid w:val="00793C6D"/>
    <w:rsid w:val="00793C93"/>
    <w:rsid w:val="00793CB6"/>
    <w:rsid w:val="00793CF7"/>
    <w:rsid w:val="00793DA3"/>
    <w:rsid w:val="00793E96"/>
    <w:rsid w:val="00793F4A"/>
    <w:rsid w:val="00793FF2"/>
    <w:rsid w:val="0079401C"/>
    <w:rsid w:val="00794083"/>
    <w:rsid w:val="00794108"/>
    <w:rsid w:val="00794195"/>
    <w:rsid w:val="007941CD"/>
    <w:rsid w:val="0079439B"/>
    <w:rsid w:val="0079444F"/>
    <w:rsid w:val="007944F9"/>
    <w:rsid w:val="00794546"/>
    <w:rsid w:val="0079454B"/>
    <w:rsid w:val="0079474F"/>
    <w:rsid w:val="007947F4"/>
    <w:rsid w:val="007948E8"/>
    <w:rsid w:val="0079491C"/>
    <w:rsid w:val="0079493A"/>
    <w:rsid w:val="00794A0A"/>
    <w:rsid w:val="00794A4C"/>
    <w:rsid w:val="00794B40"/>
    <w:rsid w:val="00794BE6"/>
    <w:rsid w:val="00794C6F"/>
    <w:rsid w:val="00794CCC"/>
    <w:rsid w:val="00794CD1"/>
    <w:rsid w:val="00794D69"/>
    <w:rsid w:val="00794D84"/>
    <w:rsid w:val="00794DDB"/>
    <w:rsid w:val="00794DF7"/>
    <w:rsid w:val="00794EBE"/>
    <w:rsid w:val="00794F85"/>
    <w:rsid w:val="00794F9B"/>
    <w:rsid w:val="00794FD7"/>
    <w:rsid w:val="007950F6"/>
    <w:rsid w:val="0079511B"/>
    <w:rsid w:val="0079511F"/>
    <w:rsid w:val="007951AA"/>
    <w:rsid w:val="007952E2"/>
    <w:rsid w:val="0079550B"/>
    <w:rsid w:val="0079556B"/>
    <w:rsid w:val="0079558D"/>
    <w:rsid w:val="00795631"/>
    <w:rsid w:val="007957DB"/>
    <w:rsid w:val="00795815"/>
    <w:rsid w:val="007959A3"/>
    <w:rsid w:val="007959C2"/>
    <w:rsid w:val="00795A4A"/>
    <w:rsid w:val="00795A7E"/>
    <w:rsid w:val="00795A9C"/>
    <w:rsid w:val="00795B0A"/>
    <w:rsid w:val="00795BC9"/>
    <w:rsid w:val="00795D1C"/>
    <w:rsid w:val="00795D43"/>
    <w:rsid w:val="00795EA4"/>
    <w:rsid w:val="00795ECA"/>
    <w:rsid w:val="00795F53"/>
    <w:rsid w:val="00795F6D"/>
    <w:rsid w:val="00795FBE"/>
    <w:rsid w:val="0079619B"/>
    <w:rsid w:val="007961D3"/>
    <w:rsid w:val="00796226"/>
    <w:rsid w:val="00796275"/>
    <w:rsid w:val="00796326"/>
    <w:rsid w:val="00796345"/>
    <w:rsid w:val="00796390"/>
    <w:rsid w:val="00796424"/>
    <w:rsid w:val="0079652E"/>
    <w:rsid w:val="00796580"/>
    <w:rsid w:val="007965B7"/>
    <w:rsid w:val="007965CE"/>
    <w:rsid w:val="00796773"/>
    <w:rsid w:val="00796809"/>
    <w:rsid w:val="00796854"/>
    <w:rsid w:val="00796855"/>
    <w:rsid w:val="00796886"/>
    <w:rsid w:val="007968E6"/>
    <w:rsid w:val="007969A1"/>
    <w:rsid w:val="007969A2"/>
    <w:rsid w:val="00796A1E"/>
    <w:rsid w:val="00796AA5"/>
    <w:rsid w:val="00796B09"/>
    <w:rsid w:val="00796B4F"/>
    <w:rsid w:val="00796BD2"/>
    <w:rsid w:val="00796C34"/>
    <w:rsid w:val="00796C57"/>
    <w:rsid w:val="00796CD4"/>
    <w:rsid w:val="00796D4A"/>
    <w:rsid w:val="00796D9A"/>
    <w:rsid w:val="00796D9C"/>
    <w:rsid w:val="00796E26"/>
    <w:rsid w:val="00796E2F"/>
    <w:rsid w:val="00796F8A"/>
    <w:rsid w:val="00797014"/>
    <w:rsid w:val="0079702B"/>
    <w:rsid w:val="00797036"/>
    <w:rsid w:val="00797064"/>
    <w:rsid w:val="0079708D"/>
    <w:rsid w:val="00797097"/>
    <w:rsid w:val="007970FF"/>
    <w:rsid w:val="00797260"/>
    <w:rsid w:val="00797284"/>
    <w:rsid w:val="0079729D"/>
    <w:rsid w:val="00797303"/>
    <w:rsid w:val="0079731B"/>
    <w:rsid w:val="00797342"/>
    <w:rsid w:val="0079737B"/>
    <w:rsid w:val="0079740A"/>
    <w:rsid w:val="00797488"/>
    <w:rsid w:val="007974A4"/>
    <w:rsid w:val="007974AD"/>
    <w:rsid w:val="007974B0"/>
    <w:rsid w:val="0079750E"/>
    <w:rsid w:val="00797747"/>
    <w:rsid w:val="007978BB"/>
    <w:rsid w:val="00797969"/>
    <w:rsid w:val="007979A6"/>
    <w:rsid w:val="00797ACD"/>
    <w:rsid w:val="00797B40"/>
    <w:rsid w:val="00797BDA"/>
    <w:rsid w:val="00797BF5"/>
    <w:rsid w:val="00797C03"/>
    <w:rsid w:val="00797C05"/>
    <w:rsid w:val="00797D85"/>
    <w:rsid w:val="00797E62"/>
    <w:rsid w:val="00797ECA"/>
    <w:rsid w:val="00797F4A"/>
    <w:rsid w:val="00797FEC"/>
    <w:rsid w:val="007A0032"/>
    <w:rsid w:val="007A00BF"/>
    <w:rsid w:val="007A01A1"/>
    <w:rsid w:val="007A01F4"/>
    <w:rsid w:val="007A022C"/>
    <w:rsid w:val="007A0237"/>
    <w:rsid w:val="007A0278"/>
    <w:rsid w:val="007A029E"/>
    <w:rsid w:val="007A034A"/>
    <w:rsid w:val="007A0384"/>
    <w:rsid w:val="007A0395"/>
    <w:rsid w:val="007A0398"/>
    <w:rsid w:val="007A03BD"/>
    <w:rsid w:val="007A03CE"/>
    <w:rsid w:val="007A03DA"/>
    <w:rsid w:val="007A04AB"/>
    <w:rsid w:val="007A053A"/>
    <w:rsid w:val="007A05AC"/>
    <w:rsid w:val="007A05D0"/>
    <w:rsid w:val="007A06C5"/>
    <w:rsid w:val="007A0702"/>
    <w:rsid w:val="007A073A"/>
    <w:rsid w:val="007A07D4"/>
    <w:rsid w:val="007A07D6"/>
    <w:rsid w:val="007A0808"/>
    <w:rsid w:val="007A081A"/>
    <w:rsid w:val="007A085B"/>
    <w:rsid w:val="007A0862"/>
    <w:rsid w:val="007A08B3"/>
    <w:rsid w:val="007A091C"/>
    <w:rsid w:val="007A0954"/>
    <w:rsid w:val="007A0969"/>
    <w:rsid w:val="007A0A45"/>
    <w:rsid w:val="007A0C5B"/>
    <w:rsid w:val="007A0C95"/>
    <w:rsid w:val="007A0D05"/>
    <w:rsid w:val="007A0D26"/>
    <w:rsid w:val="007A0E77"/>
    <w:rsid w:val="007A1079"/>
    <w:rsid w:val="007A108D"/>
    <w:rsid w:val="007A124B"/>
    <w:rsid w:val="007A12E6"/>
    <w:rsid w:val="007A130F"/>
    <w:rsid w:val="007A138D"/>
    <w:rsid w:val="007A13F3"/>
    <w:rsid w:val="007A1455"/>
    <w:rsid w:val="007A14C8"/>
    <w:rsid w:val="007A14E7"/>
    <w:rsid w:val="007A153A"/>
    <w:rsid w:val="007A1641"/>
    <w:rsid w:val="007A166B"/>
    <w:rsid w:val="007A16AD"/>
    <w:rsid w:val="007A16FA"/>
    <w:rsid w:val="007A17C2"/>
    <w:rsid w:val="007A1822"/>
    <w:rsid w:val="007A186C"/>
    <w:rsid w:val="007A194A"/>
    <w:rsid w:val="007A197D"/>
    <w:rsid w:val="007A198D"/>
    <w:rsid w:val="007A1A07"/>
    <w:rsid w:val="007A1A2E"/>
    <w:rsid w:val="007A1A65"/>
    <w:rsid w:val="007A1A9B"/>
    <w:rsid w:val="007A1AAD"/>
    <w:rsid w:val="007A1AF9"/>
    <w:rsid w:val="007A1BEC"/>
    <w:rsid w:val="007A1C10"/>
    <w:rsid w:val="007A1CCE"/>
    <w:rsid w:val="007A1E33"/>
    <w:rsid w:val="007A1E98"/>
    <w:rsid w:val="007A1EB0"/>
    <w:rsid w:val="007A1ED2"/>
    <w:rsid w:val="007A1F82"/>
    <w:rsid w:val="007A204D"/>
    <w:rsid w:val="007A20DD"/>
    <w:rsid w:val="007A2177"/>
    <w:rsid w:val="007A21F6"/>
    <w:rsid w:val="007A22A9"/>
    <w:rsid w:val="007A22CD"/>
    <w:rsid w:val="007A234E"/>
    <w:rsid w:val="007A2467"/>
    <w:rsid w:val="007A2478"/>
    <w:rsid w:val="007A24E8"/>
    <w:rsid w:val="007A2543"/>
    <w:rsid w:val="007A2550"/>
    <w:rsid w:val="007A256F"/>
    <w:rsid w:val="007A25C3"/>
    <w:rsid w:val="007A261B"/>
    <w:rsid w:val="007A26A5"/>
    <w:rsid w:val="007A26C4"/>
    <w:rsid w:val="007A26DF"/>
    <w:rsid w:val="007A275E"/>
    <w:rsid w:val="007A2813"/>
    <w:rsid w:val="007A2819"/>
    <w:rsid w:val="007A2872"/>
    <w:rsid w:val="007A28DD"/>
    <w:rsid w:val="007A2B08"/>
    <w:rsid w:val="007A2CB0"/>
    <w:rsid w:val="007A2D25"/>
    <w:rsid w:val="007A2DAA"/>
    <w:rsid w:val="007A2E19"/>
    <w:rsid w:val="007A2E2D"/>
    <w:rsid w:val="007A2E91"/>
    <w:rsid w:val="007A2EB2"/>
    <w:rsid w:val="007A2F0A"/>
    <w:rsid w:val="007A2F9E"/>
    <w:rsid w:val="007A3013"/>
    <w:rsid w:val="007A304C"/>
    <w:rsid w:val="007A3128"/>
    <w:rsid w:val="007A3135"/>
    <w:rsid w:val="007A3154"/>
    <w:rsid w:val="007A32AE"/>
    <w:rsid w:val="007A3477"/>
    <w:rsid w:val="007A34A9"/>
    <w:rsid w:val="007A3650"/>
    <w:rsid w:val="007A37AF"/>
    <w:rsid w:val="007A37D4"/>
    <w:rsid w:val="007A3816"/>
    <w:rsid w:val="007A384A"/>
    <w:rsid w:val="007A39A1"/>
    <w:rsid w:val="007A3A1C"/>
    <w:rsid w:val="007A3A8D"/>
    <w:rsid w:val="007A3AE4"/>
    <w:rsid w:val="007A3AEA"/>
    <w:rsid w:val="007A3C3E"/>
    <w:rsid w:val="007A3C64"/>
    <w:rsid w:val="007A3CCB"/>
    <w:rsid w:val="007A3CFB"/>
    <w:rsid w:val="007A3E19"/>
    <w:rsid w:val="007A3F06"/>
    <w:rsid w:val="007A3F83"/>
    <w:rsid w:val="007A3FA6"/>
    <w:rsid w:val="007A415C"/>
    <w:rsid w:val="007A41D2"/>
    <w:rsid w:val="007A421F"/>
    <w:rsid w:val="007A422D"/>
    <w:rsid w:val="007A432D"/>
    <w:rsid w:val="007A4371"/>
    <w:rsid w:val="007A43CA"/>
    <w:rsid w:val="007A43ED"/>
    <w:rsid w:val="007A44CB"/>
    <w:rsid w:val="007A44F0"/>
    <w:rsid w:val="007A451B"/>
    <w:rsid w:val="007A456B"/>
    <w:rsid w:val="007A457A"/>
    <w:rsid w:val="007A45E4"/>
    <w:rsid w:val="007A46B4"/>
    <w:rsid w:val="007A472C"/>
    <w:rsid w:val="007A47A9"/>
    <w:rsid w:val="007A48B4"/>
    <w:rsid w:val="007A48D6"/>
    <w:rsid w:val="007A48D7"/>
    <w:rsid w:val="007A4984"/>
    <w:rsid w:val="007A49BB"/>
    <w:rsid w:val="007A4B1A"/>
    <w:rsid w:val="007A4B51"/>
    <w:rsid w:val="007A4B69"/>
    <w:rsid w:val="007A4B75"/>
    <w:rsid w:val="007A4C24"/>
    <w:rsid w:val="007A4D3F"/>
    <w:rsid w:val="007A4DB6"/>
    <w:rsid w:val="007A4DC1"/>
    <w:rsid w:val="007A4E8E"/>
    <w:rsid w:val="007A4EB9"/>
    <w:rsid w:val="007A4EE9"/>
    <w:rsid w:val="007A4F99"/>
    <w:rsid w:val="007A5008"/>
    <w:rsid w:val="007A5099"/>
    <w:rsid w:val="007A51AE"/>
    <w:rsid w:val="007A5227"/>
    <w:rsid w:val="007A5357"/>
    <w:rsid w:val="007A5384"/>
    <w:rsid w:val="007A544E"/>
    <w:rsid w:val="007A559F"/>
    <w:rsid w:val="007A55D6"/>
    <w:rsid w:val="007A5610"/>
    <w:rsid w:val="007A567C"/>
    <w:rsid w:val="007A5746"/>
    <w:rsid w:val="007A57AE"/>
    <w:rsid w:val="007A57CB"/>
    <w:rsid w:val="007A587C"/>
    <w:rsid w:val="007A5892"/>
    <w:rsid w:val="007A58EB"/>
    <w:rsid w:val="007A5A2A"/>
    <w:rsid w:val="007A5AA7"/>
    <w:rsid w:val="007A5AA8"/>
    <w:rsid w:val="007A5AEE"/>
    <w:rsid w:val="007A5B9F"/>
    <w:rsid w:val="007A5CAE"/>
    <w:rsid w:val="007A5CB4"/>
    <w:rsid w:val="007A5D3E"/>
    <w:rsid w:val="007A5DE1"/>
    <w:rsid w:val="007A5DE6"/>
    <w:rsid w:val="007A5E6F"/>
    <w:rsid w:val="007A5EB5"/>
    <w:rsid w:val="007A5FD4"/>
    <w:rsid w:val="007A5FE4"/>
    <w:rsid w:val="007A6006"/>
    <w:rsid w:val="007A60D9"/>
    <w:rsid w:val="007A614F"/>
    <w:rsid w:val="007A62AC"/>
    <w:rsid w:val="007A6396"/>
    <w:rsid w:val="007A63B0"/>
    <w:rsid w:val="007A63C3"/>
    <w:rsid w:val="007A63DE"/>
    <w:rsid w:val="007A63FA"/>
    <w:rsid w:val="007A6497"/>
    <w:rsid w:val="007A66DA"/>
    <w:rsid w:val="007A67B4"/>
    <w:rsid w:val="007A67E7"/>
    <w:rsid w:val="007A6808"/>
    <w:rsid w:val="007A685B"/>
    <w:rsid w:val="007A6954"/>
    <w:rsid w:val="007A6967"/>
    <w:rsid w:val="007A6991"/>
    <w:rsid w:val="007A69B8"/>
    <w:rsid w:val="007A6A26"/>
    <w:rsid w:val="007A6AAB"/>
    <w:rsid w:val="007A6AFA"/>
    <w:rsid w:val="007A6C95"/>
    <w:rsid w:val="007A6CB7"/>
    <w:rsid w:val="007A6D8B"/>
    <w:rsid w:val="007A6DB0"/>
    <w:rsid w:val="007A6EB1"/>
    <w:rsid w:val="007A705A"/>
    <w:rsid w:val="007A7076"/>
    <w:rsid w:val="007A70C1"/>
    <w:rsid w:val="007A7123"/>
    <w:rsid w:val="007A71B5"/>
    <w:rsid w:val="007A71EF"/>
    <w:rsid w:val="007A7207"/>
    <w:rsid w:val="007A7284"/>
    <w:rsid w:val="007A730F"/>
    <w:rsid w:val="007A7312"/>
    <w:rsid w:val="007A7420"/>
    <w:rsid w:val="007A7432"/>
    <w:rsid w:val="007A7448"/>
    <w:rsid w:val="007A747F"/>
    <w:rsid w:val="007A74C9"/>
    <w:rsid w:val="007A756B"/>
    <w:rsid w:val="007A75F0"/>
    <w:rsid w:val="007A76E5"/>
    <w:rsid w:val="007A7711"/>
    <w:rsid w:val="007A775E"/>
    <w:rsid w:val="007A77DC"/>
    <w:rsid w:val="007A7820"/>
    <w:rsid w:val="007A78E2"/>
    <w:rsid w:val="007A7913"/>
    <w:rsid w:val="007A794E"/>
    <w:rsid w:val="007A7993"/>
    <w:rsid w:val="007A799D"/>
    <w:rsid w:val="007A79A2"/>
    <w:rsid w:val="007A79B6"/>
    <w:rsid w:val="007A7A0D"/>
    <w:rsid w:val="007A7A20"/>
    <w:rsid w:val="007A7A38"/>
    <w:rsid w:val="007A7AC3"/>
    <w:rsid w:val="007A7B83"/>
    <w:rsid w:val="007A7BFB"/>
    <w:rsid w:val="007A7C62"/>
    <w:rsid w:val="007A7C72"/>
    <w:rsid w:val="007A7C76"/>
    <w:rsid w:val="007A7CC8"/>
    <w:rsid w:val="007A7CC9"/>
    <w:rsid w:val="007A7D6D"/>
    <w:rsid w:val="007A7DC7"/>
    <w:rsid w:val="007A7E1F"/>
    <w:rsid w:val="007A7F09"/>
    <w:rsid w:val="007B0208"/>
    <w:rsid w:val="007B042E"/>
    <w:rsid w:val="007B04D8"/>
    <w:rsid w:val="007B05C2"/>
    <w:rsid w:val="007B06C4"/>
    <w:rsid w:val="007B0704"/>
    <w:rsid w:val="007B07A8"/>
    <w:rsid w:val="007B07F5"/>
    <w:rsid w:val="007B0877"/>
    <w:rsid w:val="007B08A3"/>
    <w:rsid w:val="007B08CA"/>
    <w:rsid w:val="007B095C"/>
    <w:rsid w:val="007B0969"/>
    <w:rsid w:val="007B09E5"/>
    <w:rsid w:val="007B09EF"/>
    <w:rsid w:val="007B0A00"/>
    <w:rsid w:val="007B0AD9"/>
    <w:rsid w:val="007B0B79"/>
    <w:rsid w:val="007B0CAE"/>
    <w:rsid w:val="007B0D12"/>
    <w:rsid w:val="007B0D42"/>
    <w:rsid w:val="007B0D5C"/>
    <w:rsid w:val="007B0DAD"/>
    <w:rsid w:val="007B0FA7"/>
    <w:rsid w:val="007B10AD"/>
    <w:rsid w:val="007B10E0"/>
    <w:rsid w:val="007B114C"/>
    <w:rsid w:val="007B1165"/>
    <w:rsid w:val="007B1201"/>
    <w:rsid w:val="007B126D"/>
    <w:rsid w:val="007B1274"/>
    <w:rsid w:val="007B12B7"/>
    <w:rsid w:val="007B131E"/>
    <w:rsid w:val="007B1355"/>
    <w:rsid w:val="007B1382"/>
    <w:rsid w:val="007B1396"/>
    <w:rsid w:val="007B1437"/>
    <w:rsid w:val="007B1474"/>
    <w:rsid w:val="007B14B8"/>
    <w:rsid w:val="007B1583"/>
    <w:rsid w:val="007B15F3"/>
    <w:rsid w:val="007B1659"/>
    <w:rsid w:val="007B1691"/>
    <w:rsid w:val="007B16B2"/>
    <w:rsid w:val="007B16D4"/>
    <w:rsid w:val="007B16EB"/>
    <w:rsid w:val="007B16FB"/>
    <w:rsid w:val="007B1730"/>
    <w:rsid w:val="007B1741"/>
    <w:rsid w:val="007B17CD"/>
    <w:rsid w:val="007B182B"/>
    <w:rsid w:val="007B1906"/>
    <w:rsid w:val="007B1914"/>
    <w:rsid w:val="007B1AA0"/>
    <w:rsid w:val="007B1AC9"/>
    <w:rsid w:val="007B1CD9"/>
    <w:rsid w:val="007B1DE8"/>
    <w:rsid w:val="007B1E23"/>
    <w:rsid w:val="007B1E34"/>
    <w:rsid w:val="007B20E9"/>
    <w:rsid w:val="007B215C"/>
    <w:rsid w:val="007B2178"/>
    <w:rsid w:val="007B225F"/>
    <w:rsid w:val="007B22F2"/>
    <w:rsid w:val="007B2353"/>
    <w:rsid w:val="007B24A9"/>
    <w:rsid w:val="007B24C1"/>
    <w:rsid w:val="007B2677"/>
    <w:rsid w:val="007B26B0"/>
    <w:rsid w:val="007B26DF"/>
    <w:rsid w:val="007B26E0"/>
    <w:rsid w:val="007B2709"/>
    <w:rsid w:val="007B27D7"/>
    <w:rsid w:val="007B27E3"/>
    <w:rsid w:val="007B27EC"/>
    <w:rsid w:val="007B27F8"/>
    <w:rsid w:val="007B283D"/>
    <w:rsid w:val="007B28FD"/>
    <w:rsid w:val="007B2956"/>
    <w:rsid w:val="007B29A4"/>
    <w:rsid w:val="007B2A75"/>
    <w:rsid w:val="007B2B58"/>
    <w:rsid w:val="007B2B8D"/>
    <w:rsid w:val="007B2BB5"/>
    <w:rsid w:val="007B2C1E"/>
    <w:rsid w:val="007B2D0D"/>
    <w:rsid w:val="007B2D6B"/>
    <w:rsid w:val="007B2DAE"/>
    <w:rsid w:val="007B2ECA"/>
    <w:rsid w:val="007B2F7A"/>
    <w:rsid w:val="007B2FB8"/>
    <w:rsid w:val="007B3146"/>
    <w:rsid w:val="007B3210"/>
    <w:rsid w:val="007B3290"/>
    <w:rsid w:val="007B32A8"/>
    <w:rsid w:val="007B32B8"/>
    <w:rsid w:val="007B32C8"/>
    <w:rsid w:val="007B32E5"/>
    <w:rsid w:val="007B3379"/>
    <w:rsid w:val="007B339B"/>
    <w:rsid w:val="007B33DE"/>
    <w:rsid w:val="007B3602"/>
    <w:rsid w:val="007B3682"/>
    <w:rsid w:val="007B3734"/>
    <w:rsid w:val="007B3737"/>
    <w:rsid w:val="007B37EB"/>
    <w:rsid w:val="007B3808"/>
    <w:rsid w:val="007B388A"/>
    <w:rsid w:val="007B3917"/>
    <w:rsid w:val="007B39CD"/>
    <w:rsid w:val="007B39E3"/>
    <w:rsid w:val="007B3A1F"/>
    <w:rsid w:val="007B3B35"/>
    <w:rsid w:val="007B3B37"/>
    <w:rsid w:val="007B3BB2"/>
    <w:rsid w:val="007B3BB8"/>
    <w:rsid w:val="007B3BD9"/>
    <w:rsid w:val="007B3C4E"/>
    <w:rsid w:val="007B3CFD"/>
    <w:rsid w:val="007B3E73"/>
    <w:rsid w:val="007B3E75"/>
    <w:rsid w:val="007B3EF1"/>
    <w:rsid w:val="007B4001"/>
    <w:rsid w:val="007B404F"/>
    <w:rsid w:val="007B4056"/>
    <w:rsid w:val="007B4096"/>
    <w:rsid w:val="007B410C"/>
    <w:rsid w:val="007B417C"/>
    <w:rsid w:val="007B4188"/>
    <w:rsid w:val="007B4209"/>
    <w:rsid w:val="007B4229"/>
    <w:rsid w:val="007B4241"/>
    <w:rsid w:val="007B4267"/>
    <w:rsid w:val="007B4294"/>
    <w:rsid w:val="007B42CF"/>
    <w:rsid w:val="007B433A"/>
    <w:rsid w:val="007B4359"/>
    <w:rsid w:val="007B43A3"/>
    <w:rsid w:val="007B43F0"/>
    <w:rsid w:val="007B443F"/>
    <w:rsid w:val="007B4542"/>
    <w:rsid w:val="007B4567"/>
    <w:rsid w:val="007B45D0"/>
    <w:rsid w:val="007B4694"/>
    <w:rsid w:val="007B469D"/>
    <w:rsid w:val="007B472C"/>
    <w:rsid w:val="007B4750"/>
    <w:rsid w:val="007B4757"/>
    <w:rsid w:val="007B4AAC"/>
    <w:rsid w:val="007B4B8D"/>
    <w:rsid w:val="007B4C1F"/>
    <w:rsid w:val="007B4D54"/>
    <w:rsid w:val="007B4E14"/>
    <w:rsid w:val="007B4E6A"/>
    <w:rsid w:val="007B4E8B"/>
    <w:rsid w:val="007B4ECD"/>
    <w:rsid w:val="007B4EE4"/>
    <w:rsid w:val="007B4F12"/>
    <w:rsid w:val="007B4FED"/>
    <w:rsid w:val="007B50CD"/>
    <w:rsid w:val="007B5199"/>
    <w:rsid w:val="007B5223"/>
    <w:rsid w:val="007B52F9"/>
    <w:rsid w:val="007B5341"/>
    <w:rsid w:val="007B5356"/>
    <w:rsid w:val="007B5450"/>
    <w:rsid w:val="007B5454"/>
    <w:rsid w:val="007B54E0"/>
    <w:rsid w:val="007B5726"/>
    <w:rsid w:val="007B5952"/>
    <w:rsid w:val="007B59BC"/>
    <w:rsid w:val="007B5A81"/>
    <w:rsid w:val="007B5B2E"/>
    <w:rsid w:val="007B5B2F"/>
    <w:rsid w:val="007B5B4D"/>
    <w:rsid w:val="007B5BA3"/>
    <w:rsid w:val="007B5BED"/>
    <w:rsid w:val="007B5E02"/>
    <w:rsid w:val="007B5E04"/>
    <w:rsid w:val="007B5ECB"/>
    <w:rsid w:val="007B5EE0"/>
    <w:rsid w:val="007B5F07"/>
    <w:rsid w:val="007B5F50"/>
    <w:rsid w:val="007B5FD3"/>
    <w:rsid w:val="007B602F"/>
    <w:rsid w:val="007B60C4"/>
    <w:rsid w:val="007B60F1"/>
    <w:rsid w:val="007B617A"/>
    <w:rsid w:val="007B622D"/>
    <w:rsid w:val="007B62A5"/>
    <w:rsid w:val="007B62A9"/>
    <w:rsid w:val="007B62AA"/>
    <w:rsid w:val="007B6482"/>
    <w:rsid w:val="007B661D"/>
    <w:rsid w:val="007B66C4"/>
    <w:rsid w:val="007B6720"/>
    <w:rsid w:val="007B6727"/>
    <w:rsid w:val="007B672C"/>
    <w:rsid w:val="007B6779"/>
    <w:rsid w:val="007B67A9"/>
    <w:rsid w:val="007B67E6"/>
    <w:rsid w:val="007B688C"/>
    <w:rsid w:val="007B68BD"/>
    <w:rsid w:val="007B6987"/>
    <w:rsid w:val="007B6999"/>
    <w:rsid w:val="007B6A8C"/>
    <w:rsid w:val="007B6AA0"/>
    <w:rsid w:val="007B6ACF"/>
    <w:rsid w:val="007B6CBE"/>
    <w:rsid w:val="007B6D50"/>
    <w:rsid w:val="007B6D9E"/>
    <w:rsid w:val="007B6DA7"/>
    <w:rsid w:val="007B6DEB"/>
    <w:rsid w:val="007B6DFD"/>
    <w:rsid w:val="007B6E93"/>
    <w:rsid w:val="007B6EAE"/>
    <w:rsid w:val="007B6F5D"/>
    <w:rsid w:val="007B6F88"/>
    <w:rsid w:val="007B6FB5"/>
    <w:rsid w:val="007B703B"/>
    <w:rsid w:val="007B7043"/>
    <w:rsid w:val="007B705A"/>
    <w:rsid w:val="007B713E"/>
    <w:rsid w:val="007B7168"/>
    <w:rsid w:val="007B729B"/>
    <w:rsid w:val="007B72C4"/>
    <w:rsid w:val="007B73FF"/>
    <w:rsid w:val="007B7437"/>
    <w:rsid w:val="007B743C"/>
    <w:rsid w:val="007B7472"/>
    <w:rsid w:val="007B74A2"/>
    <w:rsid w:val="007B7593"/>
    <w:rsid w:val="007B760D"/>
    <w:rsid w:val="007B76AB"/>
    <w:rsid w:val="007B772A"/>
    <w:rsid w:val="007B77AE"/>
    <w:rsid w:val="007B78A0"/>
    <w:rsid w:val="007B78D2"/>
    <w:rsid w:val="007B7A32"/>
    <w:rsid w:val="007B7B4C"/>
    <w:rsid w:val="007B7D3D"/>
    <w:rsid w:val="007B7E34"/>
    <w:rsid w:val="007B7ECC"/>
    <w:rsid w:val="007B7EE2"/>
    <w:rsid w:val="007C007C"/>
    <w:rsid w:val="007C0187"/>
    <w:rsid w:val="007C020F"/>
    <w:rsid w:val="007C02CD"/>
    <w:rsid w:val="007C03D9"/>
    <w:rsid w:val="007C0433"/>
    <w:rsid w:val="007C04FF"/>
    <w:rsid w:val="007C0516"/>
    <w:rsid w:val="007C05D7"/>
    <w:rsid w:val="007C05F8"/>
    <w:rsid w:val="007C063F"/>
    <w:rsid w:val="007C0733"/>
    <w:rsid w:val="007C0771"/>
    <w:rsid w:val="007C09A9"/>
    <w:rsid w:val="007C09EB"/>
    <w:rsid w:val="007C0A65"/>
    <w:rsid w:val="007C0AC1"/>
    <w:rsid w:val="007C0B1C"/>
    <w:rsid w:val="007C0C7E"/>
    <w:rsid w:val="007C0CAE"/>
    <w:rsid w:val="007C0CE5"/>
    <w:rsid w:val="007C0CFA"/>
    <w:rsid w:val="007C0D1F"/>
    <w:rsid w:val="007C0D5A"/>
    <w:rsid w:val="007C0D6B"/>
    <w:rsid w:val="007C0DA8"/>
    <w:rsid w:val="007C0E03"/>
    <w:rsid w:val="007C0E09"/>
    <w:rsid w:val="007C0EA0"/>
    <w:rsid w:val="007C0F96"/>
    <w:rsid w:val="007C0FBB"/>
    <w:rsid w:val="007C1019"/>
    <w:rsid w:val="007C109D"/>
    <w:rsid w:val="007C109F"/>
    <w:rsid w:val="007C10C0"/>
    <w:rsid w:val="007C10FB"/>
    <w:rsid w:val="007C11C0"/>
    <w:rsid w:val="007C11CB"/>
    <w:rsid w:val="007C1226"/>
    <w:rsid w:val="007C1281"/>
    <w:rsid w:val="007C129F"/>
    <w:rsid w:val="007C12C8"/>
    <w:rsid w:val="007C12DF"/>
    <w:rsid w:val="007C130F"/>
    <w:rsid w:val="007C13CE"/>
    <w:rsid w:val="007C13E1"/>
    <w:rsid w:val="007C13E2"/>
    <w:rsid w:val="007C146C"/>
    <w:rsid w:val="007C147F"/>
    <w:rsid w:val="007C1571"/>
    <w:rsid w:val="007C1657"/>
    <w:rsid w:val="007C17B1"/>
    <w:rsid w:val="007C1966"/>
    <w:rsid w:val="007C19BC"/>
    <w:rsid w:val="007C1AA6"/>
    <w:rsid w:val="007C1AB8"/>
    <w:rsid w:val="007C1B2C"/>
    <w:rsid w:val="007C1CE5"/>
    <w:rsid w:val="007C1CE6"/>
    <w:rsid w:val="007C1D7F"/>
    <w:rsid w:val="007C1E4D"/>
    <w:rsid w:val="007C1F63"/>
    <w:rsid w:val="007C2021"/>
    <w:rsid w:val="007C203C"/>
    <w:rsid w:val="007C2085"/>
    <w:rsid w:val="007C21E9"/>
    <w:rsid w:val="007C22E8"/>
    <w:rsid w:val="007C230B"/>
    <w:rsid w:val="007C232E"/>
    <w:rsid w:val="007C237A"/>
    <w:rsid w:val="007C238A"/>
    <w:rsid w:val="007C23A0"/>
    <w:rsid w:val="007C24B6"/>
    <w:rsid w:val="007C271A"/>
    <w:rsid w:val="007C271C"/>
    <w:rsid w:val="007C2800"/>
    <w:rsid w:val="007C2889"/>
    <w:rsid w:val="007C28BF"/>
    <w:rsid w:val="007C290C"/>
    <w:rsid w:val="007C29D6"/>
    <w:rsid w:val="007C29E7"/>
    <w:rsid w:val="007C2A03"/>
    <w:rsid w:val="007C2A09"/>
    <w:rsid w:val="007C2A36"/>
    <w:rsid w:val="007C2AB0"/>
    <w:rsid w:val="007C2AB2"/>
    <w:rsid w:val="007C2ABD"/>
    <w:rsid w:val="007C2B2C"/>
    <w:rsid w:val="007C2B7C"/>
    <w:rsid w:val="007C2BB8"/>
    <w:rsid w:val="007C2BBF"/>
    <w:rsid w:val="007C2CD1"/>
    <w:rsid w:val="007C2D5A"/>
    <w:rsid w:val="007C2D63"/>
    <w:rsid w:val="007C2E02"/>
    <w:rsid w:val="007C2E18"/>
    <w:rsid w:val="007C2E3C"/>
    <w:rsid w:val="007C2F60"/>
    <w:rsid w:val="007C3065"/>
    <w:rsid w:val="007C3286"/>
    <w:rsid w:val="007C33C2"/>
    <w:rsid w:val="007C344E"/>
    <w:rsid w:val="007C35A5"/>
    <w:rsid w:val="007C35D6"/>
    <w:rsid w:val="007C3708"/>
    <w:rsid w:val="007C37A0"/>
    <w:rsid w:val="007C37B1"/>
    <w:rsid w:val="007C37BE"/>
    <w:rsid w:val="007C3892"/>
    <w:rsid w:val="007C38BA"/>
    <w:rsid w:val="007C38D1"/>
    <w:rsid w:val="007C396E"/>
    <w:rsid w:val="007C396F"/>
    <w:rsid w:val="007C3998"/>
    <w:rsid w:val="007C3A1C"/>
    <w:rsid w:val="007C3AE3"/>
    <w:rsid w:val="007C3AF5"/>
    <w:rsid w:val="007C3B24"/>
    <w:rsid w:val="007C3B4F"/>
    <w:rsid w:val="007C3C7C"/>
    <w:rsid w:val="007C3DAC"/>
    <w:rsid w:val="007C3E1C"/>
    <w:rsid w:val="007C3EA1"/>
    <w:rsid w:val="007C4035"/>
    <w:rsid w:val="007C40E5"/>
    <w:rsid w:val="007C4194"/>
    <w:rsid w:val="007C42D6"/>
    <w:rsid w:val="007C437C"/>
    <w:rsid w:val="007C43CD"/>
    <w:rsid w:val="007C43D7"/>
    <w:rsid w:val="007C445F"/>
    <w:rsid w:val="007C44D4"/>
    <w:rsid w:val="007C456C"/>
    <w:rsid w:val="007C459B"/>
    <w:rsid w:val="007C4667"/>
    <w:rsid w:val="007C46A9"/>
    <w:rsid w:val="007C46E5"/>
    <w:rsid w:val="007C471C"/>
    <w:rsid w:val="007C4991"/>
    <w:rsid w:val="007C4AC5"/>
    <w:rsid w:val="007C4AEE"/>
    <w:rsid w:val="007C4B1C"/>
    <w:rsid w:val="007C4B48"/>
    <w:rsid w:val="007C4B51"/>
    <w:rsid w:val="007C4BFC"/>
    <w:rsid w:val="007C4E43"/>
    <w:rsid w:val="007C4F84"/>
    <w:rsid w:val="007C4F92"/>
    <w:rsid w:val="007C5033"/>
    <w:rsid w:val="007C503E"/>
    <w:rsid w:val="007C5087"/>
    <w:rsid w:val="007C50B0"/>
    <w:rsid w:val="007C514E"/>
    <w:rsid w:val="007C51DE"/>
    <w:rsid w:val="007C5224"/>
    <w:rsid w:val="007C5283"/>
    <w:rsid w:val="007C52D8"/>
    <w:rsid w:val="007C540A"/>
    <w:rsid w:val="007C541F"/>
    <w:rsid w:val="007C5465"/>
    <w:rsid w:val="007C556E"/>
    <w:rsid w:val="007C5580"/>
    <w:rsid w:val="007C5771"/>
    <w:rsid w:val="007C5788"/>
    <w:rsid w:val="007C5795"/>
    <w:rsid w:val="007C57B3"/>
    <w:rsid w:val="007C595A"/>
    <w:rsid w:val="007C598D"/>
    <w:rsid w:val="007C5A64"/>
    <w:rsid w:val="007C5B1B"/>
    <w:rsid w:val="007C5B43"/>
    <w:rsid w:val="007C5B73"/>
    <w:rsid w:val="007C5C53"/>
    <w:rsid w:val="007C5C55"/>
    <w:rsid w:val="007C5D1D"/>
    <w:rsid w:val="007C5D9C"/>
    <w:rsid w:val="007C5DDF"/>
    <w:rsid w:val="007C5E14"/>
    <w:rsid w:val="007C5E77"/>
    <w:rsid w:val="007C5F82"/>
    <w:rsid w:val="007C6000"/>
    <w:rsid w:val="007C6077"/>
    <w:rsid w:val="007C609C"/>
    <w:rsid w:val="007C609F"/>
    <w:rsid w:val="007C6122"/>
    <w:rsid w:val="007C6150"/>
    <w:rsid w:val="007C6199"/>
    <w:rsid w:val="007C61EB"/>
    <w:rsid w:val="007C620D"/>
    <w:rsid w:val="007C6242"/>
    <w:rsid w:val="007C62B1"/>
    <w:rsid w:val="007C6307"/>
    <w:rsid w:val="007C64F3"/>
    <w:rsid w:val="007C6604"/>
    <w:rsid w:val="007C6636"/>
    <w:rsid w:val="007C6698"/>
    <w:rsid w:val="007C67B4"/>
    <w:rsid w:val="007C68B1"/>
    <w:rsid w:val="007C6A56"/>
    <w:rsid w:val="007C6AC5"/>
    <w:rsid w:val="007C6B73"/>
    <w:rsid w:val="007C6BCD"/>
    <w:rsid w:val="007C6BF7"/>
    <w:rsid w:val="007C6C07"/>
    <w:rsid w:val="007C6D07"/>
    <w:rsid w:val="007C6D21"/>
    <w:rsid w:val="007C6E04"/>
    <w:rsid w:val="007C6E2E"/>
    <w:rsid w:val="007C6EEF"/>
    <w:rsid w:val="007C7219"/>
    <w:rsid w:val="007C7365"/>
    <w:rsid w:val="007C7374"/>
    <w:rsid w:val="007C738A"/>
    <w:rsid w:val="007C7395"/>
    <w:rsid w:val="007C73A5"/>
    <w:rsid w:val="007C7491"/>
    <w:rsid w:val="007C7664"/>
    <w:rsid w:val="007C7766"/>
    <w:rsid w:val="007C77E2"/>
    <w:rsid w:val="007C784B"/>
    <w:rsid w:val="007C7890"/>
    <w:rsid w:val="007C7907"/>
    <w:rsid w:val="007C79F7"/>
    <w:rsid w:val="007C7B38"/>
    <w:rsid w:val="007C7B45"/>
    <w:rsid w:val="007C7B69"/>
    <w:rsid w:val="007C7B75"/>
    <w:rsid w:val="007C7BA5"/>
    <w:rsid w:val="007C7C46"/>
    <w:rsid w:val="007C7CE1"/>
    <w:rsid w:val="007C7D4C"/>
    <w:rsid w:val="007D0008"/>
    <w:rsid w:val="007D013A"/>
    <w:rsid w:val="007D017F"/>
    <w:rsid w:val="007D018D"/>
    <w:rsid w:val="007D01BD"/>
    <w:rsid w:val="007D01EA"/>
    <w:rsid w:val="007D02F4"/>
    <w:rsid w:val="007D032F"/>
    <w:rsid w:val="007D03DE"/>
    <w:rsid w:val="007D0457"/>
    <w:rsid w:val="007D0474"/>
    <w:rsid w:val="007D0525"/>
    <w:rsid w:val="007D053D"/>
    <w:rsid w:val="007D0551"/>
    <w:rsid w:val="007D0607"/>
    <w:rsid w:val="007D066B"/>
    <w:rsid w:val="007D0683"/>
    <w:rsid w:val="007D06F3"/>
    <w:rsid w:val="007D074A"/>
    <w:rsid w:val="007D078C"/>
    <w:rsid w:val="007D080F"/>
    <w:rsid w:val="007D082E"/>
    <w:rsid w:val="007D08C2"/>
    <w:rsid w:val="007D08C6"/>
    <w:rsid w:val="007D09ED"/>
    <w:rsid w:val="007D09F5"/>
    <w:rsid w:val="007D0A06"/>
    <w:rsid w:val="007D0A2A"/>
    <w:rsid w:val="007D0A45"/>
    <w:rsid w:val="007D0A80"/>
    <w:rsid w:val="007D0B07"/>
    <w:rsid w:val="007D0B1A"/>
    <w:rsid w:val="007D0B34"/>
    <w:rsid w:val="007D0B79"/>
    <w:rsid w:val="007D0C14"/>
    <w:rsid w:val="007D0C23"/>
    <w:rsid w:val="007D0CA2"/>
    <w:rsid w:val="007D0CBF"/>
    <w:rsid w:val="007D0CE0"/>
    <w:rsid w:val="007D0EA6"/>
    <w:rsid w:val="007D0F13"/>
    <w:rsid w:val="007D0F1E"/>
    <w:rsid w:val="007D0F9B"/>
    <w:rsid w:val="007D0FF6"/>
    <w:rsid w:val="007D1068"/>
    <w:rsid w:val="007D10D1"/>
    <w:rsid w:val="007D10E8"/>
    <w:rsid w:val="007D113A"/>
    <w:rsid w:val="007D1157"/>
    <w:rsid w:val="007D1217"/>
    <w:rsid w:val="007D1220"/>
    <w:rsid w:val="007D123C"/>
    <w:rsid w:val="007D1255"/>
    <w:rsid w:val="007D13C3"/>
    <w:rsid w:val="007D142D"/>
    <w:rsid w:val="007D1437"/>
    <w:rsid w:val="007D155B"/>
    <w:rsid w:val="007D1742"/>
    <w:rsid w:val="007D17CB"/>
    <w:rsid w:val="007D1816"/>
    <w:rsid w:val="007D197F"/>
    <w:rsid w:val="007D1982"/>
    <w:rsid w:val="007D199C"/>
    <w:rsid w:val="007D19C4"/>
    <w:rsid w:val="007D19D1"/>
    <w:rsid w:val="007D1A17"/>
    <w:rsid w:val="007D1AFB"/>
    <w:rsid w:val="007D1B6D"/>
    <w:rsid w:val="007D1B6E"/>
    <w:rsid w:val="007D1BD7"/>
    <w:rsid w:val="007D1C3B"/>
    <w:rsid w:val="007D1CDF"/>
    <w:rsid w:val="007D1D6D"/>
    <w:rsid w:val="007D1DA7"/>
    <w:rsid w:val="007D1DC8"/>
    <w:rsid w:val="007D1E53"/>
    <w:rsid w:val="007D1EF5"/>
    <w:rsid w:val="007D1F0A"/>
    <w:rsid w:val="007D1F88"/>
    <w:rsid w:val="007D1FF2"/>
    <w:rsid w:val="007D203D"/>
    <w:rsid w:val="007D2086"/>
    <w:rsid w:val="007D22BE"/>
    <w:rsid w:val="007D24FD"/>
    <w:rsid w:val="007D2511"/>
    <w:rsid w:val="007D25BC"/>
    <w:rsid w:val="007D260A"/>
    <w:rsid w:val="007D2650"/>
    <w:rsid w:val="007D267A"/>
    <w:rsid w:val="007D2760"/>
    <w:rsid w:val="007D276C"/>
    <w:rsid w:val="007D2844"/>
    <w:rsid w:val="007D28C1"/>
    <w:rsid w:val="007D28D6"/>
    <w:rsid w:val="007D2911"/>
    <w:rsid w:val="007D2947"/>
    <w:rsid w:val="007D2964"/>
    <w:rsid w:val="007D2AB8"/>
    <w:rsid w:val="007D2AC0"/>
    <w:rsid w:val="007D2AC3"/>
    <w:rsid w:val="007D2B94"/>
    <w:rsid w:val="007D2C26"/>
    <w:rsid w:val="007D2C88"/>
    <w:rsid w:val="007D2D1A"/>
    <w:rsid w:val="007D2F0C"/>
    <w:rsid w:val="007D2F1B"/>
    <w:rsid w:val="007D2F4C"/>
    <w:rsid w:val="007D2FEB"/>
    <w:rsid w:val="007D3016"/>
    <w:rsid w:val="007D3025"/>
    <w:rsid w:val="007D3162"/>
    <w:rsid w:val="007D3254"/>
    <w:rsid w:val="007D32F9"/>
    <w:rsid w:val="007D3496"/>
    <w:rsid w:val="007D349C"/>
    <w:rsid w:val="007D3583"/>
    <w:rsid w:val="007D35E3"/>
    <w:rsid w:val="007D35EE"/>
    <w:rsid w:val="007D3636"/>
    <w:rsid w:val="007D3663"/>
    <w:rsid w:val="007D3664"/>
    <w:rsid w:val="007D36B5"/>
    <w:rsid w:val="007D37A0"/>
    <w:rsid w:val="007D382E"/>
    <w:rsid w:val="007D399D"/>
    <w:rsid w:val="007D39C3"/>
    <w:rsid w:val="007D39DE"/>
    <w:rsid w:val="007D3A70"/>
    <w:rsid w:val="007D3AEA"/>
    <w:rsid w:val="007D3BA4"/>
    <w:rsid w:val="007D3CD5"/>
    <w:rsid w:val="007D3D3B"/>
    <w:rsid w:val="007D3D57"/>
    <w:rsid w:val="007D3D85"/>
    <w:rsid w:val="007D3DB9"/>
    <w:rsid w:val="007D3E07"/>
    <w:rsid w:val="007D3E9A"/>
    <w:rsid w:val="007D4003"/>
    <w:rsid w:val="007D40B4"/>
    <w:rsid w:val="007D40F7"/>
    <w:rsid w:val="007D4131"/>
    <w:rsid w:val="007D414D"/>
    <w:rsid w:val="007D4327"/>
    <w:rsid w:val="007D4346"/>
    <w:rsid w:val="007D43FC"/>
    <w:rsid w:val="007D4464"/>
    <w:rsid w:val="007D44F6"/>
    <w:rsid w:val="007D4584"/>
    <w:rsid w:val="007D45A2"/>
    <w:rsid w:val="007D45D7"/>
    <w:rsid w:val="007D45FD"/>
    <w:rsid w:val="007D468C"/>
    <w:rsid w:val="007D4727"/>
    <w:rsid w:val="007D4911"/>
    <w:rsid w:val="007D4955"/>
    <w:rsid w:val="007D495F"/>
    <w:rsid w:val="007D4A0E"/>
    <w:rsid w:val="007D4AAB"/>
    <w:rsid w:val="007D4AE7"/>
    <w:rsid w:val="007D4B73"/>
    <w:rsid w:val="007D4B90"/>
    <w:rsid w:val="007D4C49"/>
    <w:rsid w:val="007D4CC2"/>
    <w:rsid w:val="007D4D08"/>
    <w:rsid w:val="007D4DA1"/>
    <w:rsid w:val="007D4E30"/>
    <w:rsid w:val="007D4E69"/>
    <w:rsid w:val="007D4EC0"/>
    <w:rsid w:val="007D4EEB"/>
    <w:rsid w:val="007D4F01"/>
    <w:rsid w:val="007D5011"/>
    <w:rsid w:val="007D5024"/>
    <w:rsid w:val="007D5029"/>
    <w:rsid w:val="007D502D"/>
    <w:rsid w:val="007D5044"/>
    <w:rsid w:val="007D5070"/>
    <w:rsid w:val="007D508E"/>
    <w:rsid w:val="007D5129"/>
    <w:rsid w:val="007D5225"/>
    <w:rsid w:val="007D528D"/>
    <w:rsid w:val="007D52EB"/>
    <w:rsid w:val="007D5357"/>
    <w:rsid w:val="007D5395"/>
    <w:rsid w:val="007D5603"/>
    <w:rsid w:val="007D56D3"/>
    <w:rsid w:val="007D56EC"/>
    <w:rsid w:val="007D5833"/>
    <w:rsid w:val="007D5836"/>
    <w:rsid w:val="007D5838"/>
    <w:rsid w:val="007D58D9"/>
    <w:rsid w:val="007D592B"/>
    <w:rsid w:val="007D593F"/>
    <w:rsid w:val="007D59C2"/>
    <w:rsid w:val="007D5A51"/>
    <w:rsid w:val="007D5A66"/>
    <w:rsid w:val="007D5AA6"/>
    <w:rsid w:val="007D5B58"/>
    <w:rsid w:val="007D5B6A"/>
    <w:rsid w:val="007D5BC8"/>
    <w:rsid w:val="007D5C12"/>
    <w:rsid w:val="007D5CC2"/>
    <w:rsid w:val="007D5CF6"/>
    <w:rsid w:val="007D5ED5"/>
    <w:rsid w:val="007D5EDC"/>
    <w:rsid w:val="007D6039"/>
    <w:rsid w:val="007D6266"/>
    <w:rsid w:val="007D631A"/>
    <w:rsid w:val="007D63A4"/>
    <w:rsid w:val="007D63D1"/>
    <w:rsid w:val="007D63D9"/>
    <w:rsid w:val="007D652E"/>
    <w:rsid w:val="007D65D7"/>
    <w:rsid w:val="007D663B"/>
    <w:rsid w:val="007D665F"/>
    <w:rsid w:val="007D6681"/>
    <w:rsid w:val="007D6706"/>
    <w:rsid w:val="007D6708"/>
    <w:rsid w:val="007D6740"/>
    <w:rsid w:val="007D677D"/>
    <w:rsid w:val="007D67DA"/>
    <w:rsid w:val="007D6868"/>
    <w:rsid w:val="007D6876"/>
    <w:rsid w:val="007D687F"/>
    <w:rsid w:val="007D692C"/>
    <w:rsid w:val="007D69E1"/>
    <w:rsid w:val="007D6AA1"/>
    <w:rsid w:val="007D6AB6"/>
    <w:rsid w:val="007D6B08"/>
    <w:rsid w:val="007D6C78"/>
    <w:rsid w:val="007D6CC4"/>
    <w:rsid w:val="007D6D0C"/>
    <w:rsid w:val="007D6D2A"/>
    <w:rsid w:val="007D6D77"/>
    <w:rsid w:val="007D6DC3"/>
    <w:rsid w:val="007D6DD2"/>
    <w:rsid w:val="007D6DD3"/>
    <w:rsid w:val="007D6E35"/>
    <w:rsid w:val="007D6E9D"/>
    <w:rsid w:val="007D6EC0"/>
    <w:rsid w:val="007D70A2"/>
    <w:rsid w:val="007D70CA"/>
    <w:rsid w:val="007D721B"/>
    <w:rsid w:val="007D7268"/>
    <w:rsid w:val="007D72E3"/>
    <w:rsid w:val="007D732F"/>
    <w:rsid w:val="007D73A8"/>
    <w:rsid w:val="007D7408"/>
    <w:rsid w:val="007D74DD"/>
    <w:rsid w:val="007D74F7"/>
    <w:rsid w:val="007D75B7"/>
    <w:rsid w:val="007D75D3"/>
    <w:rsid w:val="007D774A"/>
    <w:rsid w:val="007D777D"/>
    <w:rsid w:val="007D7801"/>
    <w:rsid w:val="007D781C"/>
    <w:rsid w:val="007D78AC"/>
    <w:rsid w:val="007D7A32"/>
    <w:rsid w:val="007D7A6B"/>
    <w:rsid w:val="007D7A91"/>
    <w:rsid w:val="007D7BE2"/>
    <w:rsid w:val="007D7C11"/>
    <w:rsid w:val="007D7C46"/>
    <w:rsid w:val="007D7C6A"/>
    <w:rsid w:val="007D7CEA"/>
    <w:rsid w:val="007D7DBE"/>
    <w:rsid w:val="007D7E07"/>
    <w:rsid w:val="007D7E73"/>
    <w:rsid w:val="007E0056"/>
    <w:rsid w:val="007E007D"/>
    <w:rsid w:val="007E00CB"/>
    <w:rsid w:val="007E01D4"/>
    <w:rsid w:val="007E02D9"/>
    <w:rsid w:val="007E0300"/>
    <w:rsid w:val="007E03C0"/>
    <w:rsid w:val="007E0507"/>
    <w:rsid w:val="007E0510"/>
    <w:rsid w:val="007E052B"/>
    <w:rsid w:val="007E0632"/>
    <w:rsid w:val="007E0651"/>
    <w:rsid w:val="007E06A3"/>
    <w:rsid w:val="007E0712"/>
    <w:rsid w:val="007E07C4"/>
    <w:rsid w:val="007E0814"/>
    <w:rsid w:val="007E0896"/>
    <w:rsid w:val="007E092F"/>
    <w:rsid w:val="007E0A7E"/>
    <w:rsid w:val="007E0B4B"/>
    <w:rsid w:val="007E0B4E"/>
    <w:rsid w:val="007E0B9A"/>
    <w:rsid w:val="007E0BF3"/>
    <w:rsid w:val="007E0C13"/>
    <w:rsid w:val="007E0CBF"/>
    <w:rsid w:val="007E0CC8"/>
    <w:rsid w:val="007E0D2F"/>
    <w:rsid w:val="007E0D98"/>
    <w:rsid w:val="007E0DA8"/>
    <w:rsid w:val="007E101F"/>
    <w:rsid w:val="007E10CA"/>
    <w:rsid w:val="007E1138"/>
    <w:rsid w:val="007E11E8"/>
    <w:rsid w:val="007E11F2"/>
    <w:rsid w:val="007E122D"/>
    <w:rsid w:val="007E1231"/>
    <w:rsid w:val="007E12FD"/>
    <w:rsid w:val="007E135D"/>
    <w:rsid w:val="007E14AA"/>
    <w:rsid w:val="007E14F8"/>
    <w:rsid w:val="007E1599"/>
    <w:rsid w:val="007E159C"/>
    <w:rsid w:val="007E15A3"/>
    <w:rsid w:val="007E15F4"/>
    <w:rsid w:val="007E16DC"/>
    <w:rsid w:val="007E16F6"/>
    <w:rsid w:val="007E1749"/>
    <w:rsid w:val="007E174E"/>
    <w:rsid w:val="007E17A2"/>
    <w:rsid w:val="007E17BF"/>
    <w:rsid w:val="007E17EF"/>
    <w:rsid w:val="007E183F"/>
    <w:rsid w:val="007E1906"/>
    <w:rsid w:val="007E1919"/>
    <w:rsid w:val="007E1943"/>
    <w:rsid w:val="007E19FB"/>
    <w:rsid w:val="007E1AFB"/>
    <w:rsid w:val="007E1B24"/>
    <w:rsid w:val="007E1B48"/>
    <w:rsid w:val="007E1BA6"/>
    <w:rsid w:val="007E1BF1"/>
    <w:rsid w:val="007E1C5F"/>
    <w:rsid w:val="007E1C97"/>
    <w:rsid w:val="007E1D16"/>
    <w:rsid w:val="007E1D8B"/>
    <w:rsid w:val="007E1DBD"/>
    <w:rsid w:val="007E1DD9"/>
    <w:rsid w:val="007E1E24"/>
    <w:rsid w:val="007E1F2F"/>
    <w:rsid w:val="007E1FED"/>
    <w:rsid w:val="007E20A3"/>
    <w:rsid w:val="007E20C1"/>
    <w:rsid w:val="007E20ED"/>
    <w:rsid w:val="007E2140"/>
    <w:rsid w:val="007E22F2"/>
    <w:rsid w:val="007E2326"/>
    <w:rsid w:val="007E234F"/>
    <w:rsid w:val="007E240F"/>
    <w:rsid w:val="007E2416"/>
    <w:rsid w:val="007E24D2"/>
    <w:rsid w:val="007E2539"/>
    <w:rsid w:val="007E263A"/>
    <w:rsid w:val="007E2656"/>
    <w:rsid w:val="007E2676"/>
    <w:rsid w:val="007E2815"/>
    <w:rsid w:val="007E2884"/>
    <w:rsid w:val="007E29C1"/>
    <w:rsid w:val="007E29CE"/>
    <w:rsid w:val="007E2A21"/>
    <w:rsid w:val="007E2AAE"/>
    <w:rsid w:val="007E2B0D"/>
    <w:rsid w:val="007E2B48"/>
    <w:rsid w:val="007E2CA0"/>
    <w:rsid w:val="007E2DFC"/>
    <w:rsid w:val="007E2E78"/>
    <w:rsid w:val="007E2EDE"/>
    <w:rsid w:val="007E2EE8"/>
    <w:rsid w:val="007E2FC0"/>
    <w:rsid w:val="007E307C"/>
    <w:rsid w:val="007E3118"/>
    <w:rsid w:val="007E31DC"/>
    <w:rsid w:val="007E3326"/>
    <w:rsid w:val="007E3343"/>
    <w:rsid w:val="007E33AE"/>
    <w:rsid w:val="007E33D3"/>
    <w:rsid w:val="007E33DD"/>
    <w:rsid w:val="007E34D2"/>
    <w:rsid w:val="007E34E8"/>
    <w:rsid w:val="007E3606"/>
    <w:rsid w:val="007E3619"/>
    <w:rsid w:val="007E36CD"/>
    <w:rsid w:val="007E3700"/>
    <w:rsid w:val="007E3706"/>
    <w:rsid w:val="007E3746"/>
    <w:rsid w:val="007E37DA"/>
    <w:rsid w:val="007E3811"/>
    <w:rsid w:val="007E387F"/>
    <w:rsid w:val="007E38B6"/>
    <w:rsid w:val="007E3954"/>
    <w:rsid w:val="007E3A13"/>
    <w:rsid w:val="007E3AC6"/>
    <w:rsid w:val="007E3AE7"/>
    <w:rsid w:val="007E3AF2"/>
    <w:rsid w:val="007E3C9D"/>
    <w:rsid w:val="007E3DBD"/>
    <w:rsid w:val="007E3E38"/>
    <w:rsid w:val="007E3F4F"/>
    <w:rsid w:val="007E3F8F"/>
    <w:rsid w:val="007E4172"/>
    <w:rsid w:val="007E4185"/>
    <w:rsid w:val="007E42C2"/>
    <w:rsid w:val="007E42F2"/>
    <w:rsid w:val="007E4318"/>
    <w:rsid w:val="007E43DE"/>
    <w:rsid w:val="007E44D6"/>
    <w:rsid w:val="007E4580"/>
    <w:rsid w:val="007E459B"/>
    <w:rsid w:val="007E45E3"/>
    <w:rsid w:val="007E467A"/>
    <w:rsid w:val="007E46D4"/>
    <w:rsid w:val="007E46DD"/>
    <w:rsid w:val="007E47B8"/>
    <w:rsid w:val="007E4873"/>
    <w:rsid w:val="007E4898"/>
    <w:rsid w:val="007E48D3"/>
    <w:rsid w:val="007E4925"/>
    <w:rsid w:val="007E494E"/>
    <w:rsid w:val="007E49FF"/>
    <w:rsid w:val="007E4A1B"/>
    <w:rsid w:val="007E4A1C"/>
    <w:rsid w:val="007E4AAD"/>
    <w:rsid w:val="007E4AB6"/>
    <w:rsid w:val="007E4B02"/>
    <w:rsid w:val="007E4B64"/>
    <w:rsid w:val="007E4BA0"/>
    <w:rsid w:val="007E4BA2"/>
    <w:rsid w:val="007E4BC0"/>
    <w:rsid w:val="007E4BFF"/>
    <w:rsid w:val="007E4C94"/>
    <w:rsid w:val="007E4CBA"/>
    <w:rsid w:val="007E4CBD"/>
    <w:rsid w:val="007E4E10"/>
    <w:rsid w:val="007E4E23"/>
    <w:rsid w:val="007E4E93"/>
    <w:rsid w:val="007E4EB8"/>
    <w:rsid w:val="007E4F1A"/>
    <w:rsid w:val="007E4FE8"/>
    <w:rsid w:val="007E5078"/>
    <w:rsid w:val="007E507B"/>
    <w:rsid w:val="007E50B3"/>
    <w:rsid w:val="007E50E9"/>
    <w:rsid w:val="007E51E4"/>
    <w:rsid w:val="007E530A"/>
    <w:rsid w:val="007E53E9"/>
    <w:rsid w:val="007E5416"/>
    <w:rsid w:val="007E548F"/>
    <w:rsid w:val="007E5524"/>
    <w:rsid w:val="007E5530"/>
    <w:rsid w:val="007E55D2"/>
    <w:rsid w:val="007E55FB"/>
    <w:rsid w:val="007E565A"/>
    <w:rsid w:val="007E5714"/>
    <w:rsid w:val="007E5737"/>
    <w:rsid w:val="007E575F"/>
    <w:rsid w:val="007E57E8"/>
    <w:rsid w:val="007E5821"/>
    <w:rsid w:val="007E5831"/>
    <w:rsid w:val="007E5919"/>
    <w:rsid w:val="007E5943"/>
    <w:rsid w:val="007E597F"/>
    <w:rsid w:val="007E5999"/>
    <w:rsid w:val="007E59AB"/>
    <w:rsid w:val="007E59F9"/>
    <w:rsid w:val="007E5A48"/>
    <w:rsid w:val="007E5B44"/>
    <w:rsid w:val="007E5B66"/>
    <w:rsid w:val="007E5BFD"/>
    <w:rsid w:val="007E5C28"/>
    <w:rsid w:val="007E5C7D"/>
    <w:rsid w:val="007E5C7F"/>
    <w:rsid w:val="007E5C93"/>
    <w:rsid w:val="007E5D26"/>
    <w:rsid w:val="007E5D8D"/>
    <w:rsid w:val="007E5DE7"/>
    <w:rsid w:val="007E5DF3"/>
    <w:rsid w:val="007E5E39"/>
    <w:rsid w:val="007E5EFD"/>
    <w:rsid w:val="007E5F33"/>
    <w:rsid w:val="007E5F75"/>
    <w:rsid w:val="007E6013"/>
    <w:rsid w:val="007E6182"/>
    <w:rsid w:val="007E618A"/>
    <w:rsid w:val="007E61B0"/>
    <w:rsid w:val="007E62CA"/>
    <w:rsid w:val="007E62DB"/>
    <w:rsid w:val="007E6456"/>
    <w:rsid w:val="007E649B"/>
    <w:rsid w:val="007E6581"/>
    <w:rsid w:val="007E6646"/>
    <w:rsid w:val="007E6727"/>
    <w:rsid w:val="007E6744"/>
    <w:rsid w:val="007E6791"/>
    <w:rsid w:val="007E681C"/>
    <w:rsid w:val="007E682D"/>
    <w:rsid w:val="007E68C8"/>
    <w:rsid w:val="007E69BB"/>
    <w:rsid w:val="007E69EA"/>
    <w:rsid w:val="007E6A83"/>
    <w:rsid w:val="007E6A8A"/>
    <w:rsid w:val="007E6AB8"/>
    <w:rsid w:val="007E6BC3"/>
    <w:rsid w:val="007E6C0F"/>
    <w:rsid w:val="007E6D63"/>
    <w:rsid w:val="007E6DAB"/>
    <w:rsid w:val="007E6E10"/>
    <w:rsid w:val="007E6F2C"/>
    <w:rsid w:val="007E6FB2"/>
    <w:rsid w:val="007E7017"/>
    <w:rsid w:val="007E701F"/>
    <w:rsid w:val="007E70E6"/>
    <w:rsid w:val="007E7350"/>
    <w:rsid w:val="007E7415"/>
    <w:rsid w:val="007E746D"/>
    <w:rsid w:val="007E749D"/>
    <w:rsid w:val="007E74D6"/>
    <w:rsid w:val="007E7591"/>
    <w:rsid w:val="007E7605"/>
    <w:rsid w:val="007E761A"/>
    <w:rsid w:val="007E7667"/>
    <w:rsid w:val="007E767E"/>
    <w:rsid w:val="007E76E5"/>
    <w:rsid w:val="007E776B"/>
    <w:rsid w:val="007E77D9"/>
    <w:rsid w:val="007E7881"/>
    <w:rsid w:val="007E78CA"/>
    <w:rsid w:val="007E7932"/>
    <w:rsid w:val="007E7B09"/>
    <w:rsid w:val="007E7B9D"/>
    <w:rsid w:val="007E7C98"/>
    <w:rsid w:val="007E7CFE"/>
    <w:rsid w:val="007E7DC6"/>
    <w:rsid w:val="007E7E44"/>
    <w:rsid w:val="007E7F18"/>
    <w:rsid w:val="007E7F2D"/>
    <w:rsid w:val="007F00BF"/>
    <w:rsid w:val="007F0148"/>
    <w:rsid w:val="007F0210"/>
    <w:rsid w:val="007F028D"/>
    <w:rsid w:val="007F02FA"/>
    <w:rsid w:val="007F0490"/>
    <w:rsid w:val="007F056A"/>
    <w:rsid w:val="007F05FC"/>
    <w:rsid w:val="007F0741"/>
    <w:rsid w:val="007F07C3"/>
    <w:rsid w:val="007F0803"/>
    <w:rsid w:val="007F0846"/>
    <w:rsid w:val="007F0906"/>
    <w:rsid w:val="007F09FA"/>
    <w:rsid w:val="007F0A0D"/>
    <w:rsid w:val="007F0A33"/>
    <w:rsid w:val="007F0A58"/>
    <w:rsid w:val="007F0A85"/>
    <w:rsid w:val="007F0CB6"/>
    <w:rsid w:val="007F0D0F"/>
    <w:rsid w:val="007F0D43"/>
    <w:rsid w:val="007F0E24"/>
    <w:rsid w:val="007F0E62"/>
    <w:rsid w:val="007F0E9B"/>
    <w:rsid w:val="007F0EAE"/>
    <w:rsid w:val="007F0EE6"/>
    <w:rsid w:val="007F0F52"/>
    <w:rsid w:val="007F1023"/>
    <w:rsid w:val="007F10B1"/>
    <w:rsid w:val="007F1142"/>
    <w:rsid w:val="007F11DD"/>
    <w:rsid w:val="007F122B"/>
    <w:rsid w:val="007F1276"/>
    <w:rsid w:val="007F13C9"/>
    <w:rsid w:val="007F13CC"/>
    <w:rsid w:val="007F1490"/>
    <w:rsid w:val="007F14CB"/>
    <w:rsid w:val="007F15A4"/>
    <w:rsid w:val="007F165A"/>
    <w:rsid w:val="007F172A"/>
    <w:rsid w:val="007F1803"/>
    <w:rsid w:val="007F1887"/>
    <w:rsid w:val="007F18C2"/>
    <w:rsid w:val="007F18EA"/>
    <w:rsid w:val="007F19D9"/>
    <w:rsid w:val="007F1B22"/>
    <w:rsid w:val="007F1B99"/>
    <w:rsid w:val="007F1BA0"/>
    <w:rsid w:val="007F1BD8"/>
    <w:rsid w:val="007F1BF9"/>
    <w:rsid w:val="007F1BFD"/>
    <w:rsid w:val="007F1D8D"/>
    <w:rsid w:val="007F1D95"/>
    <w:rsid w:val="007F1DED"/>
    <w:rsid w:val="007F1E1B"/>
    <w:rsid w:val="007F1ECA"/>
    <w:rsid w:val="007F1EE4"/>
    <w:rsid w:val="007F1F1D"/>
    <w:rsid w:val="007F2010"/>
    <w:rsid w:val="007F2056"/>
    <w:rsid w:val="007F21E4"/>
    <w:rsid w:val="007F221E"/>
    <w:rsid w:val="007F228C"/>
    <w:rsid w:val="007F236B"/>
    <w:rsid w:val="007F2397"/>
    <w:rsid w:val="007F253E"/>
    <w:rsid w:val="007F2582"/>
    <w:rsid w:val="007F266E"/>
    <w:rsid w:val="007F2676"/>
    <w:rsid w:val="007F27C4"/>
    <w:rsid w:val="007F2839"/>
    <w:rsid w:val="007F2879"/>
    <w:rsid w:val="007F28E2"/>
    <w:rsid w:val="007F2938"/>
    <w:rsid w:val="007F2998"/>
    <w:rsid w:val="007F29CB"/>
    <w:rsid w:val="007F29DC"/>
    <w:rsid w:val="007F2A21"/>
    <w:rsid w:val="007F2A6E"/>
    <w:rsid w:val="007F2B26"/>
    <w:rsid w:val="007F2C48"/>
    <w:rsid w:val="007F2C6A"/>
    <w:rsid w:val="007F2D1B"/>
    <w:rsid w:val="007F2D86"/>
    <w:rsid w:val="007F2DA5"/>
    <w:rsid w:val="007F2E8B"/>
    <w:rsid w:val="007F2EC8"/>
    <w:rsid w:val="007F2F7F"/>
    <w:rsid w:val="007F2FC3"/>
    <w:rsid w:val="007F3004"/>
    <w:rsid w:val="007F3073"/>
    <w:rsid w:val="007F310B"/>
    <w:rsid w:val="007F317D"/>
    <w:rsid w:val="007F31CE"/>
    <w:rsid w:val="007F31EE"/>
    <w:rsid w:val="007F3222"/>
    <w:rsid w:val="007F326E"/>
    <w:rsid w:val="007F327B"/>
    <w:rsid w:val="007F3387"/>
    <w:rsid w:val="007F33AC"/>
    <w:rsid w:val="007F3478"/>
    <w:rsid w:val="007F347A"/>
    <w:rsid w:val="007F356D"/>
    <w:rsid w:val="007F35A5"/>
    <w:rsid w:val="007F35B0"/>
    <w:rsid w:val="007F3617"/>
    <w:rsid w:val="007F363C"/>
    <w:rsid w:val="007F368F"/>
    <w:rsid w:val="007F3721"/>
    <w:rsid w:val="007F373E"/>
    <w:rsid w:val="007F37AA"/>
    <w:rsid w:val="007F387A"/>
    <w:rsid w:val="007F395E"/>
    <w:rsid w:val="007F39C6"/>
    <w:rsid w:val="007F39D1"/>
    <w:rsid w:val="007F39D8"/>
    <w:rsid w:val="007F3A52"/>
    <w:rsid w:val="007F3A61"/>
    <w:rsid w:val="007F3A83"/>
    <w:rsid w:val="007F3C62"/>
    <w:rsid w:val="007F3CD9"/>
    <w:rsid w:val="007F3CF3"/>
    <w:rsid w:val="007F3D3D"/>
    <w:rsid w:val="007F3D53"/>
    <w:rsid w:val="007F3D59"/>
    <w:rsid w:val="007F3D9C"/>
    <w:rsid w:val="007F3E1E"/>
    <w:rsid w:val="007F3E41"/>
    <w:rsid w:val="007F3F6A"/>
    <w:rsid w:val="007F3F94"/>
    <w:rsid w:val="007F3FB4"/>
    <w:rsid w:val="007F405D"/>
    <w:rsid w:val="007F40E4"/>
    <w:rsid w:val="007F411D"/>
    <w:rsid w:val="007F4167"/>
    <w:rsid w:val="007F422D"/>
    <w:rsid w:val="007F4231"/>
    <w:rsid w:val="007F42FD"/>
    <w:rsid w:val="007F434E"/>
    <w:rsid w:val="007F436F"/>
    <w:rsid w:val="007F438E"/>
    <w:rsid w:val="007F43CE"/>
    <w:rsid w:val="007F44B2"/>
    <w:rsid w:val="007F4692"/>
    <w:rsid w:val="007F4697"/>
    <w:rsid w:val="007F474B"/>
    <w:rsid w:val="007F47CC"/>
    <w:rsid w:val="007F48EE"/>
    <w:rsid w:val="007F4930"/>
    <w:rsid w:val="007F4935"/>
    <w:rsid w:val="007F4946"/>
    <w:rsid w:val="007F49E5"/>
    <w:rsid w:val="007F4A56"/>
    <w:rsid w:val="007F4A5F"/>
    <w:rsid w:val="007F4BFF"/>
    <w:rsid w:val="007F4C4A"/>
    <w:rsid w:val="007F4D3A"/>
    <w:rsid w:val="007F4DB0"/>
    <w:rsid w:val="007F4DEF"/>
    <w:rsid w:val="007F4E23"/>
    <w:rsid w:val="007F4E2D"/>
    <w:rsid w:val="007F4E55"/>
    <w:rsid w:val="007F4F0F"/>
    <w:rsid w:val="007F4F44"/>
    <w:rsid w:val="007F4F86"/>
    <w:rsid w:val="007F5085"/>
    <w:rsid w:val="007F50B2"/>
    <w:rsid w:val="007F5102"/>
    <w:rsid w:val="007F5108"/>
    <w:rsid w:val="007F51B9"/>
    <w:rsid w:val="007F51F2"/>
    <w:rsid w:val="007F530A"/>
    <w:rsid w:val="007F5333"/>
    <w:rsid w:val="007F5504"/>
    <w:rsid w:val="007F554A"/>
    <w:rsid w:val="007F55E0"/>
    <w:rsid w:val="007F55F1"/>
    <w:rsid w:val="007F56D7"/>
    <w:rsid w:val="007F57CA"/>
    <w:rsid w:val="007F58B2"/>
    <w:rsid w:val="007F58CC"/>
    <w:rsid w:val="007F58F2"/>
    <w:rsid w:val="007F59EB"/>
    <w:rsid w:val="007F5A23"/>
    <w:rsid w:val="007F5AFB"/>
    <w:rsid w:val="007F5B43"/>
    <w:rsid w:val="007F5B50"/>
    <w:rsid w:val="007F5B85"/>
    <w:rsid w:val="007F5C08"/>
    <w:rsid w:val="007F5C5E"/>
    <w:rsid w:val="007F5CBB"/>
    <w:rsid w:val="007F5D51"/>
    <w:rsid w:val="007F5DFE"/>
    <w:rsid w:val="007F5F4E"/>
    <w:rsid w:val="007F5F52"/>
    <w:rsid w:val="007F5FAC"/>
    <w:rsid w:val="007F5FB2"/>
    <w:rsid w:val="007F6001"/>
    <w:rsid w:val="007F618F"/>
    <w:rsid w:val="007F61A8"/>
    <w:rsid w:val="007F6205"/>
    <w:rsid w:val="007F62E1"/>
    <w:rsid w:val="007F6452"/>
    <w:rsid w:val="007F64AB"/>
    <w:rsid w:val="007F653A"/>
    <w:rsid w:val="007F654F"/>
    <w:rsid w:val="007F6622"/>
    <w:rsid w:val="007F6691"/>
    <w:rsid w:val="007F672D"/>
    <w:rsid w:val="007F673F"/>
    <w:rsid w:val="007F685C"/>
    <w:rsid w:val="007F688D"/>
    <w:rsid w:val="007F689B"/>
    <w:rsid w:val="007F68C9"/>
    <w:rsid w:val="007F694A"/>
    <w:rsid w:val="007F69D9"/>
    <w:rsid w:val="007F69E5"/>
    <w:rsid w:val="007F6A09"/>
    <w:rsid w:val="007F6A5E"/>
    <w:rsid w:val="007F6A8F"/>
    <w:rsid w:val="007F6C1B"/>
    <w:rsid w:val="007F6C56"/>
    <w:rsid w:val="007F6D33"/>
    <w:rsid w:val="007F6D69"/>
    <w:rsid w:val="007F6E68"/>
    <w:rsid w:val="007F6ED9"/>
    <w:rsid w:val="007F6F5E"/>
    <w:rsid w:val="007F702A"/>
    <w:rsid w:val="007F7057"/>
    <w:rsid w:val="007F706F"/>
    <w:rsid w:val="007F70CE"/>
    <w:rsid w:val="007F70F6"/>
    <w:rsid w:val="007F711C"/>
    <w:rsid w:val="007F7133"/>
    <w:rsid w:val="007F717D"/>
    <w:rsid w:val="007F726D"/>
    <w:rsid w:val="007F7304"/>
    <w:rsid w:val="007F733D"/>
    <w:rsid w:val="007F7342"/>
    <w:rsid w:val="007F747A"/>
    <w:rsid w:val="007F74BF"/>
    <w:rsid w:val="007F753E"/>
    <w:rsid w:val="007F7577"/>
    <w:rsid w:val="007F757F"/>
    <w:rsid w:val="007F7611"/>
    <w:rsid w:val="007F7640"/>
    <w:rsid w:val="007F767D"/>
    <w:rsid w:val="007F7703"/>
    <w:rsid w:val="007F773A"/>
    <w:rsid w:val="007F7772"/>
    <w:rsid w:val="007F78CE"/>
    <w:rsid w:val="007F790F"/>
    <w:rsid w:val="007F791A"/>
    <w:rsid w:val="007F7997"/>
    <w:rsid w:val="007F7A95"/>
    <w:rsid w:val="007F7C02"/>
    <w:rsid w:val="007F7C49"/>
    <w:rsid w:val="007F7CA0"/>
    <w:rsid w:val="007F7D34"/>
    <w:rsid w:val="007F7D59"/>
    <w:rsid w:val="007F7DB4"/>
    <w:rsid w:val="007F7E51"/>
    <w:rsid w:val="007F7E54"/>
    <w:rsid w:val="007F7E93"/>
    <w:rsid w:val="007F7EEA"/>
    <w:rsid w:val="007F7EF5"/>
    <w:rsid w:val="007F7F49"/>
    <w:rsid w:val="007F7FAE"/>
    <w:rsid w:val="0080003A"/>
    <w:rsid w:val="00800076"/>
    <w:rsid w:val="00800091"/>
    <w:rsid w:val="008000D5"/>
    <w:rsid w:val="008001B2"/>
    <w:rsid w:val="00800252"/>
    <w:rsid w:val="00800372"/>
    <w:rsid w:val="00800394"/>
    <w:rsid w:val="00800460"/>
    <w:rsid w:val="008004B1"/>
    <w:rsid w:val="008004F0"/>
    <w:rsid w:val="00800543"/>
    <w:rsid w:val="008006B5"/>
    <w:rsid w:val="008007C0"/>
    <w:rsid w:val="008007C8"/>
    <w:rsid w:val="00800820"/>
    <w:rsid w:val="0080083A"/>
    <w:rsid w:val="00800865"/>
    <w:rsid w:val="008008BA"/>
    <w:rsid w:val="008008CD"/>
    <w:rsid w:val="008009F3"/>
    <w:rsid w:val="00800A29"/>
    <w:rsid w:val="00800ACE"/>
    <w:rsid w:val="00800AF9"/>
    <w:rsid w:val="00800B2C"/>
    <w:rsid w:val="00800B6F"/>
    <w:rsid w:val="00800BA8"/>
    <w:rsid w:val="00800C1B"/>
    <w:rsid w:val="00800C1C"/>
    <w:rsid w:val="00800C76"/>
    <w:rsid w:val="00800D5A"/>
    <w:rsid w:val="00800D5F"/>
    <w:rsid w:val="00800D94"/>
    <w:rsid w:val="00800E42"/>
    <w:rsid w:val="00800EDF"/>
    <w:rsid w:val="008010EB"/>
    <w:rsid w:val="0080111C"/>
    <w:rsid w:val="008011D7"/>
    <w:rsid w:val="008011E3"/>
    <w:rsid w:val="00801279"/>
    <w:rsid w:val="00801334"/>
    <w:rsid w:val="00801341"/>
    <w:rsid w:val="008014B9"/>
    <w:rsid w:val="008014DA"/>
    <w:rsid w:val="00801511"/>
    <w:rsid w:val="00801581"/>
    <w:rsid w:val="00801626"/>
    <w:rsid w:val="00801797"/>
    <w:rsid w:val="008017EF"/>
    <w:rsid w:val="0080180D"/>
    <w:rsid w:val="00801822"/>
    <w:rsid w:val="008018B4"/>
    <w:rsid w:val="00801957"/>
    <w:rsid w:val="008019EC"/>
    <w:rsid w:val="00801A46"/>
    <w:rsid w:val="00801BD8"/>
    <w:rsid w:val="00801BFC"/>
    <w:rsid w:val="00801C15"/>
    <w:rsid w:val="00801DBB"/>
    <w:rsid w:val="00801DC6"/>
    <w:rsid w:val="00801DD2"/>
    <w:rsid w:val="00801E01"/>
    <w:rsid w:val="00801F3F"/>
    <w:rsid w:val="00801F5C"/>
    <w:rsid w:val="008020D1"/>
    <w:rsid w:val="00802104"/>
    <w:rsid w:val="0080214E"/>
    <w:rsid w:val="0080219F"/>
    <w:rsid w:val="00802250"/>
    <w:rsid w:val="008022B7"/>
    <w:rsid w:val="008022D9"/>
    <w:rsid w:val="00802472"/>
    <w:rsid w:val="0080247C"/>
    <w:rsid w:val="008024A3"/>
    <w:rsid w:val="008024FC"/>
    <w:rsid w:val="008026C0"/>
    <w:rsid w:val="00802716"/>
    <w:rsid w:val="0080276E"/>
    <w:rsid w:val="00802858"/>
    <w:rsid w:val="008028E9"/>
    <w:rsid w:val="008028F1"/>
    <w:rsid w:val="00802938"/>
    <w:rsid w:val="00802A9B"/>
    <w:rsid w:val="00802B07"/>
    <w:rsid w:val="00802B39"/>
    <w:rsid w:val="00802BC9"/>
    <w:rsid w:val="00802BD6"/>
    <w:rsid w:val="00802D2B"/>
    <w:rsid w:val="00802D59"/>
    <w:rsid w:val="00802DC1"/>
    <w:rsid w:val="00802EC6"/>
    <w:rsid w:val="00802F50"/>
    <w:rsid w:val="00803012"/>
    <w:rsid w:val="00803030"/>
    <w:rsid w:val="00803231"/>
    <w:rsid w:val="00803272"/>
    <w:rsid w:val="00803315"/>
    <w:rsid w:val="0080337B"/>
    <w:rsid w:val="008033F7"/>
    <w:rsid w:val="00803420"/>
    <w:rsid w:val="00803438"/>
    <w:rsid w:val="008034A6"/>
    <w:rsid w:val="008034BA"/>
    <w:rsid w:val="00803539"/>
    <w:rsid w:val="00803610"/>
    <w:rsid w:val="00803774"/>
    <w:rsid w:val="008037A3"/>
    <w:rsid w:val="008037BC"/>
    <w:rsid w:val="008038F2"/>
    <w:rsid w:val="00803921"/>
    <w:rsid w:val="008039A7"/>
    <w:rsid w:val="00803A01"/>
    <w:rsid w:val="00803A75"/>
    <w:rsid w:val="00803B84"/>
    <w:rsid w:val="00803C4A"/>
    <w:rsid w:val="00803CC7"/>
    <w:rsid w:val="00803CF3"/>
    <w:rsid w:val="00803D08"/>
    <w:rsid w:val="00803D22"/>
    <w:rsid w:val="00803D7A"/>
    <w:rsid w:val="00803D8D"/>
    <w:rsid w:val="00803E64"/>
    <w:rsid w:val="00803E6F"/>
    <w:rsid w:val="00803EA6"/>
    <w:rsid w:val="00803FD4"/>
    <w:rsid w:val="00803FF0"/>
    <w:rsid w:val="0080401A"/>
    <w:rsid w:val="00804029"/>
    <w:rsid w:val="00804060"/>
    <w:rsid w:val="00804064"/>
    <w:rsid w:val="00804077"/>
    <w:rsid w:val="0080411B"/>
    <w:rsid w:val="00804188"/>
    <w:rsid w:val="0080420C"/>
    <w:rsid w:val="00804215"/>
    <w:rsid w:val="0080435B"/>
    <w:rsid w:val="00804361"/>
    <w:rsid w:val="0080437D"/>
    <w:rsid w:val="008044E3"/>
    <w:rsid w:val="00804523"/>
    <w:rsid w:val="00804545"/>
    <w:rsid w:val="00804564"/>
    <w:rsid w:val="008045AC"/>
    <w:rsid w:val="008045BC"/>
    <w:rsid w:val="00804684"/>
    <w:rsid w:val="00804718"/>
    <w:rsid w:val="00804733"/>
    <w:rsid w:val="00804824"/>
    <w:rsid w:val="00804974"/>
    <w:rsid w:val="00804B23"/>
    <w:rsid w:val="00804B93"/>
    <w:rsid w:val="00804C83"/>
    <w:rsid w:val="00804E11"/>
    <w:rsid w:val="00804F19"/>
    <w:rsid w:val="00804F8F"/>
    <w:rsid w:val="00804FE8"/>
    <w:rsid w:val="008050A5"/>
    <w:rsid w:val="008050DD"/>
    <w:rsid w:val="0080511E"/>
    <w:rsid w:val="00805153"/>
    <w:rsid w:val="0080515D"/>
    <w:rsid w:val="0080518B"/>
    <w:rsid w:val="008051EF"/>
    <w:rsid w:val="00805298"/>
    <w:rsid w:val="00805350"/>
    <w:rsid w:val="00805357"/>
    <w:rsid w:val="0080539C"/>
    <w:rsid w:val="008053E4"/>
    <w:rsid w:val="00805523"/>
    <w:rsid w:val="00805568"/>
    <w:rsid w:val="00805577"/>
    <w:rsid w:val="0080557F"/>
    <w:rsid w:val="0080558A"/>
    <w:rsid w:val="008057FB"/>
    <w:rsid w:val="0080581D"/>
    <w:rsid w:val="0080585C"/>
    <w:rsid w:val="00805895"/>
    <w:rsid w:val="00805925"/>
    <w:rsid w:val="008059A7"/>
    <w:rsid w:val="00805A29"/>
    <w:rsid w:val="00805A2F"/>
    <w:rsid w:val="00805A69"/>
    <w:rsid w:val="00805A80"/>
    <w:rsid w:val="00805AA8"/>
    <w:rsid w:val="00805AB1"/>
    <w:rsid w:val="00805B07"/>
    <w:rsid w:val="00805B24"/>
    <w:rsid w:val="00805B4A"/>
    <w:rsid w:val="00805C86"/>
    <w:rsid w:val="00805CF0"/>
    <w:rsid w:val="00805CF6"/>
    <w:rsid w:val="00805D09"/>
    <w:rsid w:val="00805DA5"/>
    <w:rsid w:val="00805DE3"/>
    <w:rsid w:val="00805E5D"/>
    <w:rsid w:val="00805F06"/>
    <w:rsid w:val="00805F52"/>
    <w:rsid w:val="00805F60"/>
    <w:rsid w:val="00806021"/>
    <w:rsid w:val="00806084"/>
    <w:rsid w:val="008060F7"/>
    <w:rsid w:val="008061AB"/>
    <w:rsid w:val="008061F9"/>
    <w:rsid w:val="00806270"/>
    <w:rsid w:val="00806470"/>
    <w:rsid w:val="00806509"/>
    <w:rsid w:val="00806624"/>
    <w:rsid w:val="0080671A"/>
    <w:rsid w:val="008067D0"/>
    <w:rsid w:val="008067D1"/>
    <w:rsid w:val="008067DE"/>
    <w:rsid w:val="00806842"/>
    <w:rsid w:val="008068F0"/>
    <w:rsid w:val="00806977"/>
    <w:rsid w:val="00806B6D"/>
    <w:rsid w:val="00806C83"/>
    <w:rsid w:val="00806C97"/>
    <w:rsid w:val="00806CA1"/>
    <w:rsid w:val="00806D37"/>
    <w:rsid w:val="00806D96"/>
    <w:rsid w:val="00806E3F"/>
    <w:rsid w:val="00807105"/>
    <w:rsid w:val="0080715B"/>
    <w:rsid w:val="0080718A"/>
    <w:rsid w:val="008072AB"/>
    <w:rsid w:val="008072E3"/>
    <w:rsid w:val="00807336"/>
    <w:rsid w:val="00807382"/>
    <w:rsid w:val="0080740D"/>
    <w:rsid w:val="008074B0"/>
    <w:rsid w:val="00807552"/>
    <w:rsid w:val="008075A8"/>
    <w:rsid w:val="008075C0"/>
    <w:rsid w:val="0080776F"/>
    <w:rsid w:val="00807793"/>
    <w:rsid w:val="00807806"/>
    <w:rsid w:val="0080785A"/>
    <w:rsid w:val="0080794F"/>
    <w:rsid w:val="008079C6"/>
    <w:rsid w:val="00807A8C"/>
    <w:rsid w:val="00807B36"/>
    <w:rsid w:val="00807B7A"/>
    <w:rsid w:val="00807C91"/>
    <w:rsid w:val="00807CF7"/>
    <w:rsid w:val="00807E0D"/>
    <w:rsid w:val="00807EEF"/>
    <w:rsid w:val="00807F56"/>
    <w:rsid w:val="00807F86"/>
    <w:rsid w:val="00807F9B"/>
    <w:rsid w:val="0081000A"/>
    <w:rsid w:val="008100F1"/>
    <w:rsid w:val="00810181"/>
    <w:rsid w:val="0081020B"/>
    <w:rsid w:val="00810216"/>
    <w:rsid w:val="0081021C"/>
    <w:rsid w:val="00810283"/>
    <w:rsid w:val="00810388"/>
    <w:rsid w:val="00810397"/>
    <w:rsid w:val="008103C9"/>
    <w:rsid w:val="008104D5"/>
    <w:rsid w:val="008104FE"/>
    <w:rsid w:val="00810531"/>
    <w:rsid w:val="00810579"/>
    <w:rsid w:val="00810597"/>
    <w:rsid w:val="008106BA"/>
    <w:rsid w:val="008106C6"/>
    <w:rsid w:val="008106FC"/>
    <w:rsid w:val="0081078B"/>
    <w:rsid w:val="008107B7"/>
    <w:rsid w:val="0081081F"/>
    <w:rsid w:val="0081082F"/>
    <w:rsid w:val="008108C7"/>
    <w:rsid w:val="00810A08"/>
    <w:rsid w:val="00810A19"/>
    <w:rsid w:val="00810A89"/>
    <w:rsid w:val="00810B5B"/>
    <w:rsid w:val="00810B6A"/>
    <w:rsid w:val="00810BF5"/>
    <w:rsid w:val="00810C26"/>
    <w:rsid w:val="00810C2A"/>
    <w:rsid w:val="00810C5D"/>
    <w:rsid w:val="00810C90"/>
    <w:rsid w:val="00810E5C"/>
    <w:rsid w:val="00810EBF"/>
    <w:rsid w:val="00810F19"/>
    <w:rsid w:val="00810F28"/>
    <w:rsid w:val="00810F36"/>
    <w:rsid w:val="00810FB3"/>
    <w:rsid w:val="00810FDE"/>
    <w:rsid w:val="008110CC"/>
    <w:rsid w:val="0081111C"/>
    <w:rsid w:val="008112E0"/>
    <w:rsid w:val="00811343"/>
    <w:rsid w:val="0081148D"/>
    <w:rsid w:val="0081158A"/>
    <w:rsid w:val="008115A7"/>
    <w:rsid w:val="008115B4"/>
    <w:rsid w:val="008115FA"/>
    <w:rsid w:val="0081171C"/>
    <w:rsid w:val="00811880"/>
    <w:rsid w:val="008118A5"/>
    <w:rsid w:val="008118C0"/>
    <w:rsid w:val="0081191F"/>
    <w:rsid w:val="00811939"/>
    <w:rsid w:val="00811943"/>
    <w:rsid w:val="00811BFD"/>
    <w:rsid w:val="00811C3D"/>
    <w:rsid w:val="00811C80"/>
    <w:rsid w:val="00811C97"/>
    <w:rsid w:val="00811D59"/>
    <w:rsid w:val="00811DA1"/>
    <w:rsid w:val="00811DD8"/>
    <w:rsid w:val="00811EF8"/>
    <w:rsid w:val="00811F2C"/>
    <w:rsid w:val="00811FCC"/>
    <w:rsid w:val="00811FE1"/>
    <w:rsid w:val="0081204E"/>
    <w:rsid w:val="00812063"/>
    <w:rsid w:val="00812161"/>
    <w:rsid w:val="008121A6"/>
    <w:rsid w:val="008121D4"/>
    <w:rsid w:val="0081224B"/>
    <w:rsid w:val="00812377"/>
    <w:rsid w:val="00812390"/>
    <w:rsid w:val="008123C5"/>
    <w:rsid w:val="0081249F"/>
    <w:rsid w:val="008124E3"/>
    <w:rsid w:val="008124F9"/>
    <w:rsid w:val="0081273A"/>
    <w:rsid w:val="00812907"/>
    <w:rsid w:val="00812912"/>
    <w:rsid w:val="00812936"/>
    <w:rsid w:val="00812A30"/>
    <w:rsid w:val="00812A80"/>
    <w:rsid w:val="00812AE1"/>
    <w:rsid w:val="00812B93"/>
    <w:rsid w:val="00812B9A"/>
    <w:rsid w:val="00812BA7"/>
    <w:rsid w:val="00812D97"/>
    <w:rsid w:val="00812E56"/>
    <w:rsid w:val="00812E68"/>
    <w:rsid w:val="00812ED8"/>
    <w:rsid w:val="00812F24"/>
    <w:rsid w:val="00813000"/>
    <w:rsid w:val="00813043"/>
    <w:rsid w:val="00813109"/>
    <w:rsid w:val="008131B7"/>
    <w:rsid w:val="00813209"/>
    <w:rsid w:val="0081324B"/>
    <w:rsid w:val="00813276"/>
    <w:rsid w:val="008132A7"/>
    <w:rsid w:val="008132C6"/>
    <w:rsid w:val="008132EF"/>
    <w:rsid w:val="00813338"/>
    <w:rsid w:val="008133A7"/>
    <w:rsid w:val="00813441"/>
    <w:rsid w:val="00813465"/>
    <w:rsid w:val="008134B3"/>
    <w:rsid w:val="00813546"/>
    <w:rsid w:val="00813565"/>
    <w:rsid w:val="008135DF"/>
    <w:rsid w:val="008135EA"/>
    <w:rsid w:val="0081366F"/>
    <w:rsid w:val="0081369D"/>
    <w:rsid w:val="00813710"/>
    <w:rsid w:val="0081387C"/>
    <w:rsid w:val="008138B6"/>
    <w:rsid w:val="00813948"/>
    <w:rsid w:val="0081398B"/>
    <w:rsid w:val="008139E0"/>
    <w:rsid w:val="00813AB0"/>
    <w:rsid w:val="00813B14"/>
    <w:rsid w:val="00813B8B"/>
    <w:rsid w:val="00813BB8"/>
    <w:rsid w:val="00813BF4"/>
    <w:rsid w:val="00813C12"/>
    <w:rsid w:val="00813C68"/>
    <w:rsid w:val="00813CDE"/>
    <w:rsid w:val="00813D3D"/>
    <w:rsid w:val="00813DB7"/>
    <w:rsid w:val="00813DE3"/>
    <w:rsid w:val="00813F63"/>
    <w:rsid w:val="00813FCC"/>
    <w:rsid w:val="00814043"/>
    <w:rsid w:val="0081407B"/>
    <w:rsid w:val="008141C6"/>
    <w:rsid w:val="008141CA"/>
    <w:rsid w:val="00814233"/>
    <w:rsid w:val="00814293"/>
    <w:rsid w:val="0081430E"/>
    <w:rsid w:val="00814327"/>
    <w:rsid w:val="008144E5"/>
    <w:rsid w:val="008144F1"/>
    <w:rsid w:val="0081452C"/>
    <w:rsid w:val="00814684"/>
    <w:rsid w:val="008146A6"/>
    <w:rsid w:val="008146B3"/>
    <w:rsid w:val="00814761"/>
    <w:rsid w:val="00814806"/>
    <w:rsid w:val="00814846"/>
    <w:rsid w:val="0081485D"/>
    <w:rsid w:val="00814A1D"/>
    <w:rsid w:val="00814A99"/>
    <w:rsid w:val="00814B68"/>
    <w:rsid w:val="00814BA1"/>
    <w:rsid w:val="00814C0B"/>
    <w:rsid w:val="00814D01"/>
    <w:rsid w:val="00814D62"/>
    <w:rsid w:val="00814DDA"/>
    <w:rsid w:val="00814E3F"/>
    <w:rsid w:val="00814E65"/>
    <w:rsid w:val="00815291"/>
    <w:rsid w:val="0081537B"/>
    <w:rsid w:val="00815411"/>
    <w:rsid w:val="0081545B"/>
    <w:rsid w:val="008154F1"/>
    <w:rsid w:val="008154F3"/>
    <w:rsid w:val="0081563F"/>
    <w:rsid w:val="00815641"/>
    <w:rsid w:val="0081566C"/>
    <w:rsid w:val="0081567A"/>
    <w:rsid w:val="008156D8"/>
    <w:rsid w:val="008156DB"/>
    <w:rsid w:val="0081574A"/>
    <w:rsid w:val="00815750"/>
    <w:rsid w:val="008157DC"/>
    <w:rsid w:val="008158E3"/>
    <w:rsid w:val="008159ED"/>
    <w:rsid w:val="00815A19"/>
    <w:rsid w:val="00815A1D"/>
    <w:rsid w:val="00815AAE"/>
    <w:rsid w:val="00815B96"/>
    <w:rsid w:val="00815C81"/>
    <w:rsid w:val="00815DF4"/>
    <w:rsid w:val="00815E9C"/>
    <w:rsid w:val="00815EAE"/>
    <w:rsid w:val="00815F26"/>
    <w:rsid w:val="00815F27"/>
    <w:rsid w:val="00816011"/>
    <w:rsid w:val="0081606A"/>
    <w:rsid w:val="0081609A"/>
    <w:rsid w:val="00816137"/>
    <w:rsid w:val="0081614B"/>
    <w:rsid w:val="0081632C"/>
    <w:rsid w:val="00816372"/>
    <w:rsid w:val="00816473"/>
    <w:rsid w:val="0081648A"/>
    <w:rsid w:val="00816491"/>
    <w:rsid w:val="008164A7"/>
    <w:rsid w:val="008164B6"/>
    <w:rsid w:val="008164F9"/>
    <w:rsid w:val="008165F5"/>
    <w:rsid w:val="0081662C"/>
    <w:rsid w:val="008166C0"/>
    <w:rsid w:val="008166CF"/>
    <w:rsid w:val="00816812"/>
    <w:rsid w:val="008168B8"/>
    <w:rsid w:val="00816985"/>
    <w:rsid w:val="0081699E"/>
    <w:rsid w:val="00816A03"/>
    <w:rsid w:val="00816B74"/>
    <w:rsid w:val="00816B75"/>
    <w:rsid w:val="00816C93"/>
    <w:rsid w:val="00816D68"/>
    <w:rsid w:val="00816D96"/>
    <w:rsid w:val="00816E40"/>
    <w:rsid w:val="00816E5F"/>
    <w:rsid w:val="00816ED6"/>
    <w:rsid w:val="00817023"/>
    <w:rsid w:val="00817057"/>
    <w:rsid w:val="00817073"/>
    <w:rsid w:val="0081716F"/>
    <w:rsid w:val="00817196"/>
    <w:rsid w:val="0081725E"/>
    <w:rsid w:val="008172F2"/>
    <w:rsid w:val="00817359"/>
    <w:rsid w:val="00817392"/>
    <w:rsid w:val="00817476"/>
    <w:rsid w:val="00817614"/>
    <w:rsid w:val="0081764B"/>
    <w:rsid w:val="00817665"/>
    <w:rsid w:val="00817703"/>
    <w:rsid w:val="0081771C"/>
    <w:rsid w:val="008177DE"/>
    <w:rsid w:val="008177F7"/>
    <w:rsid w:val="008178D0"/>
    <w:rsid w:val="0081791F"/>
    <w:rsid w:val="008179C4"/>
    <w:rsid w:val="008179E2"/>
    <w:rsid w:val="00817AA3"/>
    <w:rsid w:val="00817AC0"/>
    <w:rsid w:val="00817B01"/>
    <w:rsid w:val="00817B39"/>
    <w:rsid w:val="00817B65"/>
    <w:rsid w:val="00817BD3"/>
    <w:rsid w:val="00817BFF"/>
    <w:rsid w:val="00817C4D"/>
    <w:rsid w:val="00817C76"/>
    <w:rsid w:val="00817CA5"/>
    <w:rsid w:val="00817CEE"/>
    <w:rsid w:val="00817DAE"/>
    <w:rsid w:val="00817DC1"/>
    <w:rsid w:val="00817DE7"/>
    <w:rsid w:val="00817E38"/>
    <w:rsid w:val="00817E67"/>
    <w:rsid w:val="00817F22"/>
    <w:rsid w:val="008200BE"/>
    <w:rsid w:val="008200FD"/>
    <w:rsid w:val="0082017B"/>
    <w:rsid w:val="008201F6"/>
    <w:rsid w:val="0082024B"/>
    <w:rsid w:val="00820300"/>
    <w:rsid w:val="00820345"/>
    <w:rsid w:val="008203E4"/>
    <w:rsid w:val="008203FA"/>
    <w:rsid w:val="00820452"/>
    <w:rsid w:val="008204DD"/>
    <w:rsid w:val="00820597"/>
    <w:rsid w:val="008205A7"/>
    <w:rsid w:val="00820619"/>
    <w:rsid w:val="0082080A"/>
    <w:rsid w:val="00820865"/>
    <w:rsid w:val="00820895"/>
    <w:rsid w:val="0082090A"/>
    <w:rsid w:val="0082095A"/>
    <w:rsid w:val="008209DE"/>
    <w:rsid w:val="00820AA0"/>
    <w:rsid w:val="00820AEC"/>
    <w:rsid w:val="00820AF2"/>
    <w:rsid w:val="00820AFF"/>
    <w:rsid w:val="00820BEA"/>
    <w:rsid w:val="00820C71"/>
    <w:rsid w:val="00820CF6"/>
    <w:rsid w:val="00820D10"/>
    <w:rsid w:val="00820E14"/>
    <w:rsid w:val="00820E1B"/>
    <w:rsid w:val="00820E36"/>
    <w:rsid w:val="00820ED0"/>
    <w:rsid w:val="00820ED3"/>
    <w:rsid w:val="00820EF1"/>
    <w:rsid w:val="00820FE4"/>
    <w:rsid w:val="008211C9"/>
    <w:rsid w:val="008211D6"/>
    <w:rsid w:val="00821231"/>
    <w:rsid w:val="00821264"/>
    <w:rsid w:val="00821302"/>
    <w:rsid w:val="00821346"/>
    <w:rsid w:val="008213B3"/>
    <w:rsid w:val="008213EF"/>
    <w:rsid w:val="00821528"/>
    <w:rsid w:val="008215EA"/>
    <w:rsid w:val="00821632"/>
    <w:rsid w:val="00821681"/>
    <w:rsid w:val="008216EA"/>
    <w:rsid w:val="0082177C"/>
    <w:rsid w:val="008218CB"/>
    <w:rsid w:val="008218F3"/>
    <w:rsid w:val="008219DD"/>
    <w:rsid w:val="00821B08"/>
    <w:rsid w:val="00821B7C"/>
    <w:rsid w:val="00821B81"/>
    <w:rsid w:val="00821BCA"/>
    <w:rsid w:val="00821C53"/>
    <w:rsid w:val="00821CA4"/>
    <w:rsid w:val="00821D5C"/>
    <w:rsid w:val="00821F4C"/>
    <w:rsid w:val="00821F81"/>
    <w:rsid w:val="00821FD4"/>
    <w:rsid w:val="00822063"/>
    <w:rsid w:val="0082206F"/>
    <w:rsid w:val="00822216"/>
    <w:rsid w:val="00822239"/>
    <w:rsid w:val="0082224C"/>
    <w:rsid w:val="008223D4"/>
    <w:rsid w:val="00822419"/>
    <w:rsid w:val="00822428"/>
    <w:rsid w:val="0082244E"/>
    <w:rsid w:val="00822580"/>
    <w:rsid w:val="00822589"/>
    <w:rsid w:val="00822687"/>
    <w:rsid w:val="0082269F"/>
    <w:rsid w:val="008226AE"/>
    <w:rsid w:val="008226C0"/>
    <w:rsid w:val="008226F2"/>
    <w:rsid w:val="00822729"/>
    <w:rsid w:val="00822813"/>
    <w:rsid w:val="00822848"/>
    <w:rsid w:val="00822849"/>
    <w:rsid w:val="00822860"/>
    <w:rsid w:val="00822869"/>
    <w:rsid w:val="0082295A"/>
    <w:rsid w:val="0082299E"/>
    <w:rsid w:val="00822AAB"/>
    <w:rsid w:val="00822BB9"/>
    <w:rsid w:val="00822C86"/>
    <w:rsid w:val="00822CDB"/>
    <w:rsid w:val="00822DC0"/>
    <w:rsid w:val="00822DE1"/>
    <w:rsid w:val="00822E89"/>
    <w:rsid w:val="00822FA3"/>
    <w:rsid w:val="00822FB6"/>
    <w:rsid w:val="0082305C"/>
    <w:rsid w:val="00823080"/>
    <w:rsid w:val="00823111"/>
    <w:rsid w:val="0082318E"/>
    <w:rsid w:val="008231A1"/>
    <w:rsid w:val="008231FF"/>
    <w:rsid w:val="00823255"/>
    <w:rsid w:val="00823257"/>
    <w:rsid w:val="00823391"/>
    <w:rsid w:val="008233F2"/>
    <w:rsid w:val="008234B5"/>
    <w:rsid w:val="008234D4"/>
    <w:rsid w:val="00823619"/>
    <w:rsid w:val="0082362A"/>
    <w:rsid w:val="00823655"/>
    <w:rsid w:val="008236D3"/>
    <w:rsid w:val="00823716"/>
    <w:rsid w:val="008237DE"/>
    <w:rsid w:val="00823840"/>
    <w:rsid w:val="0082389B"/>
    <w:rsid w:val="00823954"/>
    <w:rsid w:val="00823973"/>
    <w:rsid w:val="00823A6B"/>
    <w:rsid w:val="00823AAF"/>
    <w:rsid w:val="00823AD4"/>
    <w:rsid w:val="00823B5D"/>
    <w:rsid w:val="00823BB1"/>
    <w:rsid w:val="00823C03"/>
    <w:rsid w:val="00823DFC"/>
    <w:rsid w:val="00823E13"/>
    <w:rsid w:val="00823E67"/>
    <w:rsid w:val="00823EEF"/>
    <w:rsid w:val="00824005"/>
    <w:rsid w:val="00824153"/>
    <w:rsid w:val="00824221"/>
    <w:rsid w:val="0082422A"/>
    <w:rsid w:val="0082434C"/>
    <w:rsid w:val="00824488"/>
    <w:rsid w:val="00824498"/>
    <w:rsid w:val="008244A2"/>
    <w:rsid w:val="008244E3"/>
    <w:rsid w:val="0082455D"/>
    <w:rsid w:val="008245B7"/>
    <w:rsid w:val="008246A3"/>
    <w:rsid w:val="008247DB"/>
    <w:rsid w:val="00824917"/>
    <w:rsid w:val="00824936"/>
    <w:rsid w:val="00824A1B"/>
    <w:rsid w:val="00824A3D"/>
    <w:rsid w:val="00824AA4"/>
    <w:rsid w:val="00824AA6"/>
    <w:rsid w:val="00824AC2"/>
    <w:rsid w:val="00824AF3"/>
    <w:rsid w:val="00824C36"/>
    <w:rsid w:val="00824C8B"/>
    <w:rsid w:val="00824C96"/>
    <w:rsid w:val="00824CCD"/>
    <w:rsid w:val="00824D5A"/>
    <w:rsid w:val="00824DD2"/>
    <w:rsid w:val="00824E16"/>
    <w:rsid w:val="00824E91"/>
    <w:rsid w:val="00824F69"/>
    <w:rsid w:val="00825039"/>
    <w:rsid w:val="00825087"/>
    <w:rsid w:val="008250AD"/>
    <w:rsid w:val="00825105"/>
    <w:rsid w:val="008251C1"/>
    <w:rsid w:val="00825214"/>
    <w:rsid w:val="0082526F"/>
    <w:rsid w:val="0082529A"/>
    <w:rsid w:val="008252D6"/>
    <w:rsid w:val="00825304"/>
    <w:rsid w:val="00825437"/>
    <w:rsid w:val="0082543B"/>
    <w:rsid w:val="00825482"/>
    <w:rsid w:val="00825553"/>
    <w:rsid w:val="00825570"/>
    <w:rsid w:val="008255BE"/>
    <w:rsid w:val="008255F1"/>
    <w:rsid w:val="0082562A"/>
    <w:rsid w:val="00825687"/>
    <w:rsid w:val="00825692"/>
    <w:rsid w:val="008256A9"/>
    <w:rsid w:val="008256F1"/>
    <w:rsid w:val="00825851"/>
    <w:rsid w:val="008259A5"/>
    <w:rsid w:val="008259B9"/>
    <w:rsid w:val="008259EE"/>
    <w:rsid w:val="00825B7D"/>
    <w:rsid w:val="00825BD4"/>
    <w:rsid w:val="00825CBB"/>
    <w:rsid w:val="00825D3D"/>
    <w:rsid w:val="00825DA0"/>
    <w:rsid w:val="00825DA1"/>
    <w:rsid w:val="00825E0C"/>
    <w:rsid w:val="00825E2B"/>
    <w:rsid w:val="00825F10"/>
    <w:rsid w:val="00826083"/>
    <w:rsid w:val="008260BB"/>
    <w:rsid w:val="008261F6"/>
    <w:rsid w:val="0082621E"/>
    <w:rsid w:val="00826273"/>
    <w:rsid w:val="0082629A"/>
    <w:rsid w:val="008262B6"/>
    <w:rsid w:val="008262F0"/>
    <w:rsid w:val="0082632B"/>
    <w:rsid w:val="0082635E"/>
    <w:rsid w:val="008263AB"/>
    <w:rsid w:val="008263C0"/>
    <w:rsid w:val="00826425"/>
    <w:rsid w:val="00826435"/>
    <w:rsid w:val="00826461"/>
    <w:rsid w:val="0082653D"/>
    <w:rsid w:val="008266EC"/>
    <w:rsid w:val="00826732"/>
    <w:rsid w:val="00826746"/>
    <w:rsid w:val="00826824"/>
    <w:rsid w:val="00826853"/>
    <w:rsid w:val="008268CB"/>
    <w:rsid w:val="00826959"/>
    <w:rsid w:val="00826A73"/>
    <w:rsid w:val="00826AA9"/>
    <w:rsid w:val="00826B78"/>
    <w:rsid w:val="00826B7E"/>
    <w:rsid w:val="00826BB3"/>
    <w:rsid w:val="00826C26"/>
    <w:rsid w:val="00826C8F"/>
    <w:rsid w:val="00826D4D"/>
    <w:rsid w:val="00826D90"/>
    <w:rsid w:val="00826DC3"/>
    <w:rsid w:val="00826DF0"/>
    <w:rsid w:val="00826E7A"/>
    <w:rsid w:val="00826E96"/>
    <w:rsid w:val="00826EE9"/>
    <w:rsid w:val="00826F93"/>
    <w:rsid w:val="00826FF1"/>
    <w:rsid w:val="00827045"/>
    <w:rsid w:val="0082707E"/>
    <w:rsid w:val="008270A1"/>
    <w:rsid w:val="008270E0"/>
    <w:rsid w:val="008270E4"/>
    <w:rsid w:val="008271AE"/>
    <w:rsid w:val="008271C4"/>
    <w:rsid w:val="00827228"/>
    <w:rsid w:val="0082729C"/>
    <w:rsid w:val="0082733A"/>
    <w:rsid w:val="00827351"/>
    <w:rsid w:val="0082738A"/>
    <w:rsid w:val="008273B8"/>
    <w:rsid w:val="008273CB"/>
    <w:rsid w:val="008273DD"/>
    <w:rsid w:val="0082740D"/>
    <w:rsid w:val="00827484"/>
    <w:rsid w:val="0082752B"/>
    <w:rsid w:val="0082757D"/>
    <w:rsid w:val="008275F9"/>
    <w:rsid w:val="00827617"/>
    <w:rsid w:val="0082762E"/>
    <w:rsid w:val="00827806"/>
    <w:rsid w:val="008278DA"/>
    <w:rsid w:val="008278EF"/>
    <w:rsid w:val="00827954"/>
    <w:rsid w:val="00827966"/>
    <w:rsid w:val="00827B1F"/>
    <w:rsid w:val="00827BD2"/>
    <w:rsid w:val="00827C60"/>
    <w:rsid w:val="00827C95"/>
    <w:rsid w:val="00827CE9"/>
    <w:rsid w:val="00827D5D"/>
    <w:rsid w:val="00827DA8"/>
    <w:rsid w:val="00827DB1"/>
    <w:rsid w:val="00827EB9"/>
    <w:rsid w:val="00827EE7"/>
    <w:rsid w:val="00827F23"/>
    <w:rsid w:val="00827F8F"/>
    <w:rsid w:val="0083002C"/>
    <w:rsid w:val="0083002F"/>
    <w:rsid w:val="00830090"/>
    <w:rsid w:val="0083023D"/>
    <w:rsid w:val="00830272"/>
    <w:rsid w:val="0083027C"/>
    <w:rsid w:val="008302AA"/>
    <w:rsid w:val="0083030B"/>
    <w:rsid w:val="008303DC"/>
    <w:rsid w:val="008304D7"/>
    <w:rsid w:val="008304D9"/>
    <w:rsid w:val="00830515"/>
    <w:rsid w:val="00830603"/>
    <w:rsid w:val="00830846"/>
    <w:rsid w:val="00830853"/>
    <w:rsid w:val="00830905"/>
    <w:rsid w:val="00830952"/>
    <w:rsid w:val="00830980"/>
    <w:rsid w:val="00830AB0"/>
    <w:rsid w:val="00830AC7"/>
    <w:rsid w:val="00830AF3"/>
    <w:rsid w:val="00830B66"/>
    <w:rsid w:val="00830C6F"/>
    <w:rsid w:val="00830C98"/>
    <w:rsid w:val="00830CEA"/>
    <w:rsid w:val="00830D1F"/>
    <w:rsid w:val="00830E4F"/>
    <w:rsid w:val="00830E5C"/>
    <w:rsid w:val="00831077"/>
    <w:rsid w:val="00831135"/>
    <w:rsid w:val="0083113A"/>
    <w:rsid w:val="008311B8"/>
    <w:rsid w:val="008311D4"/>
    <w:rsid w:val="00831269"/>
    <w:rsid w:val="0083126A"/>
    <w:rsid w:val="008312AC"/>
    <w:rsid w:val="00831391"/>
    <w:rsid w:val="008313C8"/>
    <w:rsid w:val="008313FF"/>
    <w:rsid w:val="00831509"/>
    <w:rsid w:val="0083151A"/>
    <w:rsid w:val="008315F0"/>
    <w:rsid w:val="0083161A"/>
    <w:rsid w:val="008316A4"/>
    <w:rsid w:val="008317C6"/>
    <w:rsid w:val="008317CD"/>
    <w:rsid w:val="00831828"/>
    <w:rsid w:val="0083196C"/>
    <w:rsid w:val="00831A7D"/>
    <w:rsid w:val="00831B8F"/>
    <w:rsid w:val="00831BEA"/>
    <w:rsid w:val="00831C12"/>
    <w:rsid w:val="00831C60"/>
    <w:rsid w:val="00831C85"/>
    <w:rsid w:val="00831C96"/>
    <w:rsid w:val="00831D06"/>
    <w:rsid w:val="00831D86"/>
    <w:rsid w:val="00831D9C"/>
    <w:rsid w:val="00831DC3"/>
    <w:rsid w:val="00831DC9"/>
    <w:rsid w:val="00831DDD"/>
    <w:rsid w:val="00831E13"/>
    <w:rsid w:val="00831F69"/>
    <w:rsid w:val="00831F6F"/>
    <w:rsid w:val="00831F9F"/>
    <w:rsid w:val="00832171"/>
    <w:rsid w:val="0083226F"/>
    <w:rsid w:val="00832279"/>
    <w:rsid w:val="00832285"/>
    <w:rsid w:val="008322BF"/>
    <w:rsid w:val="0083238C"/>
    <w:rsid w:val="008323A5"/>
    <w:rsid w:val="00832491"/>
    <w:rsid w:val="0083254F"/>
    <w:rsid w:val="00832559"/>
    <w:rsid w:val="008325BF"/>
    <w:rsid w:val="008325C2"/>
    <w:rsid w:val="00832679"/>
    <w:rsid w:val="008326A6"/>
    <w:rsid w:val="008327C6"/>
    <w:rsid w:val="008328B8"/>
    <w:rsid w:val="008328D3"/>
    <w:rsid w:val="0083295C"/>
    <w:rsid w:val="00832AA5"/>
    <w:rsid w:val="00832AD9"/>
    <w:rsid w:val="00832B8F"/>
    <w:rsid w:val="00832BFF"/>
    <w:rsid w:val="00832DC7"/>
    <w:rsid w:val="00832E18"/>
    <w:rsid w:val="00832E4C"/>
    <w:rsid w:val="00832ED4"/>
    <w:rsid w:val="00832F17"/>
    <w:rsid w:val="00832FCB"/>
    <w:rsid w:val="00832FD5"/>
    <w:rsid w:val="00833080"/>
    <w:rsid w:val="008331C3"/>
    <w:rsid w:val="00833243"/>
    <w:rsid w:val="0083326B"/>
    <w:rsid w:val="00833281"/>
    <w:rsid w:val="008333F3"/>
    <w:rsid w:val="00833504"/>
    <w:rsid w:val="00833547"/>
    <w:rsid w:val="0083358C"/>
    <w:rsid w:val="008335C5"/>
    <w:rsid w:val="00833689"/>
    <w:rsid w:val="00833761"/>
    <w:rsid w:val="00833984"/>
    <w:rsid w:val="008339EA"/>
    <w:rsid w:val="00833A80"/>
    <w:rsid w:val="00833AD0"/>
    <w:rsid w:val="00833B90"/>
    <w:rsid w:val="00833BDD"/>
    <w:rsid w:val="00833C2A"/>
    <w:rsid w:val="00833CF4"/>
    <w:rsid w:val="00833D91"/>
    <w:rsid w:val="00833DA2"/>
    <w:rsid w:val="00833DA7"/>
    <w:rsid w:val="00833E93"/>
    <w:rsid w:val="00833FDA"/>
    <w:rsid w:val="00833FF8"/>
    <w:rsid w:val="008340B5"/>
    <w:rsid w:val="008340F5"/>
    <w:rsid w:val="008341D1"/>
    <w:rsid w:val="00834243"/>
    <w:rsid w:val="00834266"/>
    <w:rsid w:val="008342C5"/>
    <w:rsid w:val="0083433B"/>
    <w:rsid w:val="0083443F"/>
    <w:rsid w:val="008344CF"/>
    <w:rsid w:val="008344F7"/>
    <w:rsid w:val="00834543"/>
    <w:rsid w:val="008345DF"/>
    <w:rsid w:val="0083467C"/>
    <w:rsid w:val="0083476D"/>
    <w:rsid w:val="00834795"/>
    <w:rsid w:val="008347C3"/>
    <w:rsid w:val="00834844"/>
    <w:rsid w:val="00834860"/>
    <w:rsid w:val="0083487D"/>
    <w:rsid w:val="00834927"/>
    <w:rsid w:val="0083497A"/>
    <w:rsid w:val="00834A1F"/>
    <w:rsid w:val="00834A41"/>
    <w:rsid w:val="00834A6D"/>
    <w:rsid w:val="00834AF0"/>
    <w:rsid w:val="00834BDB"/>
    <w:rsid w:val="00834C65"/>
    <w:rsid w:val="00834CD2"/>
    <w:rsid w:val="00834DA5"/>
    <w:rsid w:val="00834DB6"/>
    <w:rsid w:val="00834E4A"/>
    <w:rsid w:val="00834E67"/>
    <w:rsid w:val="00834EA0"/>
    <w:rsid w:val="00834EB9"/>
    <w:rsid w:val="00834EC2"/>
    <w:rsid w:val="00834EF4"/>
    <w:rsid w:val="00834F3C"/>
    <w:rsid w:val="00834F6B"/>
    <w:rsid w:val="00834FC7"/>
    <w:rsid w:val="00834FCE"/>
    <w:rsid w:val="00834FE6"/>
    <w:rsid w:val="00834FFB"/>
    <w:rsid w:val="00835017"/>
    <w:rsid w:val="00835038"/>
    <w:rsid w:val="008350E5"/>
    <w:rsid w:val="00835136"/>
    <w:rsid w:val="00835154"/>
    <w:rsid w:val="00835216"/>
    <w:rsid w:val="008352CD"/>
    <w:rsid w:val="00835401"/>
    <w:rsid w:val="00835494"/>
    <w:rsid w:val="008354A5"/>
    <w:rsid w:val="008354D8"/>
    <w:rsid w:val="008354E8"/>
    <w:rsid w:val="00835524"/>
    <w:rsid w:val="008355AE"/>
    <w:rsid w:val="008356B6"/>
    <w:rsid w:val="008356D5"/>
    <w:rsid w:val="0083577D"/>
    <w:rsid w:val="0083581A"/>
    <w:rsid w:val="008358B8"/>
    <w:rsid w:val="008358C6"/>
    <w:rsid w:val="00835A83"/>
    <w:rsid w:val="00835C7A"/>
    <w:rsid w:val="00835D2D"/>
    <w:rsid w:val="00835D6F"/>
    <w:rsid w:val="00835DAF"/>
    <w:rsid w:val="00835E1F"/>
    <w:rsid w:val="00835EAC"/>
    <w:rsid w:val="00835EDE"/>
    <w:rsid w:val="00835F8A"/>
    <w:rsid w:val="00836037"/>
    <w:rsid w:val="008361B0"/>
    <w:rsid w:val="0083628B"/>
    <w:rsid w:val="008362E7"/>
    <w:rsid w:val="00836389"/>
    <w:rsid w:val="00836473"/>
    <w:rsid w:val="008364CC"/>
    <w:rsid w:val="00836511"/>
    <w:rsid w:val="008366D5"/>
    <w:rsid w:val="00836711"/>
    <w:rsid w:val="00836718"/>
    <w:rsid w:val="00836728"/>
    <w:rsid w:val="0083673B"/>
    <w:rsid w:val="008367DB"/>
    <w:rsid w:val="008369D0"/>
    <w:rsid w:val="00836A55"/>
    <w:rsid w:val="00836BF5"/>
    <w:rsid w:val="00836CB9"/>
    <w:rsid w:val="00836CE4"/>
    <w:rsid w:val="00836E0A"/>
    <w:rsid w:val="00836E11"/>
    <w:rsid w:val="00836E49"/>
    <w:rsid w:val="00836E9F"/>
    <w:rsid w:val="00836F25"/>
    <w:rsid w:val="00836F79"/>
    <w:rsid w:val="00836FAC"/>
    <w:rsid w:val="00837017"/>
    <w:rsid w:val="008371BD"/>
    <w:rsid w:val="0083729A"/>
    <w:rsid w:val="00837357"/>
    <w:rsid w:val="00837380"/>
    <w:rsid w:val="0083743F"/>
    <w:rsid w:val="008374C4"/>
    <w:rsid w:val="00837581"/>
    <w:rsid w:val="00837597"/>
    <w:rsid w:val="00837663"/>
    <w:rsid w:val="008376D1"/>
    <w:rsid w:val="0083771F"/>
    <w:rsid w:val="00837748"/>
    <w:rsid w:val="008377D7"/>
    <w:rsid w:val="0083780A"/>
    <w:rsid w:val="00837820"/>
    <w:rsid w:val="0083797D"/>
    <w:rsid w:val="008379A3"/>
    <w:rsid w:val="00837A21"/>
    <w:rsid w:val="00837A4A"/>
    <w:rsid w:val="00837A72"/>
    <w:rsid w:val="00837B14"/>
    <w:rsid w:val="00837B24"/>
    <w:rsid w:val="00837BCE"/>
    <w:rsid w:val="00837C24"/>
    <w:rsid w:val="00837DF4"/>
    <w:rsid w:val="00837E02"/>
    <w:rsid w:val="00837EA3"/>
    <w:rsid w:val="00837EAA"/>
    <w:rsid w:val="0084001A"/>
    <w:rsid w:val="008400C0"/>
    <w:rsid w:val="00840250"/>
    <w:rsid w:val="00840327"/>
    <w:rsid w:val="0084035B"/>
    <w:rsid w:val="008404B9"/>
    <w:rsid w:val="008404C1"/>
    <w:rsid w:val="008404D7"/>
    <w:rsid w:val="0084055E"/>
    <w:rsid w:val="00840578"/>
    <w:rsid w:val="00840751"/>
    <w:rsid w:val="0084075C"/>
    <w:rsid w:val="00840783"/>
    <w:rsid w:val="008407C0"/>
    <w:rsid w:val="008407D5"/>
    <w:rsid w:val="00840871"/>
    <w:rsid w:val="008408F1"/>
    <w:rsid w:val="008409FB"/>
    <w:rsid w:val="00840AE4"/>
    <w:rsid w:val="00840D48"/>
    <w:rsid w:val="00840DFA"/>
    <w:rsid w:val="00840E30"/>
    <w:rsid w:val="00840ED3"/>
    <w:rsid w:val="00840F34"/>
    <w:rsid w:val="00840F39"/>
    <w:rsid w:val="00840FB2"/>
    <w:rsid w:val="00840FB3"/>
    <w:rsid w:val="00840FCF"/>
    <w:rsid w:val="00841014"/>
    <w:rsid w:val="00841177"/>
    <w:rsid w:val="00841201"/>
    <w:rsid w:val="0084120F"/>
    <w:rsid w:val="0084123C"/>
    <w:rsid w:val="0084134F"/>
    <w:rsid w:val="008413B2"/>
    <w:rsid w:val="008413B4"/>
    <w:rsid w:val="00841423"/>
    <w:rsid w:val="00841435"/>
    <w:rsid w:val="008414A9"/>
    <w:rsid w:val="008415BE"/>
    <w:rsid w:val="00841648"/>
    <w:rsid w:val="00841725"/>
    <w:rsid w:val="008417F4"/>
    <w:rsid w:val="0084186A"/>
    <w:rsid w:val="0084187B"/>
    <w:rsid w:val="008418ED"/>
    <w:rsid w:val="008418F4"/>
    <w:rsid w:val="008418F5"/>
    <w:rsid w:val="00841939"/>
    <w:rsid w:val="00841958"/>
    <w:rsid w:val="00841975"/>
    <w:rsid w:val="00841984"/>
    <w:rsid w:val="00841A4E"/>
    <w:rsid w:val="00841C23"/>
    <w:rsid w:val="00841C79"/>
    <w:rsid w:val="00841CD1"/>
    <w:rsid w:val="00841CD3"/>
    <w:rsid w:val="00841CE5"/>
    <w:rsid w:val="00841E3D"/>
    <w:rsid w:val="00841EB4"/>
    <w:rsid w:val="00841EBD"/>
    <w:rsid w:val="00841F17"/>
    <w:rsid w:val="00841F60"/>
    <w:rsid w:val="00841F85"/>
    <w:rsid w:val="00841FC6"/>
    <w:rsid w:val="0084208B"/>
    <w:rsid w:val="008420E8"/>
    <w:rsid w:val="008420F2"/>
    <w:rsid w:val="00842111"/>
    <w:rsid w:val="0084218D"/>
    <w:rsid w:val="00842222"/>
    <w:rsid w:val="0084222E"/>
    <w:rsid w:val="00842319"/>
    <w:rsid w:val="00842341"/>
    <w:rsid w:val="0084236D"/>
    <w:rsid w:val="0084242E"/>
    <w:rsid w:val="0084244A"/>
    <w:rsid w:val="00842492"/>
    <w:rsid w:val="008424AD"/>
    <w:rsid w:val="008424C8"/>
    <w:rsid w:val="008424C9"/>
    <w:rsid w:val="008426BA"/>
    <w:rsid w:val="008426D9"/>
    <w:rsid w:val="008426F1"/>
    <w:rsid w:val="00842818"/>
    <w:rsid w:val="00842857"/>
    <w:rsid w:val="00842888"/>
    <w:rsid w:val="008429EA"/>
    <w:rsid w:val="00842A5C"/>
    <w:rsid w:val="00842AA3"/>
    <w:rsid w:val="00842AF6"/>
    <w:rsid w:val="00842B03"/>
    <w:rsid w:val="00842CA8"/>
    <w:rsid w:val="00842DB3"/>
    <w:rsid w:val="00842E0B"/>
    <w:rsid w:val="00842E95"/>
    <w:rsid w:val="00842F5F"/>
    <w:rsid w:val="00842FAF"/>
    <w:rsid w:val="00842FB8"/>
    <w:rsid w:val="0084300F"/>
    <w:rsid w:val="00843027"/>
    <w:rsid w:val="008431A3"/>
    <w:rsid w:val="00843249"/>
    <w:rsid w:val="00843362"/>
    <w:rsid w:val="0084338F"/>
    <w:rsid w:val="0084343F"/>
    <w:rsid w:val="00843440"/>
    <w:rsid w:val="0084358D"/>
    <w:rsid w:val="008435E5"/>
    <w:rsid w:val="00843623"/>
    <w:rsid w:val="00843692"/>
    <w:rsid w:val="008436E1"/>
    <w:rsid w:val="00843876"/>
    <w:rsid w:val="008438F6"/>
    <w:rsid w:val="008439C2"/>
    <w:rsid w:val="00843A7C"/>
    <w:rsid w:val="00843ADC"/>
    <w:rsid w:val="00843B52"/>
    <w:rsid w:val="00843C1D"/>
    <w:rsid w:val="00843C80"/>
    <w:rsid w:val="00843CBF"/>
    <w:rsid w:val="00843D45"/>
    <w:rsid w:val="00843DAF"/>
    <w:rsid w:val="00843E40"/>
    <w:rsid w:val="00843F7F"/>
    <w:rsid w:val="00844032"/>
    <w:rsid w:val="008440F0"/>
    <w:rsid w:val="008441D8"/>
    <w:rsid w:val="008441F2"/>
    <w:rsid w:val="0084421C"/>
    <w:rsid w:val="00844254"/>
    <w:rsid w:val="0084429C"/>
    <w:rsid w:val="00844372"/>
    <w:rsid w:val="008443AE"/>
    <w:rsid w:val="0084457D"/>
    <w:rsid w:val="008446BF"/>
    <w:rsid w:val="00844703"/>
    <w:rsid w:val="00844713"/>
    <w:rsid w:val="00844731"/>
    <w:rsid w:val="00844778"/>
    <w:rsid w:val="00844782"/>
    <w:rsid w:val="008447FC"/>
    <w:rsid w:val="0084480C"/>
    <w:rsid w:val="00844861"/>
    <w:rsid w:val="0084491B"/>
    <w:rsid w:val="00844957"/>
    <w:rsid w:val="00844B4D"/>
    <w:rsid w:val="00844B60"/>
    <w:rsid w:val="00844BDA"/>
    <w:rsid w:val="00844C41"/>
    <w:rsid w:val="00844D10"/>
    <w:rsid w:val="00844D2D"/>
    <w:rsid w:val="00844D76"/>
    <w:rsid w:val="00844DBD"/>
    <w:rsid w:val="00844E8D"/>
    <w:rsid w:val="00844ED6"/>
    <w:rsid w:val="00844F26"/>
    <w:rsid w:val="00845009"/>
    <w:rsid w:val="00845124"/>
    <w:rsid w:val="008451F0"/>
    <w:rsid w:val="008451F7"/>
    <w:rsid w:val="0084520B"/>
    <w:rsid w:val="00845306"/>
    <w:rsid w:val="008456B6"/>
    <w:rsid w:val="00845758"/>
    <w:rsid w:val="00845759"/>
    <w:rsid w:val="0084575B"/>
    <w:rsid w:val="0084579C"/>
    <w:rsid w:val="008457D6"/>
    <w:rsid w:val="00845996"/>
    <w:rsid w:val="008459A8"/>
    <w:rsid w:val="008459B4"/>
    <w:rsid w:val="00845BFA"/>
    <w:rsid w:val="00845E22"/>
    <w:rsid w:val="00845FCC"/>
    <w:rsid w:val="0084610E"/>
    <w:rsid w:val="00846134"/>
    <w:rsid w:val="008461F8"/>
    <w:rsid w:val="00846224"/>
    <w:rsid w:val="0084633C"/>
    <w:rsid w:val="008463C5"/>
    <w:rsid w:val="0084646D"/>
    <w:rsid w:val="008465A3"/>
    <w:rsid w:val="008465FE"/>
    <w:rsid w:val="00846643"/>
    <w:rsid w:val="008466CC"/>
    <w:rsid w:val="0084674C"/>
    <w:rsid w:val="008467F1"/>
    <w:rsid w:val="00846877"/>
    <w:rsid w:val="008468B4"/>
    <w:rsid w:val="00846973"/>
    <w:rsid w:val="008469A5"/>
    <w:rsid w:val="008469B3"/>
    <w:rsid w:val="00846AA3"/>
    <w:rsid w:val="00846AD9"/>
    <w:rsid w:val="00846BFD"/>
    <w:rsid w:val="00846C2D"/>
    <w:rsid w:val="00846D7F"/>
    <w:rsid w:val="00846D8C"/>
    <w:rsid w:val="00846DE1"/>
    <w:rsid w:val="00846DEF"/>
    <w:rsid w:val="00846E04"/>
    <w:rsid w:val="00846E74"/>
    <w:rsid w:val="00846F4F"/>
    <w:rsid w:val="00846F95"/>
    <w:rsid w:val="008470F5"/>
    <w:rsid w:val="00847146"/>
    <w:rsid w:val="008471B4"/>
    <w:rsid w:val="008471F3"/>
    <w:rsid w:val="00847224"/>
    <w:rsid w:val="0084725F"/>
    <w:rsid w:val="00847262"/>
    <w:rsid w:val="00847304"/>
    <w:rsid w:val="008473E3"/>
    <w:rsid w:val="00847406"/>
    <w:rsid w:val="00847454"/>
    <w:rsid w:val="0084745E"/>
    <w:rsid w:val="00847490"/>
    <w:rsid w:val="008474FB"/>
    <w:rsid w:val="00847516"/>
    <w:rsid w:val="0084758F"/>
    <w:rsid w:val="00847593"/>
    <w:rsid w:val="0084762F"/>
    <w:rsid w:val="008477AA"/>
    <w:rsid w:val="008477F5"/>
    <w:rsid w:val="0084784D"/>
    <w:rsid w:val="008478BC"/>
    <w:rsid w:val="008479AC"/>
    <w:rsid w:val="00847B83"/>
    <w:rsid w:val="00847B9C"/>
    <w:rsid w:val="00847C11"/>
    <w:rsid w:val="00847CA8"/>
    <w:rsid w:val="00847DBA"/>
    <w:rsid w:val="00847DD2"/>
    <w:rsid w:val="00847E44"/>
    <w:rsid w:val="00850105"/>
    <w:rsid w:val="00850130"/>
    <w:rsid w:val="00850569"/>
    <w:rsid w:val="0085056B"/>
    <w:rsid w:val="00850572"/>
    <w:rsid w:val="0085057D"/>
    <w:rsid w:val="0085060E"/>
    <w:rsid w:val="0085072D"/>
    <w:rsid w:val="0085074D"/>
    <w:rsid w:val="00850755"/>
    <w:rsid w:val="008507EC"/>
    <w:rsid w:val="00850938"/>
    <w:rsid w:val="0085097C"/>
    <w:rsid w:val="00850AFA"/>
    <w:rsid w:val="00850C93"/>
    <w:rsid w:val="00850D68"/>
    <w:rsid w:val="00850F10"/>
    <w:rsid w:val="00850FBB"/>
    <w:rsid w:val="0085102C"/>
    <w:rsid w:val="0085104E"/>
    <w:rsid w:val="00851179"/>
    <w:rsid w:val="0085119F"/>
    <w:rsid w:val="008511A0"/>
    <w:rsid w:val="00851293"/>
    <w:rsid w:val="008512D4"/>
    <w:rsid w:val="00851369"/>
    <w:rsid w:val="00851428"/>
    <w:rsid w:val="0085142C"/>
    <w:rsid w:val="008514E7"/>
    <w:rsid w:val="00851549"/>
    <w:rsid w:val="0085160F"/>
    <w:rsid w:val="0085162B"/>
    <w:rsid w:val="008516E5"/>
    <w:rsid w:val="0085172F"/>
    <w:rsid w:val="008517D3"/>
    <w:rsid w:val="008518B5"/>
    <w:rsid w:val="008518D8"/>
    <w:rsid w:val="00851952"/>
    <w:rsid w:val="00851975"/>
    <w:rsid w:val="008519A0"/>
    <w:rsid w:val="00851A38"/>
    <w:rsid w:val="00851ADC"/>
    <w:rsid w:val="00851C4E"/>
    <w:rsid w:val="00851D07"/>
    <w:rsid w:val="00851DCA"/>
    <w:rsid w:val="00851E5E"/>
    <w:rsid w:val="00851E6F"/>
    <w:rsid w:val="00851F20"/>
    <w:rsid w:val="00851FEA"/>
    <w:rsid w:val="00852011"/>
    <w:rsid w:val="0085203E"/>
    <w:rsid w:val="008520CD"/>
    <w:rsid w:val="00852142"/>
    <w:rsid w:val="008521AB"/>
    <w:rsid w:val="008521D3"/>
    <w:rsid w:val="0085221A"/>
    <w:rsid w:val="0085222D"/>
    <w:rsid w:val="008522D8"/>
    <w:rsid w:val="00852306"/>
    <w:rsid w:val="0085236D"/>
    <w:rsid w:val="008523E6"/>
    <w:rsid w:val="008523F2"/>
    <w:rsid w:val="00852487"/>
    <w:rsid w:val="008524C2"/>
    <w:rsid w:val="008524ED"/>
    <w:rsid w:val="008524F6"/>
    <w:rsid w:val="00852519"/>
    <w:rsid w:val="0085251C"/>
    <w:rsid w:val="008525AE"/>
    <w:rsid w:val="008525E8"/>
    <w:rsid w:val="008525F4"/>
    <w:rsid w:val="008526A1"/>
    <w:rsid w:val="00852700"/>
    <w:rsid w:val="0085270E"/>
    <w:rsid w:val="00852714"/>
    <w:rsid w:val="00852738"/>
    <w:rsid w:val="008527C5"/>
    <w:rsid w:val="00852816"/>
    <w:rsid w:val="008529C7"/>
    <w:rsid w:val="008529CD"/>
    <w:rsid w:val="008529DD"/>
    <w:rsid w:val="00852A55"/>
    <w:rsid w:val="00852A9B"/>
    <w:rsid w:val="00852AF4"/>
    <w:rsid w:val="00852B0C"/>
    <w:rsid w:val="00852B35"/>
    <w:rsid w:val="00852C27"/>
    <w:rsid w:val="00852DAA"/>
    <w:rsid w:val="00852DBC"/>
    <w:rsid w:val="00852DD7"/>
    <w:rsid w:val="00852DED"/>
    <w:rsid w:val="00852F55"/>
    <w:rsid w:val="00852F59"/>
    <w:rsid w:val="0085300E"/>
    <w:rsid w:val="008530F3"/>
    <w:rsid w:val="008531A7"/>
    <w:rsid w:val="008531E0"/>
    <w:rsid w:val="008532D0"/>
    <w:rsid w:val="0085330E"/>
    <w:rsid w:val="0085339B"/>
    <w:rsid w:val="00853587"/>
    <w:rsid w:val="008535BE"/>
    <w:rsid w:val="00853611"/>
    <w:rsid w:val="008536C4"/>
    <w:rsid w:val="0085378A"/>
    <w:rsid w:val="00853855"/>
    <w:rsid w:val="008538B5"/>
    <w:rsid w:val="00853951"/>
    <w:rsid w:val="0085398F"/>
    <w:rsid w:val="008539BE"/>
    <w:rsid w:val="008539E1"/>
    <w:rsid w:val="008539EF"/>
    <w:rsid w:val="00853A04"/>
    <w:rsid w:val="00853A26"/>
    <w:rsid w:val="00853A39"/>
    <w:rsid w:val="00853A7B"/>
    <w:rsid w:val="00853A80"/>
    <w:rsid w:val="00853AE8"/>
    <w:rsid w:val="00853AF8"/>
    <w:rsid w:val="00853D25"/>
    <w:rsid w:val="00853D68"/>
    <w:rsid w:val="00853E30"/>
    <w:rsid w:val="00853E74"/>
    <w:rsid w:val="00853EE0"/>
    <w:rsid w:val="00853F5D"/>
    <w:rsid w:val="00854132"/>
    <w:rsid w:val="00854157"/>
    <w:rsid w:val="00854205"/>
    <w:rsid w:val="0085429C"/>
    <w:rsid w:val="0085430B"/>
    <w:rsid w:val="00854340"/>
    <w:rsid w:val="008543B2"/>
    <w:rsid w:val="008544B8"/>
    <w:rsid w:val="0085460B"/>
    <w:rsid w:val="00854629"/>
    <w:rsid w:val="00854643"/>
    <w:rsid w:val="00854669"/>
    <w:rsid w:val="00854908"/>
    <w:rsid w:val="00854964"/>
    <w:rsid w:val="00854BBC"/>
    <w:rsid w:val="00854C54"/>
    <w:rsid w:val="00854CBB"/>
    <w:rsid w:val="00854CE2"/>
    <w:rsid w:val="00854D21"/>
    <w:rsid w:val="00854D4C"/>
    <w:rsid w:val="00854E83"/>
    <w:rsid w:val="00854E97"/>
    <w:rsid w:val="0085514C"/>
    <w:rsid w:val="008551B4"/>
    <w:rsid w:val="00855296"/>
    <w:rsid w:val="0085534E"/>
    <w:rsid w:val="00855376"/>
    <w:rsid w:val="0085537A"/>
    <w:rsid w:val="0085539D"/>
    <w:rsid w:val="008553A0"/>
    <w:rsid w:val="008553B7"/>
    <w:rsid w:val="0085553C"/>
    <w:rsid w:val="00855595"/>
    <w:rsid w:val="008555AC"/>
    <w:rsid w:val="008556C3"/>
    <w:rsid w:val="00855732"/>
    <w:rsid w:val="00855795"/>
    <w:rsid w:val="0085582D"/>
    <w:rsid w:val="00855859"/>
    <w:rsid w:val="00855868"/>
    <w:rsid w:val="0085589C"/>
    <w:rsid w:val="008558F5"/>
    <w:rsid w:val="0085590E"/>
    <w:rsid w:val="0085591B"/>
    <w:rsid w:val="0085597E"/>
    <w:rsid w:val="00855B00"/>
    <w:rsid w:val="00855B05"/>
    <w:rsid w:val="00855B7F"/>
    <w:rsid w:val="00855C38"/>
    <w:rsid w:val="00855C88"/>
    <w:rsid w:val="00855CC6"/>
    <w:rsid w:val="00855D95"/>
    <w:rsid w:val="00855E2C"/>
    <w:rsid w:val="00855EC0"/>
    <w:rsid w:val="00855F22"/>
    <w:rsid w:val="0085609B"/>
    <w:rsid w:val="0085615D"/>
    <w:rsid w:val="008561AF"/>
    <w:rsid w:val="008561FE"/>
    <w:rsid w:val="0085626D"/>
    <w:rsid w:val="008562AD"/>
    <w:rsid w:val="008562E0"/>
    <w:rsid w:val="00856334"/>
    <w:rsid w:val="00856357"/>
    <w:rsid w:val="00856388"/>
    <w:rsid w:val="008563A3"/>
    <w:rsid w:val="0085640A"/>
    <w:rsid w:val="00856492"/>
    <w:rsid w:val="00856523"/>
    <w:rsid w:val="008565CD"/>
    <w:rsid w:val="008565EF"/>
    <w:rsid w:val="0085661A"/>
    <w:rsid w:val="00856645"/>
    <w:rsid w:val="00856686"/>
    <w:rsid w:val="008566A7"/>
    <w:rsid w:val="008566CA"/>
    <w:rsid w:val="00856739"/>
    <w:rsid w:val="00856781"/>
    <w:rsid w:val="00856856"/>
    <w:rsid w:val="008568A0"/>
    <w:rsid w:val="00856909"/>
    <w:rsid w:val="0085692E"/>
    <w:rsid w:val="008569CC"/>
    <w:rsid w:val="00856A6C"/>
    <w:rsid w:val="00856A74"/>
    <w:rsid w:val="00856AC0"/>
    <w:rsid w:val="00856BD1"/>
    <w:rsid w:val="00856C0E"/>
    <w:rsid w:val="00856C3D"/>
    <w:rsid w:val="00856CEA"/>
    <w:rsid w:val="00856E3B"/>
    <w:rsid w:val="00856E81"/>
    <w:rsid w:val="00856FFA"/>
    <w:rsid w:val="00857149"/>
    <w:rsid w:val="008571B7"/>
    <w:rsid w:val="00857215"/>
    <w:rsid w:val="0085724B"/>
    <w:rsid w:val="00857257"/>
    <w:rsid w:val="0085728A"/>
    <w:rsid w:val="008573CE"/>
    <w:rsid w:val="00857425"/>
    <w:rsid w:val="008574ED"/>
    <w:rsid w:val="00857574"/>
    <w:rsid w:val="008575F1"/>
    <w:rsid w:val="0085778D"/>
    <w:rsid w:val="0085780E"/>
    <w:rsid w:val="008578C6"/>
    <w:rsid w:val="0085790A"/>
    <w:rsid w:val="00857935"/>
    <w:rsid w:val="00857969"/>
    <w:rsid w:val="008579FC"/>
    <w:rsid w:val="00857A71"/>
    <w:rsid w:val="00857AB8"/>
    <w:rsid w:val="00857C4C"/>
    <w:rsid w:val="00857C81"/>
    <w:rsid w:val="00857CB6"/>
    <w:rsid w:val="00857CD4"/>
    <w:rsid w:val="00857D21"/>
    <w:rsid w:val="00857D69"/>
    <w:rsid w:val="00857DEF"/>
    <w:rsid w:val="00857DFE"/>
    <w:rsid w:val="00857F0F"/>
    <w:rsid w:val="00857F6A"/>
    <w:rsid w:val="008600A6"/>
    <w:rsid w:val="00860186"/>
    <w:rsid w:val="008601BB"/>
    <w:rsid w:val="0086024C"/>
    <w:rsid w:val="00860286"/>
    <w:rsid w:val="008602C0"/>
    <w:rsid w:val="00860365"/>
    <w:rsid w:val="008603A1"/>
    <w:rsid w:val="00860448"/>
    <w:rsid w:val="008604B7"/>
    <w:rsid w:val="00860565"/>
    <w:rsid w:val="008605CB"/>
    <w:rsid w:val="008605D1"/>
    <w:rsid w:val="008605F6"/>
    <w:rsid w:val="0086072A"/>
    <w:rsid w:val="0086078F"/>
    <w:rsid w:val="00860915"/>
    <w:rsid w:val="00860945"/>
    <w:rsid w:val="00860954"/>
    <w:rsid w:val="00860A24"/>
    <w:rsid w:val="00860A47"/>
    <w:rsid w:val="00860A52"/>
    <w:rsid w:val="00860A57"/>
    <w:rsid w:val="00860AA3"/>
    <w:rsid w:val="00860ADE"/>
    <w:rsid w:val="00860AE0"/>
    <w:rsid w:val="00860B2B"/>
    <w:rsid w:val="00860B62"/>
    <w:rsid w:val="00860BB5"/>
    <w:rsid w:val="00860C0D"/>
    <w:rsid w:val="00860D55"/>
    <w:rsid w:val="00860DC0"/>
    <w:rsid w:val="00860EBE"/>
    <w:rsid w:val="00860EC5"/>
    <w:rsid w:val="00860FB0"/>
    <w:rsid w:val="00860FE9"/>
    <w:rsid w:val="00861007"/>
    <w:rsid w:val="00861108"/>
    <w:rsid w:val="00861159"/>
    <w:rsid w:val="008611F6"/>
    <w:rsid w:val="00861227"/>
    <w:rsid w:val="00861397"/>
    <w:rsid w:val="008613BE"/>
    <w:rsid w:val="00861443"/>
    <w:rsid w:val="00861477"/>
    <w:rsid w:val="008614F0"/>
    <w:rsid w:val="008615B9"/>
    <w:rsid w:val="008615C4"/>
    <w:rsid w:val="0086167D"/>
    <w:rsid w:val="00861734"/>
    <w:rsid w:val="00861743"/>
    <w:rsid w:val="00861821"/>
    <w:rsid w:val="0086183F"/>
    <w:rsid w:val="008618BD"/>
    <w:rsid w:val="008619D1"/>
    <w:rsid w:val="00861A5D"/>
    <w:rsid w:val="00861B23"/>
    <w:rsid w:val="00861CDC"/>
    <w:rsid w:val="00861DA2"/>
    <w:rsid w:val="00861DA9"/>
    <w:rsid w:val="00861EA1"/>
    <w:rsid w:val="00861F7C"/>
    <w:rsid w:val="00861F8B"/>
    <w:rsid w:val="00861F9D"/>
    <w:rsid w:val="00861FAC"/>
    <w:rsid w:val="00862006"/>
    <w:rsid w:val="00862141"/>
    <w:rsid w:val="0086222D"/>
    <w:rsid w:val="008622B2"/>
    <w:rsid w:val="0086230A"/>
    <w:rsid w:val="00862326"/>
    <w:rsid w:val="00862350"/>
    <w:rsid w:val="008623EB"/>
    <w:rsid w:val="00862443"/>
    <w:rsid w:val="008624AD"/>
    <w:rsid w:val="008624CD"/>
    <w:rsid w:val="00862528"/>
    <w:rsid w:val="00862632"/>
    <w:rsid w:val="00862759"/>
    <w:rsid w:val="00862782"/>
    <w:rsid w:val="00862796"/>
    <w:rsid w:val="00862881"/>
    <w:rsid w:val="0086297A"/>
    <w:rsid w:val="00862993"/>
    <w:rsid w:val="008629C2"/>
    <w:rsid w:val="008629F2"/>
    <w:rsid w:val="00862B1B"/>
    <w:rsid w:val="00862C54"/>
    <w:rsid w:val="00862C60"/>
    <w:rsid w:val="00862C75"/>
    <w:rsid w:val="00862CF3"/>
    <w:rsid w:val="00862DD8"/>
    <w:rsid w:val="00862ED5"/>
    <w:rsid w:val="00862EE6"/>
    <w:rsid w:val="00862F70"/>
    <w:rsid w:val="0086304E"/>
    <w:rsid w:val="008630A9"/>
    <w:rsid w:val="008630D4"/>
    <w:rsid w:val="0086330B"/>
    <w:rsid w:val="00863506"/>
    <w:rsid w:val="00863587"/>
    <w:rsid w:val="008635BE"/>
    <w:rsid w:val="008635D7"/>
    <w:rsid w:val="0086365D"/>
    <w:rsid w:val="0086369D"/>
    <w:rsid w:val="00863770"/>
    <w:rsid w:val="008637F4"/>
    <w:rsid w:val="008637FF"/>
    <w:rsid w:val="008638DD"/>
    <w:rsid w:val="0086391F"/>
    <w:rsid w:val="00863ABE"/>
    <w:rsid w:val="00863B4A"/>
    <w:rsid w:val="00863B4E"/>
    <w:rsid w:val="00863BE3"/>
    <w:rsid w:val="00863C29"/>
    <w:rsid w:val="00863C46"/>
    <w:rsid w:val="00863CEB"/>
    <w:rsid w:val="00863D07"/>
    <w:rsid w:val="00863D71"/>
    <w:rsid w:val="00863EA6"/>
    <w:rsid w:val="00863F40"/>
    <w:rsid w:val="00863FA8"/>
    <w:rsid w:val="00863FD3"/>
    <w:rsid w:val="00863FEF"/>
    <w:rsid w:val="00864053"/>
    <w:rsid w:val="008640F5"/>
    <w:rsid w:val="00864118"/>
    <w:rsid w:val="0086413E"/>
    <w:rsid w:val="0086414D"/>
    <w:rsid w:val="00864274"/>
    <w:rsid w:val="00864327"/>
    <w:rsid w:val="0086436E"/>
    <w:rsid w:val="0086443B"/>
    <w:rsid w:val="00864457"/>
    <w:rsid w:val="008644EA"/>
    <w:rsid w:val="00864612"/>
    <w:rsid w:val="0086478E"/>
    <w:rsid w:val="008648CD"/>
    <w:rsid w:val="00864978"/>
    <w:rsid w:val="008649A5"/>
    <w:rsid w:val="00864A3A"/>
    <w:rsid w:val="00864A50"/>
    <w:rsid w:val="00864A63"/>
    <w:rsid w:val="00864ABA"/>
    <w:rsid w:val="00864ACF"/>
    <w:rsid w:val="00864BBA"/>
    <w:rsid w:val="00864C70"/>
    <w:rsid w:val="00864CEF"/>
    <w:rsid w:val="00864DB4"/>
    <w:rsid w:val="00864DE9"/>
    <w:rsid w:val="00864ED7"/>
    <w:rsid w:val="00864F10"/>
    <w:rsid w:val="00864F24"/>
    <w:rsid w:val="00864F5E"/>
    <w:rsid w:val="00864F67"/>
    <w:rsid w:val="00864FB5"/>
    <w:rsid w:val="00865014"/>
    <w:rsid w:val="008650B3"/>
    <w:rsid w:val="00865121"/>
    <w:rsid w:val="0086518B"/>
    <w:rsid w:val="008652CE"/>
    <w:rsid w:val="00865300"/>
    <w:rsid w:val="00865311"/>
    <w:rsid w:val="00865376"/>
    <w:rsid w:val="00865407"/>
    <w:rsid w:val="0086553E"/>
    <w:rsid w:val="00865543"/>
    <w:rsid w:val="00865620"/>
    <w:rsid w:val="008656B3"/>
    <w:rsid w:val="00865813"/>
    <w:rsid w:val="00865814"/>
    <w:rsid w:val="00865958"/>
    <w:rsid w:val="008659E5"/>
    <w:rsid w:val="00865A09"/>
    <w:rsid w:val="00865A50"/>
    <w:rsid w:val="00865B0B"/>
    <w:rsid w:val="00865B8B"/>
    <w:rsid w:val="00865B9C"/>
    <w:rsid w:val="00865CB7"/>
    <w:rsid w:val="00865E95"/>
    <w:rsid w:val="00865EC8"/>
    <w:rsid w:val="00865EED"/>
    <w:rsid w:val="008660EC"/>
    <w:rsid w:val="00866219"/>
    <w:rsid w:val="0086629A"/>
    <w:rsid w:val="0086629B"/>
    <w:rsid w:val="0086629D"/>
    <w:rsid w:val="008662A6"/>
    <w:rsid w:val="008662E7"/>
    <w:rsid w:val="008662F8"/>
    <w:rsid w:val="00866300"/>
    <w:rsid w:val="0086635F"/>
    <w:rsid w:val="008663DC"/>
    <w:rsid w:val="00866496"/>
    <w:rsid w:val="0086650B"/>
    <w:rsid w:val="008665AD"/>
    <w:rsid w:val="008665CE"/>
    <w:rsid w:val="0086668B"/>
    <w:rsid w:val="00866767"/>
    <w:rsid w:val="008667E8"/>
    <w:rsid w:val="0086684A"/>
    <w:rsid w:val="00866871"/>
    <w:rsid w:val="008668A0"/>
    <w:rsid w:val="00866953"/>
    <w:rsid w:val="008669DC"/>
    <w:rsid w:val="008669E0"/>
    <w:rsid w:val="00866A50"/>
    <w:rsid w:val="00866ADB"/>
    <w:rsid w:val="00866B3C"/>
    <w:rsid w:val="00866B58"/>
    <w:rsid w:val="00866B6E"/>
    <w:rsid w:val="00866D18"/>
    <w:rsid w:val="00866DAC"/>
    <w:rsid w:val="00866E0C"/>
    <w:rsid w:val="00866EB5"/>
    <w:rsid w:val="00866F67"/>
    <w:rsid w:val="00867053"/>
    <w:rsid w:val="008671EF"/>
    <w:rsid w:val="00867224"/>
    <w:rsid w:val="0086722C"/>
    <w:rsid w:val="008672E1"/>
    <w:rsid w:val="008672E2"/>
    <w:rsid w:val="008673F3"/>
    <w:rsid w:val="00867517"/>
    <w:rsid w:val="00867526"/>
    <w:rsid w:val="008675E9"/>
    <w:rsid w:val="00867666"/>
    <w:rsid w:val="008677D1"/>
    <w:rsid w:val="00867839"/>
    <w:rsid w:val="0086785F"/>
    <w:rsid w:val="008678C0"/>
    <w:rsid w:val="00867926"/>
    <w:rsid w:val="0086795C"/>
    <w:rsid w:val="00867A0A"/>
    <w:rsid w:val="00867A38"/>
    <w:rsid w:val="00867A5F"/>
    <w:rsid w:val="00867AC5"/>
    <w:rsid w:val="00867C11"/>
    <w:rsid w:val="00867D21"/>
    <w:rsid w:val="00867E10"/>
    <w:rsid w:val="00867E1F"/>
    <w:rsid w:val="00867E3D"/>
    <w:rsid w:val="00867ED2"/>
    <w:rsid w:val="00867FC0"/>
    <w:rsid w:val="00870084"/>
    <w:rsid w:val="0087013B"/>
    <w:rsid w:val="0087017B"/>
    <w:rsid w:val="008701A1"/>
    <w:rsid w:val="008701E3"/>
    <w:rsid w:val="00870212"/>
    <w:rsid w:val="0087025E"/>
    <w:rsid w:val="00870385"/>
    <w:rsid w:val="008703F0"/>
    <w:rsid w:val="008704AD"/>
    <w:rsid w:val="00870564"/>
    <w:rsid w:val="0087062E"/>
    <w:rsid w:val="00870647"/>
    <w:rsid w:val="00870692"/>
    <w:rsid w:val="00870738"/>
    <w:rsid w:val="0087075F"/>
    <w:rsid w:val="00870772"/>
    <w:rsid w:val="00870788"/>
    <w:rsid w:val="0087080A"/>
    <w:rsid w:val="008708B7"/>
    <w:rsid w:val="008708FA"/>
    <w:rsid w:val="0087097D"/>
    <w:rsid w:val="0087099A"/>
    <w:rsid w:val="00870A00"/>
    <w:rsid w:val="00870A7F"/>
    <w:rsid w:val="00870AAC"/>
    <w:rsid w:val="00870BAE"/>
    <w:rsid w:val="00870C73"/>
    <w:rsid w:val="00870C99"/>
    <w:rsid w:val="00870D19"/>
    <w:rsid w:val="00870D2D"/>
    <w:rsid w:val="00870D94"/>
    <w:rsid w:val="00870DC8"/>
    <w:rsid w:val="00870DE8"/>
    <w:rsid w:val="00870DF6"/>
    <w:rsid w:val="00870DF9"/>
    <w:rsid w:val="00870E34"/>
    <w:rsid w:val="00870EBE"/>
    <w:rsid w:val="00870EF8"/>
    <w:rsid w:val="00870F4E"/>
    <w:rsid w:val="00870FCB"/>
    <w:rsid w:val="00870FF9"/>
    <w:rsid w:val="00871080"/>
    <w:rsid w:val="0087114A"/>
    <w:rsid w:val="008711B3"/>
    <w:rsid w:val="008712D4"/>
    <w:rsid w:val="008712E9"/>
    <w:rsid w:val="00871455"/>
    <w:rsid w:val="00871490"/>
    <w:rsid w:val="008714BF"/>
    <w:rsid w:val="008715F1"/>
    <w:rsid w:val="008716A5"/>
    <w:rsid w:val="008716A8"/>
    <w:rsid w:val="00871738"/>
    <w:rsid w:val="0087177F"/>
    <w:rsid w:val="008717B3"/>
    <w:rsid w:val="00871830"/>
    <w:rsid w:val="008718D6"/>
    <w:rsid w:val="0087192C"/>
    <w:rsid w:val="00871941"/>
    <w:rsid w:val="008719F2"/>
    <w:rsid w:val="00871A0B"/>
    <w:rsid w:val="00871AA5"/>
    <w:rsid w:val="00871B5B"/>
    <w:rsid w:val="00871B61"/>
    <w:rsid w:val="00871C65"/>
    <w:rsid w:val="00871CB6"/>
    <w:rsid w:val="00871CD0"/>
    <w:rsid w:val="00871D02"/>
    <w:rsid w:val="00871D7C"/>
    <w:rsid w:val="00871DCF"/>
    <w:rsid w:val="00871E3A"/>
    <w:rsid w:val="00871E3C"/>
    <w:rsid w:val="00871E58"/>
    <w:rsid w:val="00871EEA"/>
    <w:rsid w:val="00871EF9"/>
    <w:rsid w:val="00871F61"/>
    <w:rsid w:val="008720AA"/>
    <w:rsid w:val="0087217E"/>
    <w:rsid w:val="008721C8"/>
    <w:rsid w:val="00872321"/>
    <w:rsid w:val="008723A4"/>
    <w:rsid w:val="008723F3"/>
    <w:rsid w:val="008724A1"/>
    <w:rsid w:val="008725EC"/>
    <w:rsid w:val="00872792"/>
    <w:rsid w:val="00872852"/>
    <w:rsid w:val="008728F0"/>
    <w:rsid w:val="0087295D"/>
    <w:rsid w:val="00872A6D"/>
    <w:rsid w:val="00872A96"/>
    <w:rsid w:val="00872B16"/>
    <w:rsid w:val="00872B52"/>
    <w:rsid w:val="00872BD5"/>
    <w:rsid w:val="00872BF7"/>
    <w:rsid w:val="00872C6C"/>
    <w:rsid w:val="00872CA1"/>
    <w:rsid w:val="00872D10"/>
    <w:rsid w:val="00872ED6"/>
    <w:rsid w:val="00872F54"/>
    <w:rsid w:val="00872F92"/>
    <w:rsid w:val="008730B1"/>
    <w:rsid w:val="0087311E"/>
    <w:rsid w:val="00873150"/>
    <w:rsid w:val="0087325B"/>
    <w:rsid w:val="008732DB"/>
    <w:rsid w:val="008733F7"/>
    <w:rsid w:val="00873419"/>
    <w:rsid w:val="0087341A"/>
    <w:rsid w:val="008734F9"/>
    <w:rsid w:val="0087361F"/>
    <w:rsid w:val="008736B0"/>
    <w:rsid w:val="008737BE"/>
    <w:rsid w:val="00873815"/>
    <w:rsid w:val="0087382C"/>
    <w:rsid w:val="00873848"/>
    <w:rsid w:val="00873855"/>
    <w:rsid w:val="00873867"/>
    <w:rsid w:val="00873907"/>
    <w:rsid w:val="0087390D"/>
    <w:rsid w:val="0087392B"/>
    <w:rsid w:val="0087396B"/>
    <w:rsid w:val="0087397F"/>
    <w:rsid w:val="00873A2B"/>
    <w:rsid w:val="00873A8F"/>
    <w:rsid w:val="00873B37"/>
    <w:rsid w:val="00873B82"/>
    <w:rsid w:val="00873BBD"/>
    <w:rsid w:val="00873BFD"/>
    <w:rsid w:val="00873C53"/>
    <w:rsid w:val="00873CEA"/>
    <w:rsid w:val="00873D5A"/>
    <w:rsid w:val="00873D83"/>
    <w:rsid w:val="00873DB7"/>
    <w:rsid w:val="00873DCE"/>
    <w:rsid w:val="00873E17"/>
    <w:rsid w:val="00873E53"/>
    <w:rsid w:val="00873E69"/>
    <w:rsid w:val="00873EFF"/>
    <w:rsid w:val="00873F18"/>
    <w:rsid w:val="00874013"/>
    <w:rsid w:val="008740C0"/>
    <w:rsid w:val="00874105"/>
    <w:rsid w:val="00874265"/>
    <w:rsid w:val="00874286"/>
    <w:rsid w:val="008742A5"/>
    <w:rsid w:val="008742EB"/>
    <w:rsid w:val="00874325"/>
    <w:rsid w:val="0087435A"/>
    <w:rsid w:val="00874398"/>
    <w:rsid w:val="00874408"/>
    <w:rsid w:val="008744CE"/>
    <w:rsid w:val="00874528"/>
    <w:rsid w:val="00874558"/>
    <w:rsid w:val="0087458F"/>
    <w:rsid w:val="008745D2"/>
    <w:rsid w:val="0087464C"/>
    <w:rsid w:val="0087468D"/>
    <w:rsid w:val="00874690"/>
    <w:rsid w:val="008746C5"/>
    <w:rsid w:val="00874745"/>
    <w:rsid w:val="008747F3"/>
    <w:rsid w:val="00874816"/>
    <w:rsid w:val="00874823"/>
    <w:rsid w:val="008748BC"/>
    <w:rsid w:val="00874908"/>
    <w:rsid w:val="00874919"/>
    <w:rsid w:val="00874A05"/>
    <w:rsid w:val="00874A3E"/>
    <w:rsid w:val="00874BCD"/>
    <w:rsid w:val="00874C9B"/>
    <w:rsid w:val="00874CF3"/>
    <w:rsid w:val="00874D27"/>
    <w:rsid w:val="00874D36"/>
    <w:rsid w:val="00874D5D"/>
    <w:rsid w:val="00874D70"/>
    <w:rsid w:val="00874D9A"/>
    <w:rsid w:val="00874ECD"/>
    <w:rsid w:val="00875089"/>
    <w:rsid w:val="00875149"/>
    <w:rsid w:val="008752AA"/>
    <w:rsid w:val="008752E4"/>
    <w:rsid w:val="00875464"/>
    <w:rsid w:val="008754FF"/>
    <w:rsid w:val="00875587"/>
    <w:rsid w:val="008755C9"/>
    <w:rsid w:val="00875657"/>
    <w:rsid w:val="00875714"/>
    <w:rsid w:val="00875791"/>
    <w:rsid w:val="008757FC"/>
    <w:rsid w:val="00875851"/>
    <w:rsid w:val="0087586D"/>
    <w:rsid w:val="0087587D"/>
    <w:rsid w:val="008758EA"/>
    <w:rsid w:val="008759AC"/>
    <w:rsid w:val="008759B7"/>
    <w:rsid w:val="00875AEF"/>
    <w:rsid w:val="00875BEF"/>
    <w:rsid w:val="00875D17"/>
    <w:rsid w:val="00875DEE"/>
    <w:rsid w:val="00875FE2"/>
    <w:rsid w:val="00876026"/>
    <w:rsid w:val="0087608D"/>
    <w:rsid w:val="00876147"/>
    <w:rsid w:val="008761F0"/>
    <w:rsid w:val="0087623E"/>
    <w:rsid w:val="0087633B"/>
    <w:rsid w:val="008763DD"/>
    <w:rsid w:val="00876417"/>
    <w:rsid w:val="0087644E"/>
    <w:rsid w:val="008764B3"/>
    <w:rsid w:val="0087665D"/>
    <w:rsid w:val="008766B7"/>
    <w:rsid w:val="00876735"/>
    <w:rsid w:val="008767C7"/>
    <w:rsid w:val="00876807"/>
    <w:rsid w:val="0087682D"/>
    <w:rsid w:val="00876864"/>
    <w:rsid w:val="00876A14"/>
    <w:rsid w:val="00876AA7"/>
    <w:rsid w:val="00876B47"/>
    <w:rsid w:val="00876BE2"/>
    <w:rsid w:val="00876C25"/>
    <w:rsid w:val="00876DF8"/>
    <w:rsid w:val="00876DFC"/>
    <w:rsid w:val="00876E26"/>
    <w:rsid w:val="00876E81"/>
    <w:rsid w:val="00876E94"/>
    <w:rsid w:val="00876EC2"/>
    <w:rsid w:val="00876F56"/>
    <w:rsid w:val="00876F87"/>
    <w:rsid w:val="0087701E"/>
    <w:rsid w:val="00877045"/>
    <w:rsid w:val="008770EC"/>
    <w:rsid w:val="00877159"/>
    <w:rsid w:val="008771C3"/>
    <w:rsid w:val="008771DF"/>
    <w:rsid w:val="00877227"/>
    <w:rsid w:val="00877240"/>
    <w:rsid w:val="0087726B"/>
    <w:rsid w:val="0087728B"/>
    <w:rsid w:val="008772D0"/>
    <w:rsid w:val="008773A1"/>
    <w:rsid w:val="008774A3"/>
    <w:rsid w:val="0087751F"/>
    <w:rsid w:val="008775F9"/>
    <w:rsid w:val="0087762F"/>
    <w:rsid w:val="008776AF"/>
    <w:rsid w:val="008776E8"/>
    <w:rsid w:val="00877814"/>
    <w:rsid w:val="008778EA"/>
    <w:rsid w:val="008778ED"/>
    <w:rsid w:val="008779E8"/>
    <w:rsid w:val="00877AE2"/>
    <w:rsid w:val="00877AEA"/>
    <w:rsid w:val="00877B78"/>
    <w:rsid w:val="00877BC8"/>
    <w:rsid w:val="00877C14"/>
    <w:rsid w:val="00877C7C"/>
    <w:rsid w:val="00877CC4"/>
    <w:rsid w:val="00877D5C"/>
    <w:rsid w:val="00877DAF"/>
    <w:rsid w:val="00877E92"/>
    <w:rsid w:val="00877F7F"/>
    <w:rsid w:val="00880068"/>
    <w:rsid w:val="008800E4"/>
    <w:rsid w:val="0088011D"/>
    <w:rsid w:val="008801FA"/>
    <w:rsid w:val="00880295"/>
    <w:rsid w:val="008802C0"/>
    <w:rsid w:val="00880422"/>
    <w:rsid w:val="0088062C"/>
    <w:rsid w:val="00880676"/>
    <w:rsid w:val="008806C4"/>
    <w:rsid w:val="0088074F"/>
    <w:rsid w:val="0088082F"/>
    <w:rsid w:val="008808AE"/>
    <w:rsid w:val="008808DC"/>
    <w:rsid w:val="0088097A"/>
    <w:rsid w:val="00880A09"/>
    <w:rsid w:val="00880B71"/>
    <w:rsid w:val="00880C24"/>
    <w:rsid w:val="00880C48"/>
    <w:rsid w:val="00880CB6"/>
    <w:rsid w:val="00880D3F"/>
    <w:rsid w:val="00880D84"/>
    <w:rsid w:val="00880DC3"/>
    <w:rsid w:val="00880DC7"/>
    <w:rsid w:val="00880DD3"/>
    <w:rsid w:val="00880DEF"/>
    <w:rsid w:val="00880DFE"/>
    <w:rsid w:val="00880E48"/>
    <w:rsid w:val="00880E64"/>
    <w:rsid w:val="00880F9F"/>
    <w:rsid w:val="00881048"/>
    <w:rsid w:val="008810A8"/>
    <w:rsid w:val="00881153"/>
    <w:rsid w:val="00881214"/>
    <w:rsid w:val="0088125D"/>
    <w:rsid w:val="00881288"/>
    <w:rsid w:val="008812CD"/>
    <w:rsid w:val="00881305"/>
    <w:rsid w:val="0088131A"/>
    <w:rsid w:val="0088133E"/>
    <w:rsid w:val="00881412"/>
    <w:rsid w:val="0088154F"/>
    <w:rsid w:val="008815D6"/>
    <w:rsid w:val="00881656"/>
    <w:rsid w:val="008816C8"/>
    <w:rsid w:val="008817CA"/>
    <w:rsid w:val="00881833"/>
    <w:rsid w:val="0088184B"/>
    <w:rsid w:val="00881890"/>
    <w:rsid w:val="0088189F"/>
    <w:rsid w:val="008818BE"/>
    <w:rsid w:val="00881AD9"/>
    <w:rsid w:val="00881BA7"/>
    <w:rsid w:val="00881BC1"/>
    <w:rsid w:val="00881CA5"/>
    <w:rsid w:val="00881CB6"/>
    <w:rsid w:val="00881CE7"/>
    <w:rsid w:val="00881E77"/>
    <w:rsid w:val="00881EB8"/>
    <w:rsid w:val="00881F28"/>
    <w:rsid w:val="00881F2F"/>
    <w:rsid w:val="00881FE6"/>
    <w:rsid w:val="00882163"/>
    <w:rsid w:val="008821CC"/>
    <w:rsid w:val="008822A0"/>
    <w:rsid w:val="00882486"/>
    <w:rsid w:val="00882501"/>
    <w:rsid w:val="00882523"/>
    <w:rsid w:val="00882538"/>
    <w:rsid w:val="0088257D"/>
    <w:rsid w:val="00882612"/>
    <w:rsid w:val="00882614"/>
    <w:rsid w:val="00882667"/>
    <w:rsid w:val="008827AC"/>
    <w:rsid w:val="0088281E"/>
    <w:rsid w:val="00882A59"/>
    <w:rsid w:val="00882A6C"/>
    <w:rsid w:val="00882B16"/>
    <w:rsid w:val="00882B66"/>
    <w:rsid w:val="00882C54"/>
    <w:rsid w:val="00882CC4"/>
    <w:rsid w:val="00882D02"/>
    <w:rsid w:val="00882D2F"/>
    <w:rsid w:val="00882D61"/>
    <w:rsid w:val="00882E59"/>
    <w:rsid w:val="00882E5F"/>
    <w:rsid w:val="00882E79"/>
    <w:rsid w:val="00882ECF"/>
    <w:rsid w:val="00882F0F"/>
    <w:rsid w:val="00882FD2"/>
    <w:rsid w:val="00882FE7"/>
    <w:rsid w:val="00883047"/>
    <w:rsid w:val="00883086"/>
    <w:rsid w:val="008830D1"/>
    <w:rsid w:val="008830DF"/>
    <w:rsid w:val="00883129"/>
    <w:rsid w:val="0088334E"/>
    <w:rsid w:val="00883496"/>
    <w:rsid w:val="008834EB"/>
    <w:rsid w:val="008835A4"/>
    <w:rsid w:val="0088363F"/>
    <w:rsid w:val="0088364D"/>
    <w:rsid w:val="00883694"/>
    <w:rsid w:val="00883743"/>
    <w:rsid w:val="00883748"/>
    <w:rsid w:val="00883775"/>
    <w:rsid w:val="00883787"/>
    <w:rsid w:val="008837F0"/>
    <w:rsid w:val="00883802"/>
    <w:rsid w:val="00883894"/>
    <w:rsid w:val="0088394A"/>
    <w:rsid w:val="008839A0"/>
    <w:rsid w:val="00883A4F"/>
    <w:rsid w:val="00883B8D"/>
    <w:rsid w:val="00883BD5"/>
    <w:rsid w:val="00883C82"/>
    <w:rsid w:val="00883CE8"/>
    <w:rsid w:val="00883DEF"/>
    <w:rsid w:val="00883E87"/>
    <w:rsid w:val="00883EE2"/>
    <w:rsid w:val="00883FD0"/>
    <w:rsid w:val="0088408B"/>
    <w:rsid w:val="0088408D"/>
    <w:rsid w:val="008840FE"/>
    <w:rsid w:val="008840FF"/>
    <w:rsid w:val="00884146"/>
    <w:rsid w:val="0088434C"/>
    <w:rsid w:val="008844AC"/>
    <w:rsid w:val="0088472F"/>
    <w:rsid w:val="0088479B"/>
    <w:rsid w:val="00884857"/>
    <w:rsid w:val="00884905"/>
    <w:rsid w:val="00884A03"/>
    <w:rsid w:val="00884BCA"/>
    <w:rsid w:val="00884C2B"/>
    <w:rsid w:val="00884C6D"/>
    <w:rsid w:val="00884D5C"/>
    <w:rsid w:val="00884DC6"/>
    <w:rsid w:val="00884DD3"/>
    <w:rsid w:val="00884E4A"/>
    <w:rsid w:val="00884E90"/>
    <w:rsid w:val="00884EED"/>
    <w:rsid w:val="00884EFE"/>
    <w:rsid w:val="00885036"/>
    <w:rsid w:val="00885105"/>
    <w:rsid w:val="0088516F"/>
    <w:rsid w:val="008851AF"/>
    <w:rsid w:val="008852AB"/>
    <w:rsid w:val="008852F6"/>
    <w:rsid w:val="008853AE"/>
    <w:rsid w:val="00885433"/>
    <w:rsid w:val="00885511"/>
    <w:rsid w:val="00885613"/>
    <w:rsid w:val="00885643"/>
    <w:rsid w:val="00885742"/>
    <w:rsid w:val="0088597E"/>
    <w:rsid w:val="008859C7"/>
    <w:rsid w:val="00885A20"/>
    <w:rsid w:val="00885A3E"/>
    <w:rsid w:val="00885B48"/>
    <w:rsid w:val="00885B5E"/>
    <w:rsid w:val="00885B6E"/>
    <w:rsid w:val="00885BAF"/>
    <w:rsid w:val="00885C56"/>
    <w:rsid w:val="00885D75"/>
    <w:rsid w:val="00885DB0"/>
    <w:rsid w:val="00885E41"/>
    <w:rsid w:val="00885F6F"/>
    <w:rsid w:val="00885FA9"/>
    <w:rsid w:val="00886084"/>
    <w:rsid w:val="00886144"/>
    <w:rsid w:val="008861EB"/>
    <w:rsid w:val="008861FE"/>
    <w:rsid w:val="00886222"/>
    <w:rsid w:val="0088625A"/>
    <w:rsid w:val="0088639B"/>
    <w:rsid w:val="008863A3"/>
    <w:rsid w:val="00886454"/>
    <w:rsid w:val="0088645E"/>
    <w:rsid w:val="00886512"/>
    <w:rsid w:val="0088651D"/>
    <w:rsid w:val="0088661E"/>
    <w:rsid w:val="00886649"/>
    <w:rsid w:val="008866B5"/>
    <w:rsid w:val="008866FA"/>
    <w:rsid w:val="0088675A"/>
    <w:rsid w:val="0088679C"/>
    <w:rsid w:val="008867C7"/>
    <w:rsid w:val="00886808"/>
    <w:rsid w:val="00886833"/>
    <w:rsid w:val="00886949"/>
    <w:rsid w:val="00886958"/>
    <w:rsid w:val="008869AE"/>
    <w:rsid w:val="008869BB"/>
    <w:rsid w:val="00886A09"/>
    <w:rsid w:val="00886BDB"/>
    <w:rsid w:val="00886C7C"/>
    <w:rsid w:val="00886C9D"/>
    <w:rsid w:val="00886CA1"/>
    <w:rsid w:val="00886CA7"/>
    <w:rsid w:val="00886D79"/>
    <w:rsid w:val="00886D9B"/>
    <w:rsid w:val="00886DB5"/>
    <w:rsid w:val="00886E6A"/>
    <w:rsid w:val="00886E87"/>
    <w:rsid w:val="00886EF7"/>
    <w:rsid w:val="00887106"/>
    <w:rsid w:val="00887131"/>
    <w:rsid w:val="008872C2"/>
    <w:rsid w:val="00887312"/>
    <w:rsid w:val="008873C2"/>
    <w:rsid w:val="00887415"/>
    <w:rsid w:val="008874A7"/>
    <w:rsid w:val="008874FB"/>
    <w:rsid w:val="0088751D"/>
    <w:rsid w:val="00887537"/>
    <w:rsid w:val="00887580"/>
    <w:rsid w:val="008875A7"/>
    <w:rsid w:val="0088775A"/>
    <w:rsid w:val="00887825"/>
    <w:rsid w:val="00887886"/>
    <w:rsid w:val="00887899"/>
    <w:rsid w:val="008878E3"/>
    <w:rsid w:val="00887A3D"/>
    <w:rsid w:val="00887B0C"/>
    <w:rsid w:val="00887CB6"/>
    <w:rsid w:val="00887CE6"/>
    <w:rsid w:val="00887CF4"/>
    <w:rsid w:val="00887DE6"/>
    <w:rsid w:val="00887ED7"/>
    <w:rsid w:val="00887FDF"/>
    <w:rsid w:val="00890066"/>
    <w:rsid w:val="00890068"/>
    <w:rsid w:val="008900E6"/>
    <w:rsid w:val="00890151"/>
    <w:rsid w:val="0089015C"/>
    <w:rsid w:val="00890196"/>
    <w:rsid w:val="008901AC"/>
    <w:rsid w:val="008901AE"/>
    <w:rsid w:val="00890219"/>
    <w:rsid w:val="0089027B"/>
    <w:rsid w:val="008902BC"/>
    <w:rsid w:val="00890313"/>
    <w:rsid w:val="00890338"/>
    <w:rsid w:val="00890342"/>
    <w:rsid w:val="0089034B"/>
    <w:rsid w:val="008903AE"/>
    <w:rsid w:val="008904BF"/>
    <w:rsid w:val="008905FB"/>
    <w:rsid w:val="008906B0"/>
    <w:rsid w:val="0089072B"/>
    <w:rsid w:val="00890748"/>
    <w:rsid w:val="008907E0"/>
    <w:rsid w:val="008907E7"/>
    <w:rsid w:val="008909E2"/>
    <w:rsid w:val="00890AC0"/>
    <w:rsid w:val="00890ADC"/>
    <w:rsid w:val="00890AE0"/>
    <w:rsid w:val="00890C63"/>
    <w:rsid w:val="00890C94"/>
    <w:rsid w:val="00890CCF"/>
    <w:rsid w:val="00890D29"/>
    <w:rsid w:val="00890E28"/>
    <w:rsid w:val="00890E2D"/>
    <w:rsid w:val="00890EDA"/>
    <w:rsid w:val="00890F1B"/>
    <w:rsid w:val="00890FDF"/>
    <w:rsid w:val="00891003"/>
    <w:rsid w:val="00891045"/>
    <w:rsid w:val="008910BB"/>
    <w:rsid w:val="008910FD"/>
    <w:rsid w:val="00891117"/>
    <w:rsid w:val="0089126C"/>
    <w:rsid w:val="008912AB"/>
    <w:rsid w:val="008913EF"/>
    <w:rsid w:val="00891479"/>
    <w:rsid w:val="0089151D"/>
    <w:rsid w:val="0089154E"/>
    <w:rsid w:val="00891885"/>
    <w:rsid w:val="008918D7"/>
    <w:rsid w:val="00891A44"/>
    <w:rsid w:val="00891A4D"/>
    <w:rsid w:val="00891B09"/>
    <w:rsid w:val="00891B17"/>
    <w:rsid w:val="00891C3A"/>
    <w:rsid w:val="00891E67"/>
    <w:rsid w:val="00891F18"/>
    <w:rsid w:val="00891F41"/>
    <w:rsid w:val="00891F65"/>
    <w:rsid w:val="00891F75"/>
    <w:rsid w:val="00891FC8"/>
    <w:rsid w:val="00892021"/>
    <w:rsid w:val="0089207E"/>
    <w:rsid w:val="008920A7"/>
    <w:rsid w:val="008920C8"/>
    <w:rsid w:val="0089212A"/>
    <w:rsid w:val="00892259"/>
    <w:rsid w:val="00892358"/>
    <w:rsid w:val="00892446"/>
    <w:rsid w:val="0089244A"/>
    <w:rsid w:val="0089244D"/>
    <w:rsid w:val="0089247C"/>
    <w:rsid w:val="008924AD"/>
    <w:rsid w:val="00892534"/>
    <w:rsid w:val="00892565"/>
    <w:rsid w:val="008925D3"/>
    <w:rsid w:val="008925F8"/>
    <w:rsid w:val="008926A4"/>
    <w:rsid w:val="0089293A"/>
    <w:rsid w:val="00892A1B"/>
    <w:rsid w:val="00892BF1"/>
    <w:rsid w:val="00892C7E"/>
    <w:rsid w:val="00892CC5"/>
    <w:rsid w:val="00892F71"/>
    <w:rsid w:val="00893073"/>
    <w:rsid w:val="00893131"/>
    <w:rsid w:val="00893170"/>
    <w:rsid w:val="008932BA"/>
    <w:rsid w:val="008932D5"/>
    <w:rsid w:val="0089339C"/>
    <w:rsid w:val="008933E9"/>
    <w:rsid w:val="00893402"/>
    <w:rsid w:val="0089348B"/>
    <w:rsid w:val="008934C5"/>
    <w:rsid w:val="0089350A"/>
    <w:rsid w:val="00893574"/>
    <w:rsid w:val="00893658"/>
    <w:rsid w:val="00893677"/>
    <w:rsid w:val="00893706"/>
    <w:rsid w:val="00893723"/>
    <w:rsid w:val="00893756"/>
    <w:rsid w:val="008937EC"/>
    <w:rsid w:val="00893840"/>
    <w:rsid w:val="00893854"/>
    <w:rsid w:val="0089396E"/>
    <w:rsid w:val="00893A4A"/>
    <w:rsid w:val="00893AF9"/>
    <w:rsid w:val="00893B08"/>
    <w:rsid w:val="00893B36"/>
    <w:rsid w:val="00893B37"/>
    <w:rsid w:val="00893B58"/>
    <w:rsid w:val="00893BA8"/>
    <w:rsid w:val="00893BEF"/>
    <w:rsid w:val="00893C28"/>
    <w:rsid w:val="00893D90"/>
    <w:rsid w:val="00893DFB"/>
    <w:rsid w:val="00893E63"/>
    <w:rsid w:val="00893EB5"/>
    <w:rsid w:val="00893EFC"/>
    <w:rsid w:val="00893F57"/>
    <w:rsid w:val="00893FB0"/>
    <w:rsid w:val="008940CF"/>
    <w:rsid w:val="0089414E"/>
    <w:rsid w:val="008941C5"/>
    <w:rsid w:val="0089421B"/>
    <w:rsid w:val="00894265"/>
    <w:rsid w:val="00894266"/>
    <w:rsid w:val="0089427A"/>
    <w:rsid w:val="008942BF"/>
    <w:rsid w:val="008942EE"/>
    <w:rsid w:val="0089439D"/>
    <w:rsid w:val="00894548"/>
    <w:rsid w:val="0089458C"/>
    <w:rsid w:val="008945A0"/>
    <w:rsid w:val="00894602"/>
    <w:rsid w:val="008946A5"/>
    <w:rsid w:val="008946B3"/>
    <w:rsid w:val="008946C8"/>
    <w:rsid w:val="008947E8"/>
    <w:rsid w:val="00894830"/>
    <w:rsid w:val="00894831"/>
    <w:rsid w:val="0089483A"/>
    <w:rsid w:val="00894863"/>
    <w:rsid w:val="008948EA"/>
    <w:rsid w:val="0089490A"/>
    <w:rsid w:val="008949A7"/>
    <w:rsid w:val="00894A12"/>
    <w:rsid w:val="00894AF6"/>
    <w:rsid w:val="00894B0F"/>
    <w:rsid w:val="00894B53"/>
    <w:rsid w:val="00894BA7"/>
    <w:rsid w:val="00894C47"/>
    <w:rsid w:val="00894CE8"/>
    <w:rsid w:val="00894D15"/>
    <w:rsid w:val="00894D98"/>
    <w:rsid w:val="00894DB2"/>
    <w:rsid w:val="00894DF5"/>
    <w:rsid w:val="00894E30"/>
    <w:rsid w:val="00894ECA"/>
    <w:rsid w:val="00895106"/>
    <w:rsid w:val="008951CA"/>
    <w:rsid w:val="00895224"/>
    <w:rsid w:val="00895279"/>
    <w:rsid w:val="0089532F"/>
    <w:rsid w:val="0089536A"/>
    <w:rsid w:val="008953AE"/>
    <w:rsid w:val="008953F0"/>
    <w:rsid w:val="00895423"/>
    <w:rsid w:val="008954D8"/>
    <w:rsid w:val="008954DE"/>
    <w:rsid w:val="0089556A"/>
    <w:rsid w:val="00895574"/>
    <w:rsid w:val="008955BC"/>
    <w:rsid w:val="00895654"/>
    <w:rsid w:val="008956DD"/>
    <w:rsid w:val="0089582F"/>
    <w:rsid w:val="0089590A"/>
    <w:rsid w:val="00895A4F"/>
    <w:rsid w:val="00895AFB"/>
    <w:rsid w:val="00895BD5"/>
    <w:rsid w:val="00895BD7"/>
    <w:rsid w:val="00895BE1"/>
    <w:rsid w:val="00895D48"/>
    <w:rsid w:val="00895D8B"/>
    <w:rsid w:val="00895DB7"/>
    <w:rsid w:val="00895E0F"/>
    <w:rsid w:val="00895EA2"/>
    <w:rsid w:val="00895EAD"/>
    <w:rsid w:val="00895EC7"/>
    <w:rsid w:val="008960BC"/>
    <w:rsid w:val="008960FC"/>
    <w:rsid w:val="00896149"/>
    <w:rsid w:val="008961A3"/>
    <w:rsid w:val="0089625E"/>
    <w:rsid w:val="0089639A"/>
    <w:rsid w:val="008963D5"/>
    <w:rsid w:val="0089659C"/>
    <w:rsid w:val="008965D1"/>
    <w:rsid w:val="0089661F"/>
    <w:rsid w:val="00896680"/>
    <w:rsid w:val="008966B0"/>
    <w:rsid w:val="0089678B"/>
    <w:rsid w:val="00896945"/>
    <w:rsid w:val="0089697B"/>
    <w:rsid w:val="00896A96"/>
    <w:rsid w:val="00896B5E"/>
    <w:rsid w:val="00896C11"/>
    <w:rsid w:val="00896C46"/>
    <w:rsid w:val="00896CB2"/>
    <w:rsid w:val="00896CD4"/>
    <w:rsid w:val="00896CDF"/>
    <w:rsid w:val="00896DD9"/>
    <w:rsid w:val="00896E2A"/>
    <w:rsid w:val="00897001"/>
    <w:rsid w:val="008970C5"/>
    <w:rsid w:val="008970CE"/>
    <w:rsid w:val="008970EF"/>
    <w:rsid w:val="008971A2"/>
    <w:rsid w:val="008971CC"/>
    <w:rsid w:val="008971F1"/>
    <w:rsid w:val="00897209"/>
    <w:rsid w:val="00897216"/>
    <w:rsid w:val="00897260"/>
    <w:rsid w:val="00897263"/>
    <w:rsid w:val="00897291"/>
    <w:rsid w:val="00897347"/>
    <w:rsid w:val="00897400"/>
    <w:rsid w:val="008974D2"/>
    <w:rsid w:val="00897524"/>
    <w:rsid w:val="0089759A"/>
    <w:rsid w:val="0089759E"/>
    <w:rsid w:val="00897738"/>
    <w:rsid w:val="00897772"/>
    <w:rsid w:val="0089777F"/>
    <w:rsid w:val="008978AF"/>
    <w:rsid w:val="008978BF"/>
    <w:rsid w:val="008978E0"/>
    <w:rsid w:val="00897959"/>
    <w:rsid w:val="00897A1D"/>
    <w:rsid w:val="00897A68"/>
    <w:rsid w:val="00897A86"/>
    <w:rsid w:val="00897AEC"/>
    <w:rsid w:val="00897B1C"/>
    <w:rsid w:val="00897B3A"/>
    <w:rsid w:val="00897BF0"/>
    <w:rsid w:val="00897BFE"/>
    <w:rsid w:val="00897CDD"/>
    <w:rsid w:val="00897D45"/>
    <w:rsid w:val="00897EB1"/>
    <w:rsid w:val="00897F46"/>
    <w:rsid w:val="008A00A3"/>
    <w:rsid w:val="008A010B"/>
    <w:rsid w:val="008A0112"/>
    <w:rsid w:val="008A0140"/>
    <w:rsid w:val="008A01B2"/>
    <w:rsid w:val="008A0231"/>
    <w:rsid w:val="008A0343"/>
    <w:rsid w:val="008A0405"/>
    <w:rsid w:val="008A05C7"/>
    <w:rsid w:val="008A0649"/>
    <w:rsid w:val="008A067B"/>
    <w:rsid w:val="008A095C"/>
    <w:rsid w:val="008A09C0"/>
    <w:rsid w:val="008A0AAB"/>
    <w:rsid w:val="008A0AB0"/>
    <w:rsid w:val="008A0B41"/>
    <w:rsid w:val="008A0B4C"/>
    <w:rsid w:val="008A0BFE"/>
    <w:rsid w:val="008A0C3D"/>
    <w:rsid w:val="008A0C7E"/>
    <w:rsid w:val="008A0D29"/>
    <w:rsid w:val="008A0DC8"/>
    <w:rsid w:val="008A0E41"/>
    <w:rsid w:val="008A0F0D"/>
    <w:rsid w:val="008A1040"/>
    <w:rsid w:val="008A104B"/>
    <w:rsid w:val="008A1097"/>
    <w:rsid w:val="008A10C7"/>
    <w:rsid w:val="008A111E"/>
    <w:rsid w:val="008A121E"/>
    <w:rsid w:val="008A1220"/>
    <w:rsid w:val="008A12D0"/>
    <w:rsid w:val="008A132A"/>
    <w:rsid w:val="008A1361"/>
    <w:rsid w:val="008A162D"/>
    <w:rsid w:val="008A178A"/>
    <w:rsid w:val="008A1795"/>
    <w:rsid w:val="008A17CE"/>
    <w:rsid w:val="008A17FC"/>
    <w:rsid w:val="008A1818"/>
    <w:rsid w:val="008A1827"/>
    <w:rsid w:val="008A1866"/>
    <w:rsid w:val="008A1AB3"/>
    <w:rsid w:val="008A1B3F"/>
    <w:rsid w:val="008A1C5A"/>
    <w:rsid w:val="008A1C5D"/>
    <w:rsid w:val="008A1CAD"/>
    <w:rsid w:val="008A1CBA"/>
    <w:rsid w:val="008A1D95"/>
    <w:rsid w:val="008A1D97"/>
    <w:rsid w:val="008A1DCB"/>
    <w:rsid w:val="008A1DEA"/>
    <w:rsid w:val="008A20EE"/>
    <w:rsid w:val="008A22B4"/>
    <w:rsid w:val="008A2484"/>
    <w:rsid w:val="008A24EE"/>
    <w:rsid w:val="008A2601"/>
    <w:rsid w:val="008A2644"/>
    <w:rsid w:val="008A2666"/>
    <w:rsid w:val="008A270D"/>
    <w:rsid w:val="008A2805"/>
    <w:rsid w:val="008A2A05"/>
    <w:rsid w:val="008A2A5D"/>
    <w:rsid w:val="008A2A6A"/>
    <w:rsid w:val="008A2C7F"/>
    <w:rsid w:val="008A2CBC"/>
    <w:rsid w:val="008A2DD5"/>
    <w:rsid w:val="008A2F36"/>
    <w:rsid w:val="008A2F51"/>
    <w:rsid w:val="008A2FE8"/>
    <w:rsid w:val="008A30EE"/>
    <w:rsid w:val="008A314A"/>
    <w:rsid w:val="008A3199"/>
    <w:rsid w:val="008A337D"/>
    <w:rsid w:val="008A33A6"/>
    <w:rsid w:val="008A33C7"/>
    <w:rsid w:val="008A3425"/>
    <w:rsid w:val="008A342F"/>
    <w:rsid w:val="008A343E"/>
    <w:rsid w:val="008A349A"/>
    <w:rsid w:val="008A3546"/>
    <w:rsid w:val="008A357D"/>
    <w:rsid w:val="008A35ED"/>
    <w:rsid w:val="008A36C3"/>
    <w:rsid w:val="008A36DE"/>
    <w:rsid w:val="008A37B6"/>
    <w:rsid w:val="008A38DC"/>
    <w:rsid w:val="008A3916"/>
    <w:rsid w:val="008A39AE"/>
    <w:rsid w:val="008A39BB"/>
    <w:rsid w:val="008A3BB8"/>
    <w:rsid w:val="008A3BE1"/>
    <w:rsid w:val="008A3C42"/>
    <w:rsid w:val="008A3CA1"/>
    <w:rsid w:val="008A3D3B"/>
    <w:rsid w:val="008A3D5C"/>
    <w:rsid w:val="008A3D99"/>
    <w:rsid w:val="008A3DD0"/>
    <w:rsid w:val="008A3E9B"/>
    <w:rsid w:val="008A3F12"/>
    <w:rsid w:val="008A3FC5"/>
    <w:rsid w:val="008A3FF7"/>
    <w:rsid w:val="008A40D8"/>
    <w:rsid w:val="008A40F3"/>
    <w:rsid w:val="008A4159"/>
    <w:rsid w:val="008A427A"/>
    <w:rsid w:val="008A433C"/>
    <w:rsid w:val="008A437D"/>
    <w:rsid w:val="008A44C8"/>
    <w:rsid w:val="008A450E"/>
    <w:rsid w:val="008A456D"/>
    <w:rsid w:val="008A4698"/>
    <w:rsid w:val="008A46B2"/>
    <w:rsid w:val="008A4747"/>
    <w:rsid w:val="008A4786"/>
    <w:rsid w:val="008A48F6"/>
    <w:rsid w:val="008A490A"/>
    <w:rsid w:val="008A4998"/>
    <w:rsid w:val="008A49A8"/>
    <w:rsid w:val="008A49EB"/>
    <w:rsid w:val="008A49F9"/>
    <w:rsid w:val="008A4A33"/>
    <w:rsid w:val="008A4AB3"/>
    <w:rsid w:val="008A4AC0"/>
    <w:rsid w:val="008A4ACA"/>
    <w:rsid w:val="008A4B54"/>
    <w:rsid w:val="008A4C07"/>
    <w:rsid w:val="008A4C44"/>
    <w:rsid w:val="008A4C60"/>
    <w:rsid w:val="008A4C6E"/>
    <w:rsid w:val="008A4D13"/>
    <w:rsid w:val="008A4DE3"/>
    <w:rsid w:val="008A4F1C"/>
    <w:rsid w:val="008A4FAF"/>
    <w:rsid w:val="008A4FB0"/>
    <w:rsid w:val="008A5027"/>
    <w:rsid w:val="008A5138"/>
    <w:rsid w:val="008A513E"/>
    <w:rsid w:val="008A51FB"/>
    <w:rsid w:val="008A523C"/>
    <w:rsid w:val="008A5275"/>
    <w:rsid w:val="008A52CA"/>
    <w:rsid w:val="008A5308"/>
    <w:rsid w:val="008A532C"/>
    <w:rsid w:val="008A5408"/>
    <w:rsid w:val="008A541D"/>
    <w:rsid w:val="008A5434"/>
    <w:rsid w:val="008A5469"/>
    <w:rsid w:val="008A55E5"/>
    <w:rsid w:val="008A5805"/>
    <w:rsid w:val="008A5858"/>
    <w:rsid w:val="008A58B6"/>
    <w:rsid w:val="008A5914"/>
    <w:rsid w:val="008A5948"/>
    <w:rsid w:val="008A597B"/>
    <w:rsid w:val="008A597C"/>
    <w:rsid w:val="008A59F1"/>
    <w:rsid w:val="008A5AC1"/>
    <w:rsid w:val="008A5B22"/>
    <w:rsid w:val="008A5B29"/>
    <w:rsid w:val="008A5C15"/>
    <w:rsid w:val="008A5CCE"/>
    <w:rsid w:val="008A5D38"/>
    <w:rsid w:val="008A5E79"/>
    <w:rsid w:val="008A5EAF"/>
    <w:rsid w:val="008A5EC4"/>
    <w:rsid w:val="008A5F69"/>
    <w:rsid w:val="008A5F7F"/>
    <w:rsid w:val="008A6038"/>
    <w:rsid w:val="008A60AC"/>
    <w:rsid w:val="008A60B0"/>
    <w:rsid w:val="008A60BF"/>
    <w:rsid w:val="008A6110"/>
    <w:rsid w:val="008A61DC"/>
    <w:rsid w:val="008A6201"/>
    <w:rsid w:val="008A62E7"/>
    <w:rsid w:val="008A62F2"/>
    <w:rsid w:val="008A6440"/>
    <w:rsid w:val="008A64B0"/>
    <w:rsid w:val="008A64CF"/>
    <w:rsid w:val="008A64E4"/>
    <w:rsid w:val="008A650F"/>
    <w:rsid w:val="008A652B"/>
    <w:rsid w:val="008A6630"/>
    <w:rsid w:val="008A663E"/>
    <w:rsid w:val="008A670D"/>
    <w:rsid w:val="008A67BB"/>
    <w:rsid w:val="008A6835"/>
    <w:rsid w:val="008A6843"/>
    <w:rsid w:val="008A6848"/>
    <w:rsid w:val="008A686F"/>
    <w:rsid w:val="008A68C3"/>
    <w:rsid w:val="008A6920"/>
    <w:rsid w:val="008A6931"/>
    <w:rsid w:val="008A69C9"/>
    <w:rsid w:val="008A6AD8"/>
    <w:rsid w:val="008A6B24"/>
    <w:rsid w:val="008A6B69"/>
    <w:rsid w:val="008A6BA8"/>
    <w:rsid w:val="008A6BB1"/>
    <w:rsid w:val="008A6C6C"/>
    <w:rsid w:val="008A6D55"/>
    <w:rsid w:val="008A6D68"/>
    <w:rsid w:val="008A6F05"/>
    <w:rsid w:val="008A6F30"/>
    <w:rsid w:val="008A6F3A"/>
    <w:rsid w:val="008A6F9D"/>
    <w:rsid w:val="008A6FDF"/>
    <w:rsid w:val="008A701D"/>
    <w:rsid w:val="008A70BA"/>
    <w:rsid w:val="008A7183"/>
    <w:rsid w:val="008A7192"/>
    <w:rsid w:val="008A721B"/>
    <w:rsid w:val="008A72B7"/>
    <w:rsid w:val="008A733B"/>
    <w:rsid w:val="008A7421"/>
    <w:rsid w:val="008A746F"/>
    <w:rsid w:val="008A7470"/>
    <w:rsid w:val="008A74F4"/>
    <w:rsid w:val="008A76E0"/>
    <w:rsid w:val="008A7835"/>
    <w:rsid w:val="008A78BD"/>
    <w:rsid w:val="008A78C0"/>
    <w:rsid w:val="008A7A0B"/>
    <w:rsid w:val="008A7A6E"/>
    <w:rsid w:val="008A7B0E"/>
    <w:rsid w:val="008A7B1E"/>
    <w:rsid w:val="008A7BB2"/>
    <w:rsid w:val="008A7C40"/>
    <w:rsid w:val="008A7C77"/>
    <w:rsid w:val="008A7CBD"/>
    <w:rsid w:val="008A7D46"/>
    <w:rsid w:val="008A7D54"/>
    <w:rsid w:val="008A7E15"/>
    <w:rsid w:val="008A7F38"/>
    <w:rsid w:val="008A7FAA"/>
    <w:rsid w:val="008B0044"/>
    <w:rsid w:val="008B00C5"/>
    <w:rsid w:val="008B00CF"/>
    <w:rsid w:val="008B01A7"/>
    <w:rsid w:val="008B0262"/>
    <w:rsid w:val="008B028A"/>
    <w:rsid w:val="008B032B"/>
    <w:rsid w:val="008B03E4"/>
    <w:rsid w:val="008B04FE"/>
    <w:rsid w:val="008B0520"/>
    <w:rsid w:val="008B054E"/>
    <w:rsid w:val="008B05AD"/>
    <w:rsid w:val="008B063A"/>
    <w:rsid w:val="008B0647"/>
    <w:rsid w:val="008B076C"/>
    <w:rsid w:val="008B07DA"/>
    <w:rsid w:val="008B0815"/>
    <w:rsid w:val="008B0847"/>
    <w:rsid w:val="008B0860"/>
    <w:rsid w:val="008B08C8"/>
    <w:rsid w:val="008B0C57"/>
    <w:rsid w:val="008B0C78"/>
    <w:rsid w:val="008B0CAF"/>
    <w:rsid w:val="008B0DAD"/>
    <w:rsid w:val="008B0E32"/>
    <w:rsid w:val="008B0E55"/>
    <w:rsid w:val="008B0EB2"/>
    <w:rsid w:val="008B0F66"/>
    <w:rsid w:val="008B0F88"/>
    <w:rsid w:val="008B0FB2"/>
    <w:rsid w:val="008B0FD0"/>
    <w:rsid w:val="008B0FF6"/>
    <w:rsid w:val="008B1028"/>
    <w:rsid w:val="008B1061"/>
    <w:rsid w:val="008B10AB"/>
    <w:rsid w:val="008B12B8"/>
    <w:rsid w:val="008B12E9"/>
    <w:rsid w:val="008B1398"/>
    <w:rsid w:val="008B139C"/>
    <w:rsid w:val="008B1571"/>
    <w:rsid w:val="008B15AA"/>
    <w:rsid w:val="008B16DE"/>
    <w:rsid w:val="008B1776"/>
    <w:rsid w:val="008B17CE"/>
    <w:rsid w:val="008B17E6"/>
    <w:rsid w:val="008B1883"/>
    <w:rsid w:val="008B18D7"/>
    <w:rsid w:val="008B1A11"/>
    <w:rsid w:val="008B1A25"/>
    <w:rsid w:val="008B1AA6"/>
    <w:rsid w:val="008B1BB5"/>
    <w:rsid w:val="008B1C92"/>
    <w:rsid w:val="008B1EFA"/>
    <w:rsid w:val="008B1F62"/>
    <w:rsid w:val="008B1FA2"/>
    <w:rsid w:val="008B1FFD"/>
    <w:rsid w:val="008B204C"/>
    <w:rsid w:val="008B21E0"/>
    <w:rsid w:val="008B21EC"/>
    <w:rsid w:val="008B2263"/>
    <w:rsid w:val="008B23A4"/>
    <w:rsid w:val="008B2692"/>
    <w:rsid w:val="008B2719"/>
    <w:rsid w:val="008B2782"/>
    <w:rsid w:val="008B27AD"/>
    <w:rsid w:val="008B28D8"/>
    <w:rsid w:val="008B28FE"/>
    <w:rsid w:val="008B2905"/>
    <w:rsid w:val="008B297D"/>
    <w:rsid w:val="008B29A0"/>
    <w:rsid w:val="008B29A5"/>
    <w:rsid w:val="008B2A2C"/>
    <w:rsid w:val="008B2AD4"/>
    <w:rsid w:val="008B2B77"/>
    <w:rsid w:val="008B2B8F"/>
    <w:rsid w:val="008B2C40"/>
    <w:rsid w:val="008B2CA1"/>
    <w:rsid w:val="008B2D8C"/>
    <w:rsid w:val="008B2E51"/>
    <w:rsid w:val="008B2EFF"/>
    <w:rsid w:val="008B30DD"/>
    <w:rsid w:val="008B3186"/>
    <w:rsid w:val="008B319B"/>
    <w:rsid w:val="008B31E2"/>
    <w:rsid w:val="008B3219"/>
    <w:rsid w:val="008B3244"/>
    <w:rsid w:val="008B3260"/>
    <w:rsid w:val="008B32FA"/>
    <w:rsid w:val="008B3375"/>
    <w:rsid w:val="008B33D2"/>
    <w:rsid w:val="008B350E"/>
    <w:rsid w:val="008B35E5"/>
    <w:rsid w:val="008B3607"/>
    <w:rsid w:val="008B370D"/>
    <w:rsid w:val="008B3713"/>
    <w:rsid w:val="008B3A27"/>
    <w:rsid w:val="008B3A30"/>
    <w:rsid w:val="008B3A79"/>
    <w:rsid w:val="008B3A9C"/>
    <w:rsid w:val="008B3AA2"/>
    <w:rsid w:val="008B3BA5"/>
    <w:rsid w:val="008B3CC3"/>
    <w:rsid w:val="008B3CE3"/>
    <w:rsid w:val="008B3D37"/>
    <w:rsid w:val="008B3D56"/>
    <w:rsid w:val="008B3D9F"/>
    <w:rsid w:val="008B3DB3"/>
    <w:rsid w:val="008B3DD6"/>
    <w:rsid w:val="008B3E33"/>
    <w:rsid w:val="008B3E59"/>
    <w:rsid w:val="008B3E99"/>
    <w:rsid w:val="008B3F92"/>
    <w:rsid w:val="008B4077"/>
    <w:rsid w:val="008B40A2"/>
    <w:rsid w:val="008B40DF"/>
    <w:rsid w:val="008B417E"/>
    <w:rsid w:val="008B41F7"/>
    <w:rsid w:val="008B4218"/>
    <w:rsid w:val="008B4250"/>
    <w:rsid w:val="008B4266"/>
    <w:rsid w:val="008B42CB"/>
    <w:rsid w:val="008B4399"/>
    <w:rsid w:val="008B440A"/>
    <w:rsid w:val="008B441D"/>
    <w:rsid w:val="008B45FB"/>
    <w:rsid w:val="008B47E7"/>
    <w:rsid w:val="008B4894"/>
    <w:rsid w:val="008B48CA"/>
    <w:rsid w:val="008B48EA"/>
    <w:rsid w:val="008B49AE"/>
    <w:rsid w:val="008B4AA7"/>
    <w:rsid w:val="008B4B8E"/>
    <w:rsid w:val="008B4BD7"/>
    <w:rsid w:val="008B4C1A"/>
    <w:rsid w:val="008B4CD9"/>
    <w:rsid w:val="008B4D01"/>
    <w:rsid w:val="008B4D49"/>
    <w:rsid w:val="008B4D4A"/>
    <w:rsid w:val="008B4D78"/>
    <w:rsid w:val="008B4E8C"/>
    <w:rsid w:val="008B4F02"/>
    <w:rsid w:val="008B4F52"/>
    <w:rsid w:val="008B5020"/>
    <w:rsid w:val="008B506E"/>
    <w:rsid w:val="008B50E2"/>
    <w:rsid w:val="008B5374"/>
    <w:rsid w:val="008B538C"/>
    <w:rsid w:val="008B53B0"/>
    <w:rsid w:val="008B53BC"/>
    <w:rsid w:val="008B53C3"/>
    <w:rsid w:val="008B54BF"/>
    <w:rsid w:val="008B54CE"/>
    <w:rsid w:val="008B55BB"/>
    <w:rsid w:val="008B5627"/>
    <w:rsid w:val="008B56C9"/>
    <w:rsid w:val="008B5744"/>
    <w:rsid w:val="008B581B"/>
    <w:rsid w:val="008B5903"/>
    <w:rsid w:val="008B5A40"/>
    <w:rsid w:val="008B5ACD"/>
    <w:rsid w:val="008B5B56"/>
    <w:rsid w:val="008B5CD7"/>
    <w:rsid w:val="008B5E8A"/>
    <w:rsid w:val="008B5E95"/>
    <w:rsid w:val="008B5F64"/>
    <w:rsid w:val="008B5F88"/>
    <w:rsid w:val="008B6013"/>
    <w:rsid w:val="008B6063"/>
    <w:rsid w:val="008B60BD"/>
    <w:rsid w:val="008B60F7"/>
    <w:rsid w:val="008B61D9"/>
    <w:rsid w:val="008B6256"/>
    <w:rsid w:val="008B62D7"/>
    <w:rsid w:val="008B633F"/>
    <w:rsid w:val="008B637E"/>
    <w:rsid w:val="008B63F4"/>
    <w:rsid w:val="008B6423"/>
    <w:rsid w:val="008B64C4"/>
    <w:rsid w:val="008B64E3"/>
    <w:rsid w:val="008B6526"/>
    <w:rsid w:val="008B66B5"/>
    <w:rsid w:val="008B6782"/>
    <w:rsid w:val="008B6786"/>
    <w:rsid w:val="008B68AC"/>
    <w:rsid w:val="008B68BD"/>
    <w:rsid w:val="008B69B8"/>
    <w:rsid w:val="008B69E2"/>
    <w:rsid w:val="008B6A9A"/>
    <w:rsid w:val="008B6BAA"/>
    <w:rsid w:val="008B6C6C"/>
    <w:rsid w:val="008B6C9E"/>
    <w:rsid w:val="008B6CB3"/>
    <w:rsid w:val="008B6D1C"/>
    <w:rsid w:val="008B6DA9"/>
    <w:rsid w:val="008B6DB1"/>
    <w:rsid w:val="008B6E5E"/>
    <w:rsid w:val="008B6EBC"/>
    <w:rsid w:val="008B6FBC"/>
    <w:rsid w:val="008B70AC"/>
    <w:rsid w:val="008B70BF"/>
    <w:rsid w:val="008B711F"/>
    <w:rsid w:val="008B7173"/>
    <w:rsid w:val="008B71DB"/>
    <w:rsid w:val="008B720E"/>
    <w:rsid w:val="008B7250"/>
    <w:rsid w:val="008B7252"/>
    <w:rsid w:val="008B72B1"/>
    <w:rsid w:val="008B72F4"/>
    <w:rsid w:val="008B72FA"/>
    <w:rsid w:val="008B7305"/>
    <w:rsid w:val="008B733E"/>
    <w:rsid w:val="008B736B"/>
    <w:rsid w:val="008B756E"/>
    <w:rsid w:val="008B757C"/>
    <w:rsid w:val="008B7584"/>
    <w:rsid w:val="008B76AE"/>
    <w:rsid w:val="008B7764"/>
    <w:rsid w:val="008B7770"/>
    <w:rsid w:val="008B7771"/>
    <w:rsid w:val="008B780F"/>
    <w:rsid w:val="008B786B"/>
    <w:rsid w:val="008B78D4"/>
    <w:rsid w:val="008B7975"/>
    <w:rsid w:val="008B7A9D"/>
    <w:rsid w:val="008B7AEB"/>
    <w:rsid w:val="008B7B09"/>
    <w:rsid w:val="008B7B29"/>
    <w:rsid w:val="008B7B37"/>
    <w:rsid w:val="008B7B4C"/>
    <w:rsid w:val="008B7B9C"/>
    <w:rsid w:val="008B7BEB"/>
    <w:rsid w:val="008B7C5B"/>
    <w:rsid w:val="008B7D22"/>
    <w:rsid w:val="008B7D77"/>
    <w:rsid w:val="008B7D81"/>
    <w:rsid w:val="008B7F6F"/>
    <w:rsid w:val="008B7FAA"/>
    <w:rsid w:val="008B7FC4"/>
    <w:rsid w:val="008C0013"/>
    <w:rsid w:val="008C002E"/>
    <w:rsid w:val="008C0044"/>
    <w:rsid w:val="008C010E"/>
    <w:rsid w:val="008C01F8"/>
    <w:rsid w:val="008C02BF"/>
    <w:rsid w:val="008C0318"/>
    <w:rsid w:val="008C0338"/>
    <w:rsid w:val="008C0341"/>
    <w:rsid w:val="008C03DB"/>
    <w:rsid w:val="008C040A"/>
    <w:rsid w:val="008C04A5"/>
    <w:rsid w:val="008C04C5"/>
    <w:rsid w:val="008C04E5"/>
    <w:rsid w:val="008C0516"/>
    <w:rsid w:val="008C0595"/>
    <w:rsid w:val="008C05BB"/>
    <w:rsid w:val="008C06FD"/>
    <w:rsid w:val="008C0766"/>
    <w:rsid w:val="008C0784"/>
    <w:rsid w:val="008C0845"/>
    <w:rsid w:val="008C089D"/>
    <w:rsid w:val="008C0918"/>
    <w:rsid w:val="008C0950"/>
    <w:rsid w:val="008C096F"/>
    <w:rsid w:val="008C09D4"/>
    <w:rsid w:val="008C09E2"/>
    <w:rsid w:val="008C0A49"/>
    <w:rsid w:val="008C0A4E"/>
    <w:rsid w:val="008C0A55"/>
    <w:rsid w:val="008C0B18"/>
    <w:rsid w:val="008C0C42"/>
    <w:rsid w:val="008C0DD1"/>
    <w:rsid w:val="008C0DDB"/>
    <w:rsid w:val="008C0DDC"/>
    <w:rsid w:val="008C0E3F"/>
    <w:rsid w:val="008C0E8F"/>
    <w:rsid w:val="008C0EDD"/>
    <w:rsid w:val="008C0F1B"/>
    <w:rsid w:val="008C102D"/>
    <w:rsid w:val="008C112C"/>
    <w:rsid w:val="008C1163"/>
    <w:rsid w:val="008C1207"/>
    <w:rsid w:val="008C13FB"/>
    <w:rsid w:val="008C14AA"/>
    <w:rsid w:val="008C1631"/>
    <w:rsid w:val="008C16BD"/>
    <w:rsid w:val="008C16D9"/>
    <w:rsid w:val="008C170D"/>
    <w:rsid w:val="008C17A2"/>
    <w:rsid w:val="008C17B7"/>
    <w:rsid w:val="008C180D"/>
    <w:rsid w:val="008C1859"/>
    <w:rsid w:val="008C1926"/>
    <w:rsid w:val="008C1998"/>
    <w:rsid w:val="008C19BE"/>
    <w:rsid w:val="008C1A63"/>
    <w:rsid w:val="008C1A7E"/>
    <w:rsid w:val="008C1A82"/>
    <w:rsid w:val="008C1A9B"/>
    <w:rsid w:val="008C1C7B"/>
    <w:rsid w:val="008C1D19"/>
    <w:rsid w:val="008C1DDE"/>
    <w:rsid w:val="008C1E4B"/>
    <w:rsid w:val="008C1EAC"/>
    <w:rsid w:val="008C1ED2"/>
    <w:rsid w:val="008C1F4E"/>
    <w:rsid w:val="008C1F53"/>
    <w:rsid w:val="008C2000"/>
    <w:rsid w:val="008C21B9"/>
    <w:rsid w:val="008C231D"/>
    <w:rsid w:val="008C23A0"/>
    <w:rsid w:val="008C2400"/>
    <w:rsid w:val="008C2414"/>
    <w:rsid w:val="008C2514"/>
    <w:rsid w:val="008C26B1"/>
    <w:rsid w:val="008C26EA"/>
    <w:rsid w:val="008C26EC"/>
    <w:rsid w:val="008C273F"/>
    <w:rsid w:val="008C28F3"/>
    <w:rsid w:val="008C295E"/>
    <w:rsid w:val="008C29CD"/>
    <w:rsid w:val="008C2A38"/>
    <w:rsid w:val="008C2A88"/>
    <w:rsid w:val="008C2B32"/>
    <w:rsid w:val="008C2BFF"/>
    <w:rsid w:val="008C2D25"/>
    <w:rsid w:val="008C2DC7"/>
    <w:rsid w:val="008C2E0F"/>
    <w:rsid w:val="008C2EF3"/>
    <w:rsid w:val="008C2F1F"/>
    <w:rsid w:val="008C2F2D"/>
    <w:rsid w:val="008C2F60"/>
    <w:rsid w:val="008C2FA9"/>
    <w:rsid w:val="008C2FDD"/>
    <w:rsid w:val="008C30AB"/>
    <w:rsid w:val="008C311C"/>
    <w:rsid w:val="008C34A8"/>
    <w:rsid w:val="008C34F6"/>
    <w:rsid w:val="008C3501"/>
    <w:rsid w:val="008C3570"/>
    <w:rsid w:val="008C3577"/>
    <w:rsid w:val="008C3654"/>
    <w:rsid w:val="008C37A1"/>
    <w:rsid w:val="008C394A"/>
    <w:rsid w:val="008C3A67"/>
    <w:rsid w:val="008C3A86"/>
    <w:rsid w:val="008C3ACF"/>
    <w:rsid w:val="008C3B05"/>
    <w:rsid w:val="008C3B1B"/>
    <w:rsid w:val="008C3B3F"/>
    <w:rsid w:val="008C3B4F"/>
    <w:rsid w:val="008C3B5B"/>
    <w:rsid w:val="008C3C28"/>
    <w:rsid w:val="008C3C4B"/>
    <w:rsid w:val="008C3CF6"/>
    <w:rsid w:val="008C3DD1"/>
    <w:rsid w:val="008C3DF0"/>
    <w:rsid w:val="008C3E71"/>
    <w:rsid w:val="008C3F39"/>
    <w:rsid w:val="008C41A4"/>
    <w:rsid w:val="008C4226"/>
    <w:rsid w:val="008C4294"/>
    <w:rsid w:val="008C4300"/>
    <w:rsid w:val="008C4306"/>
    <w:rsid w:val="008C43AC"/>
    <w:rsid w:val="008C4503"/>
    <w:rsid w:val="008C4520"/>
    <w:rsid w:val="008C4526"/>
    <w:rsid w:val="008C4633"/>
    <w:rsid w:val="008C46DE"/>
    <w:rsid w:val="008C4707"/>
    <w:rsid w:val="008C4771"/>
    <w:rsid w:val="008C4814"/>
    <w:rsid w:val="008C48BB"/>
    <w:rsid w:val="008C4936"/>
    <w:rsid w:val="008C4972"/>
    <w:rsid w:val="008C4996"/>
    <w:rsid w:val="008C49A9"/>
    <w:rsid w:val="008C4A39"/>
    <w:rsid w:val="008C4BD4"/>
    <w:rsid w:val="008C4BD5"/>
    <w:rsid w:val="008C4CB5"/>
    <w:rsid w:val="008C4CC7"/>
    <w:rsid w:val="008C4CF1"/>
    <w:rsid w:val="008C4D2B"/>
    <w:rsid w:val="008C4ED3"/>
    <w:rsid w:val="008C4F38"/>
    <w:rsid w:val="008C4F3B"/>
    <w:rsid w:val="008C4FA7"/>
    <w:rsid w:val="008C50CC"/>
    <w:rsid w:val="008C5187"/>
    <w:rsid w:val="008C5209"/>
    <w:rsid w:val="008C5296"/>
    <w:rsid w:val="008C52AC"/>
    <w:rsid w:val="008C52DD"/>
    <w:rsid w:val="008C5358"/>
    <w:rsid w:val="008C53FC"/>
    <w:rsid w:val="008C5405"/>
    <w:rsid w:val="008C5419"/>
    <w:rsid w:val="008C54C8"/>
    <w:rsid w:val="008C559A"/>
    <w:rsid w:val="008C55A1"/>
    <w:rsid w:val="008C56BE"/>
    <w:rsid w:val="008C56DC"/>
    <w:rsid w:val="008C5848"/>
    <w:rsid w:val="008C5882"/>
    <w:rsid w:val="008C5897"/>
    <w:rsid w:val="008C58B8"/>
    <w:rsid w:val="008C5923"/>
    <w:rsid w:val="008C5940"/>
    <w:rsid w:val="008C597D"/>
    <w:rsid w:val="008C599B"/>
    <w:rsid w:val="008C59E3"/>
    <w:rsid w:val="008C5B08"/>
    <w:rsid w:val="008C5B20"/>
    <w:rsid w:val="008C5B36"/>
    <w:rsid w:val="008C5B3F"/>
    <w:rsid w:val="008C5B40"/>
    <w:rsid w:val="008C5BED"/>
    <w:rsid w:val="008C5C11"/>
    <w:rsid w:val="008C5C14"/>
    <w:rsid w:val="008C5C54"/>
    <w:rsid w:val="008C5DB0"/>
    <w:rsid w:val="008C5E54"/>
    <w:rsid w:val="008C607D"/>
    <w:rsid w:val="008C60A8"/>
    <w:rsid w:val="008C60AC"/>
    <w:rsid w:val="008C60CF"/>
    <w:rsid w:val="008C60E2"/>
    <w:rsid w:val="008C6179"/>
    <w:rsid w:val="008C6259"/>
    <w:rsid w:val="008C6268"/>
    <w:rsid w:val="008C627D"/>
    <w:rsid w:val="008C62EB"/>
    <w:rsid w:val="008C6353"/>
    <w:rsid w:val="008C6368"/>
    <w:rsid w:val="008C639A"/>
    <w:rsid w:val="008C639E"/>
    <w:rsid w:val="008C63CF"/>
    <w:rsid w:val="008C63DE"/>
    <w:rsid w:val="008C63FB"/>
    <w:rsid w:val="008C6446"/>
    <w:rsid w:val="008C6485"/>
    <w:rsid w:val="008C649E"/>
    <w:rsid w:val="008C6549"/>
    <w:rsid w:val="008C65C7"/>
    <w:rsid w:val="008C65D9"/>
    <w:rsid w:val="008C65F4"/>
    <w:rsid w:val="008C65FD"/>
    <w:rsid w:val="008C6651"/>
    <w:rsid w:val="008C687F"/>
    <w:rsid w:val="008C68DC"/>
    <w:rsid w:val="008C68EE"/>
    <w:rsid w:val="008C6923"/>
    <w:rsid w:val="008C699A"/>
    <w:rsid w:val="008C69DA"/>
    <w:rsid w:val="008C6A0F"/>
    <w:rsid w:val="008C6A54"/>
    <w:rsid w:val="008C6AD6"/>
    <w:rsid w:val="008C6AF3"/>
    <w:rsid w:val="008C6C41"/>
    <w:rsid w:val="008C6C47"/>
    <w:rsid w:val="008C6C4E"/>
    <w:rsid w:val="008C6CD7"/>
    <w:rsid w:val="008C6D11"/>
    <w:rsid w:val="008C6D5D"/>
    <w:rsid w:val="008C6E27"/>
    <w:rsid w:val="008C6F07"/>
    <w:rsid w:val="008C6F29"/>
    <w:rsid w:val="008C6FDF"/>
    <w:rsid w:val="008C6FFD"/>
    <w:rsid w:val="008C7050"/>
    <w:rsid w:val="008C7262"/>
    <w:rsid w:val="008C7352"/>
    <w:rsid w:val="008C73F4"/>
    <w:rsid w:val="008C73F6"/>
    <w:rsid w:val="008C73FA"/>
    <w:rsid w:val="008C7402"/>
    <w:rsid w:val="008C7404"/>
    <w:rsid w:val="008C7412"/>
    <w:rsid w:val="008C7442"/>
    <w:rsid w:val="008C7501"/>
    <w:rsid w:val="008C750E"/>
    <w:rsid w:val="008C7522"/>
    <w:rsid w:val="008C773C"/>
    <w:rsid w:val="008C7764"/>
    <w:rsid w:val="008C787D"/>
    <w:rsid w:val="008C7897"/>
    <w:rsid w:val="008C78A7"/>
    <w:rsid w:val="008C7988"/>
    <w:rsid w:val="008C79CA"/>
    <w:rsid w:val="008C7A0F"/>
    <w:rsid w:val="008C7B44"/>
    <w:rsid w:val="008C7B99"/>
    <w:rsid w:val="008C7BE7"/>
    <w:rsid w:val="008C7CD4"/>
    <w:rsid w:val="008C7E17"/>
    <w:rsid w:val="008C7F16"/>
    <w:rsid w:val="008C7F71"/>
    <w:rsid w:val="008D0083"/>
    <w:rsid w:val="008D0128"/>
    <w:rsid w:val="008D017A"/>
    <w:rsid w:val="008D0229"/>
    <w:rsid w:val="008D022C"/>
    <w:rsid w:val="008D02C3"/>
    <w:rsid w:val="008D033F"/>
    <w:rsid w:val="008D036D"/>
    <w:rsid w:val="008D03E8"/>
    <w:rsid w:val="008D047D"/>
    <w:rsid w:val="008D051E"/>
    <w:rsid w:val="008D0592"/>
    <w:rsid w:val="008D05DA"/>
    <w:rsid w:val="008D05F1"/>
    <w:rsid w:val="008D062E"/>
    <w:rsid w:val="008D0651"/>
    <w:rsid w:val="008D06C7"/>
    <w:rsid w:val="008D0710"/>
    <w:rsid w:val="008D0762"/>
    <w:rsid w:val="008D07A3"/>
    <w:rsid w:val="008D0872"/>
    <w:rsid w:val="008D08A6"/>
    <w:rsid w:val="008D08DB"/>
    <w:rsid w:val="008D099A"/>
    <w:rsid w:val="008D0A4D"/>
    <w:rsid w:val="008D0B37"/>
    <w:rsid w:val="008D0B8F"/>
    <w:rsid w:val="008D0BB7"/>
    <w:rsid w:val="008D0C59"/>
    <w:rsid w:val="008D0D34"/>
    <w:rsid w:val="008D0DD8"/>
    <w:rsid w:val="008D0DF0"/>
    <w:rsid w:val="008D0EAD"/>
    <w:rsid w:val="008D0EDB"/>
    <w:rsid w:val="008D0F41"/>
    <w:rsid w:val="008D10BD"/>
    <w:rsid w:val="008D10CD"/>
    <w:rsid w:val="008D116C"/>
    <w:rsid w:val="008D117C"/>
    <w:rsid w:val="008D1204"/>
    <w:rsid w:val="008D120B"/>
    <w:rsid w:val="008D124D"/>
    <w:rsid w:val="008D1365"/>
    <w:rsid w:val="008D140B"/>
    <w:rsid w:val="008D14E1"/>
    <w:rsid w:val="008D14E7"/>
    <w:rsid w:val="008D15F7"/>
    <w:rsid w:val="008D1668"/>
    <w:rsid w:val="008D1691"/>
    <w:rsid w:val="008D1694"/>
    <w:rsid w:val="008D16C3"/>
    <w:rsid w:val="008D179C"/>
    <w:rsid w:val="008D17C6"/>
    <w:rsid w:val="008D17FA"/>
    <w:rsid w:val="008D186F"/>
    <w:rsid w:val="008D18A6"/>
    <w:rsid w:val="008D18BE"/>
    <w:rsid w:val="008D1926"/>
    <w:rsid w:val="008D194B"/>
    <w:rsid w:val="008D1AA9"/>
    <w:rsid w:val="008D1AE5"/>
    <w:rsid w:val="008D1C57"/>
    <w:rsid w:val="008D1C6F"/>
    <w:rsid w:val="008D1CA1"/>
    <w:rsid w:val="008D1CE5"/>
    <w:rsid w:val="008D1E67"/>
    <w:rsid w:val="008D1E92"/>
    <w:rsid w:val="008D1F43"/>
    <w:rsid w:val="008D1F8C"/>
    <w:rsid w:val="008D1FA4"/>
    <w:rsid w:val="008D204F"/>
    <w:rsid w:val="008D2058"/>
    <w:rsid w:val="008D209F"/>
    <w:rsid w:val="008D2114"/>
    <w:rsid w:val="008D2136"/>
    <w:rsid w:val="008D2140"/>
    <w:rsid w:val="008D2276"/>
    <w:rsid w:val="008D22A0"/>
    <w:rsid w:val="008D232A"/>
    <w:rsid w:val="008D2396"/>
    <w:rsid w:val="008D23F4"/>
    <w:rsid w:val="008D2411"/>
    <w:rsid w:val="008D24CD"/>
    <w:rsid w:val="008D2680"/>
    <w:rsid w:val="008D27C3"/>
    <w:rsid w:val="008D280D"/>
    <w:rsid w:val="008D28C8"/>
    <w:rsid w:val="008D2920"/>
    <w:rsid w:val="008D29DC"/>
    <w:rsid w:val="008D2A8F"/>
    <w:rsid w:val="008D2B05"/>
    <w:rsid w:val="008D2B11"/>
    <w:rsid w:val="008D2B74"/>
    <w:rsid w:val="008D2C54"/>
    <w:rsid w:val="008D2C6E"/>
    <w:rsid w:val="008D2C8D"/>
    <w:rsid w:val="008D2CE7"/>
    <w:rsid w:val="008D2CF3"/>
    <w:rsid w:val="008D2DC3"/>
    <w:rsid w:val="008D2DF7"/>
    <w:rsid w:val="008D2EB8"/>
    <w:rsid w:val="008D2EFD"/>
    <w:rsid w:val="008D2F05"/>
    <w:rsid w:val="008D2F21"/>
    <w:rsid w:val="008D3076"/>
    <w:rsid w:val="008D30F5"/>
    <w:rsid w:val="008D31B4"/>
    <w:rsid w:val="008D3266"/>
    <w:rsid w:val="008D32E9"/>
    <w:rsid w:val="008D3325"/>
    <w:rsid w:val="008D3395"/>
    <w:rsid w:val="008D339F"/>
    <w:rsid w:val="008D3438"/>
    <w:rsid w:val="008D345E"/>
    <w:rsid w:val="008D346A"/>
    <w:rsid w:val="008D3477"/>
    <w:rsid w:val="008D3480"/>
    <w:rsid w:val="008D3547"/>
    <w:rsid w:val="008D354D"/>
    <w:rsid w:val="008D35F1"/>
    <w:rsid w:val="008D3729"/>
    <w:rsid w:val="008D3742"/>
    <w:rsid w:val="008D37DE"/>
    <w:rsid w:val="008D3905"/>
    <w:rsid w:val="008D3928"/>
    <w:rsid w:val="008D39B2"/>
    <w:rsid w:val="008D39CD"/>
    <w:rsid w:val="008D39D7"/>
    <w:rsid w:val="008D3A15"/>
    <w:rsid w:val="008D3A16"/>
    <w:rsid w:val="008D3AAC"/>
    <w:rsid w:val="008D3BFC"/>
    <w:rsid w:val="008D3CA9"/>
    <w:rsid w:val="008D3CB8"/>
    <w:rsid w:val="008D3D7A"/>
    <w:rsid w:val="008D3DC3"/>
    <w:rsid w:val="008D3EA2"/>
    <w:rsid w:val="008D3EBE"/>
    <w:rsid w:val="008D3F06"/>
    <w:rsid w:val="008D3F6D"/>
    <w:rsid w:val="008D3F72"/>
    <w:rsid w:val="008D3FBB"/>
    <w:rsid w:val="008D409B"/>
    <w:rsid w:val="008D4151"/>
    <w:rsid w:val="008D4178"/>
    <w:rsid w:val="008D41CD"/>
    <w:rsid w:val="008D42F6"/>
    <w:rsid w:val="008D4348"/>
    <w:rsid w:val="008D4394"/>
    <w:rsid w:val="008D43C1"/>
    <w:rsid w:val="008D4486"/>
    <w:rsid w:val="008D4519"/>
    <w:rsid w:val="008D45C5"/>
    <w:rsid w:val="008D4688"/>
    <w:rsid w:val="008D46ED"/>
    <w:rsid w:val="008D470E"/>
    <w:rsid w:val="008D4841"/>
    <w:rsid w:val="008D487D"/>
    <w:rsid w:val="008D48AF"/>
    <w:rsid w:val="008D48DE"/>
    <w:rsid w:val="008D48E2"/>
    <w:rsid w:val="008D491C"/>
    <w:rsid w:val="008D4A39"/>
    <w:rsid w:val="008D4A9F"/>
    <w:rsid w:val="008D4BB2"/>
    <w:rsid w:val="008D4C66"/>
    <w:rsid w:val="008D4C6D"/>
    <w:rsid w:val="008D4DD9"/>
    <w:rsid w:val="008D4DFF"/>
    <w:rsid w:val="008D4E87"/>
    <w:rsid w:val="008D4E92"/>
    <w:rsid w:val="008D4EC8"/>
    <w:rsid w:val="008D4ED8"/>
    <w:rsid w:val="008D4EF8"/>
    <w:rsid w:val="008D4F74"/>
    <w:rsid w:val="008D4F8E"/>
    <w:rsid w:val="008D521F"/>
    <w:rsid w:val="008D5262"/>
    <w:rsid w:val="008D52D3"/>
    <w:rsid w:val="008D5320"/>
    <w:rsid w:val="008D53D9"/>
    <w:rsid w:val="008D5449"/>
    <w:rsid w:val="008D54DE"/>
    <w:rsid w:val="008D558C"/>
    <w:rsid w:val="008D5603"/>
    <w:rsid w:val="008D5811"/>
    <w:rsid w:val="008D5883"/>
    <w:rsid w:val="008D58BB"/>
    <w:rsid w:val="008D58EE"/>
    <w:rsid w:val="008D5900"/>
    <w:rsid w:val="008D59E3"/>
    <w:rsid w:val="008D5BFE"/>
    <w:rsid w:val="008D5C1A"/>
    <w:rsid w:val="008D5C1C"/>
    <w:rsid w:val="008D5C62"/>
    <w:rsid w:val="008D5D6F"/>
    <w:rsid w:val="008D5DFB"/>
    <w:rsid w:val="008D5DFD"/>
    <w:rsid w:val="008D5E94"/>
    <w:rsid w:val="008D5EA5"/>
    <w:rsid w:val="008D5EB5"/>
    <w:rsid w:val="008D5EEA"/>
    <w:rsid w:val="008D5FEA"/>
    <w:rsid w:val="008D6072"/>
    <w:rsid w:val="008D6171"/>
    <w:rsid w:val="008D619E"/>
    <w:rsid w:val="008D6223"/>
    <w:rsid w:val="008D6367"/>
    <w:rsid w:val="008D6389"/>
    <w:rsid w:val="008D639F"/>
    <w:rsid w:val="008D643D"/>
    <w:rsid w:val="008D6478"/>
    <w:rsid w:val="008D6493"/>
    <w:rsid w:val="008D64E8"/>
    <w:rsid w:val="008D6619"/>
    <w:rsid w:val="008D6647"/>
    <w:rsid w:val="008D667E"/>
    <w:rsid w:val="008D677F"/>
    <w:rsid w:val="008D6828"/>
    <w:rsid w:val="008D6852"/>
    <w:rsid w:val="008D6879"/>
    <w:rsid w:val="008D6893"/>
    <w:rsid w:val="008D689B"/>
    <w:rsid w:val="008D68A0"/>
    <w:rsid w:val="008D69A1"/>
    <w:rsid w:val="008D6AD0"/>
    <w:rsid w:val="008D6B3A"/>
    <w:rsid w:val="008D6B5C"/>
    <w:rsid w:val="008D6B73"/>
    <w:rsid w:val="008D6BDF"/>
    <w:rsid w:val="008D6C88"/>
    <w:rsid w:val="008D6CE6"/>
    <w:rsid w:val="008D6D30"/>
    <w:rsid w:val="008D6D32"/>
    <w:rsid w:val="008D6D7C"/>
    <w:rsid w:val="008D6DCD"/>
    <w:rsid w:val="008D6E32"/>
    <w:rsid w:val="008D6EF1"/>
    <w:rsid w:val="008D6F78"/>
    <w:rsid w:val="008D6FB1"/>
    <w:rsid w:val="008D7034"/>
    <w:rsid w:val="008D70B5"/>
    <w:rsid w:val="008D70C5"/>
    <w:rsid w:val="008D7139"/>
    <w:rsid w:val="008D7160"/>
    <w:rsid w:val="008D717A"/>
    <w:rsid w:val="008D71F1"/>
    <w:rsid w:val="008D721E"/>
    <w:rsid w:val="008D7274"/>
    <w:rsid w:val="008D72AB"/>
    <w:rsid w:val="008D737B"/>
    <w:rsid w:val="008D73A5"/>
    <w:rsid w:val="008D7468"/>
    <w:rsid w:val="008D74C9"/>
    <w:rsid w:val="008D7541"/>
    <w:rsid w:val="008D757F"/>
    <w:rsid w:val="008D75CE"/>
    <w:rsid w:val="008D767A"/>
    <w:rsid w:val="008D7687"/>
    <w:rsid w:val="008D76C1"/>
    <w:rsid w:val="008D7757"/>
    <w:rsid w:val="008D776C"/>
    <w:rsid w:val="008D7840"/>
    <w:rsid w:val="008D786E"/>
    <w:rsid w:val="008D78A6"/>
    <w:rsid w:val="008D78FE"/>
    <w:rsid w:val="008D7912"/>
    <w:rsid w:val="008D791B"/>
    <w:rsid w:val="008D7AED"/>
    <w:rsid w:val="008D7B02"/>
    <w:rsid w:val="008D7B64"/>
    <w:rsid w:val="008D7BBE"/>
    <w:rsid w:val="008D7BFB"/>
    <w:rsid w:val="008D7C0B"/>
    <w:rsid w:val="008D7C26"/>
    <w:rsid w:val="008D7C77"/>
    <w:rsid w:val="008D7CDB"/>
    <w:rsid w:val="008D7CF2"/>
    <w:rsid w:val="008D7CFA"/>
    <w:rsid w:val="008D7D07"/>
    <w:rsid w:val="008D7D2A"/>
    <w:rsid w:val="008D7E5A"/>
    <w:rsid w:val="008D7F13"/>
    <w:rsid w:val="008D7FE3"/>
    <w:rsid w:val="008E0029"/>
    <w:rsid w:val="008E0058"/>
    <w:rsid w:val="008E01E5"/>
    <w:rsid w:val="008E02BB"/>
    <w:rsid w:val="008E0367"/>
    <w:rsid w:val="008E037A"/>
    <w:rsid w:val="008E039B"/>
    <w:rsid w:val="008E03CB"/>
    <w:rsid w:val="008E03E3"/>
    <w:rsid w:val="008E043B"/>
    <w:rsid w:val="008E0485"/>
    <w:rsid w:val="008E05F7"/>
    <w:rsid w:val="008E0608"/>
    <w:rsid w:val="008E068D"/>
    <w:rsid w:val="008E06A8"/>
    <w:rsid w:val="008E0725"/>
    <w:rsid w:val="008E0738"/>
    <w:rsid w:val="008E07AC"/>
    <w:rsid w:val="008E07D8"/>
    <w:rsid w:val="008E087E"/>
    <w:rsid w:val="008E08E4"/>
    <w:rsid w:val="008E08F5"/>
    <w:rsid w:val="008E0A34"/>
    <w:rsid w:val="008E0A8C"/>
    <w:rsid w:val="008E0A95"/>
    <w:rsid w:val="008E0AD8"/>
    <w:rsid w:val="008E0AEC"/>
    <w:rsid w:val="008E0B62"/>
    <w:rsid w:val="008E0BCD"/>
    <w:rsid w:val="008E0BD8"/>
    <w:rsid w:val="008E0D1C"/>
    <w:rsid w:val="008E0D71"/>
    <w:rsid w:val="008E0DED"/>
    <w:rsid w:val="008E0EFA"/>
    <w:rsid w:val="008E0F0C"/>
    <w:rsid w:val="008E0F67"/>
    <w:rsid w:val="008E0FBE"/>
    <w:rsid w:val="008E101E"/>
    <w:rsid w:val="008E102D"/>
    <w:rsid w:val="008E116F"/>
    <w:rsid w:val="008E11C2"/>
    <w:rsid w:val="008E1299"/>
    <w:rsid w:val="008E141A"/>
    <w:rsid w:val="008E1486"/>
    <w:rsid w:val="008E148B"/>
    <w:rsid w:val="008E1497"/>
    <w:rsid w:val="008E1596"/>
    <w:rsid w:val="008E15E1"/>
    <w:rsid w:val="008E1667"/>
    <w:rsid w:val="008E16D7"/>
    <w:rsid w:val="008E176F"/>
    <w:rsid w:val="008E17C5"/>
    <w:rsid w:val="008E1802"/>
    <w:rsid w:val="008E1B0B"/>
    <w:rsid w:val="008E1BDE"/>
    <w:rsid w:val="008E1BEC"/>
    <w:rsid w:val="008E1D43"/>
    <w:rsid w:val="008E1D92"/>
    <w:rsid w:val="008E1D95"/>
    <w:rsid w:val="008E1EAB"/>
    <w:rsid w:val="008E1F35"/>
    <w:rsid w:val="008E2109"/>
    <w:rsid w:val="008E210B"/>
    <w:rsid w:val="008E2168"/>
    <w:rsid w:val="008E21BE"/>
    <w:rsid w:val="008E222B"/>
    <w:rsid w:val="008E227D"/>
    <w:rsid w:val="008E22DB"/>
    <w:rsid w:val="008E2360"/>
    <w:rsid w:val="008E2401"/>
    <w:rsid w:val="008E241B"/>
    <w:rsid w:val="008E2432"/>
    <w:rsid w:val="008E24D2"/>
    <w:rsid w:val="008E2563"/>
    <w:rsid w:val="008E2583"/>
    <w:rsid w:val="008E25E6"/>
    <w:rsid w:val="008E2661"/>
    <w:rsid w:val="008E2667"/>
    <w:rsid w:val="008E279B"/>
    <w:rsid w:val="008E281A"/>
    <w:rsid w:val="008E2877"/>
    <w:rsid w:val="008E28D4"/>
    <w:rsid w:val="008E291F"/>
    <w:rsid w:val="008E2952"/>
    <w:rsid w:val="008E29AE"/>
    <w:rsid w:val="008E2A63"/>
    <w:rsid w:val="008E2AA8"/>
    <w:rsid w:val="008E2B09"/>
    <w:rsid w:val="008E2B3B"/>
    <w:rsid w:val="008E2B91"/>
    <w:rsid w:val="008E2BA7"/>
    <w:rsid w:val="008E2C04"/>
    <w:rsid w:val="008E2C2A"/>
    <w:rsid w:val="008E2D52"/>
    <w:rsid w:val="008E2E80"/>
    <w:rsid w:val="008E2F1C"/>
    <w:rsid w:val="008E2FC7"/>
    <w:rsid w:val="008E2FD4"/>
    <w:rsid w:val="008E3005"/>
    <w:rsid w:val="008E3078"/>
    <w:rsid w:val="008E30FF"/>
    <w:rsid w:val="008E3201"/>
    <w:rsid w:val="008E328A"/>
    <w:rsid w:val="008E329A"/>
    <w:rsid w:val="008E32DB"/>
    <w:rsid w:val="008E3321"/>
    <w:rsid w:val="008E33A3"/>
    <w:rsid w:val="008E33F6"/>
    <w:rsid w:val="008E33FD"/>
    <w:rsid w:val="008E3416"/>
    <w:rsid w:val="008E3456"/>
    <w:rsid w:val="008E3475"/>
    <w:rsid w:val="008E35E0"/>
    <w:rsid w:val="008E3605"/>
    <w:rsid w:val="008E361D"/>
    <w:rsid w:val="008E3624"/>
    <w:rsid w:val="008E370A"/>
    <w:rsid w:val="008E375C"/>
    <w:rsid w:val="008E3938"/>
    <w:rsid w:val="008E3998"/>
    <w:rsid w:val="008E3A76"/>
    <w:rsid w:val="008E3A9C"/>
    <w:rsid w:val="008E3B42"/>
    <w:rsid w:val="008E3C0D"/>
    <w:rsid w:val="008E3C82"/>
    <w:rsid w:val="008E3D1B"/>
    <w:rsid w:val="008E3D48"/>
    <w:rsid w:val="008E3E11"/>
    <w:rsid w:val="008E3EA1"/>
    <w:rsid w:val="008E3F2A"/>
    <w:rsid w:val="008E41EC"/>
    <w:rsid w:val="008E4237"/>
    <w:rsid w:val="008E4286"/>
    <w:rsid w:val="008E4330"/>
    <w:rsid w:val="008E43CF"/>
    <w:rsid w:val="008E442F"/>
    <w:rsid w:val="008E44C0"/>
    <w:rsid w:val="008E44ED"/>
    <w:rsid w:val="008E4520"/>
    <w:rsid w:val="008E452A"/>
    <w:rsid w:val="008E455E"/>
    <w:rsid w:val="008E45B1"/>
    <w:rsid w:val="008E4607"/>
    <w:rsid w:val="008E471F"/>
    <w:rsid w:val="008E47B5"/>
    <w:rsid w:val="008E484D"/>
    <w:rsid w:val="008E486E"/>
    <w:rsid w:val="008E4917"/>
    <w:rsid w:val="008E495A"/>
    <w:rsid w:val="008E4977"/>
    <w:rsid w:val="008E4A84"/>
    <w:rsid w:val="008E4B55"/>
    <w:rsid w:val="008E4B92"/>
    <w:rsid w:val="008E4C0A"/>
    <w:rsid w:val="008E4D07"/>
    <w:rsid w:val="008E4E55"/>
    <w:rsid w:val="008E4E5D"/>
    <w:rsid w:val="008E5062"/>
    <w:rsid w:val="008E5068"/>
    <w:rsid w:val="008E509D"/>
    <w:rsid w:val="008E51EC"/>
    <w:rsid w:val="008E52CC"/>
    <w:rsid w:val="008E5318"/>
    <w:rsid w:val="008E5348"/>
    <w:rsid w:val="008E53C1"/>
    <w:rsid w:val="008E53EE"/>
    <w:rsid w:val="008E5486"/>
    <w:rsid w:val="008E5522"/>
    <w:rsid w:val="008E56C3"/>
    <w:rsid w:val="008E5721"/>
    <w:rsid w:val="008E577B"/>
    <w:rsid w:val="008E57D3"/>
    <w:rsid w:val="008E5829"/>
    <w:rsid w:val="008E585B"/>
    <w:rsid w:val="008E5880"/>
    <w:rsid w:val="008E58E8"/>
    <w:rsid w:val="008E5914"/>
    <w:rsid w:val="008E5A03"/>
    <w:rsid w:val="008E5A19"/>
    <w:rsid w:val="008E5A69"/>
    <w:rsid w:val="008E5ABA"/>
    <w:rsid w:val="008E5B11"/>
    <w:rsid w:val="008E5B17"/>
    <w:rsid w:val="008E5BBC"/>
    <w:rsid w:val="008E5C45"/>
    <w:rsid w:val="008E5CE4"/>
    <w:rsid w:val="008E5D1E"/>
    <w:rsid w:val="008E5D48"/>
    <w:rsid w:val="008E5E0E"/>
    <w:rsid w:val="008E5F7C"/>
    <w:rsid w:val="008E5FA7"/>
    <w:rsid w:val="008E60E2"/>
    <w:rsid w:val="008E615E"/>
    <w:rsid w:val="008E6227"/>
    <w:rsid w:val="008E6292"/>
    <w:rsid w:val="008E631F"/>
    <w:rsid w:val="008E63D5"/>
    <w:rsid w:val="008E6543"/>
    <w:rsid w:val="008E655B"/>
    <w:rsid w:val="008E663F"/>
    <w:rsid w:val="008E668B"/>
    <w:rsid w:val="008E6740"/>
    <w:rsid w:val="008E6807"/>
    <w:rsid w:val="008E688D"/>
    <w:rsid w:val="008E68C6"/>
    <w:rsid w:val="008E6A16"/>
    <w:rsid w:val="008E6A38"/>
    <w:rsid w:val="008E6A4F"/>
    <w:rsid w:val="008E6A74"/>
    <w:rsid w:val="008E6B44"/>
    <w:rsid w:val="008E6B7E"/>
    <w:rsid w:val="008E6B8D"/>
    <w:rsid w:val="008E6BE7"/>
    <w:rsid w:val="008E6BF9"/>
    <w:rsid w:val="008E6C40"/>
    <w:rsid w:val="008E6CB7"/>
    <w:rsid w:val="008E6CCF"/>
    <w:rsid w:val="008E6D07"/>
    <w:rsid w:val="008E6D09"/>
    <w:rsid w:val="008E6D20"/>
    <w:rsid w:val="008E6D4D"/>
    <w:rsid w:val="008E6D55"/>
    <w:rsid w:val="008E6E16"/>
    <w:rsid w:val="008E6E46"/>
    <w:rsid w:val="008E6E65"/>
    <w:rsid w:val="008E6EFE"/>
    <w:rsid w:val="008E6F41"/>
    <w:rsid w:val="008E6F5C"/>
    <w:rsid w:val="008E6F5D"/>
    <w:rsid w:val="008E6FF9"/>
    <w:rsid w:val="008E7096"/>
    <w:rsid w:val="008E70B9"/>
    <w:rsid w:val="008E711D"/>
    <w:rsid w:val="008E71D8"/>
    <w:rsid w:val="008E7257"/>
    <w:rsid w:val="008E726A"/>
    <w:rsid w:val="008E72F4"/>
    <w:rsid w:val="008E7330"/>
    <w:rsid w:val="008E7331"/>
    <w:rsid w:val="008E74DC"/>
    <w:rsid w:val="008E74F5"/>
    <w:rsid w:val="008E74FB"/>
    <w:rsid w:val="008E75A7"/>
    <w:rsid w:val="008E7753"/>
    <w:rsid w:val="008E782F"/>
    <w:rsid w:val="008E785F"/>
    <w:rsid w:val="008E78A7"/>
    <w:rsid w:val="008E78D7"/>
    <w:rsid w:val="008E79B7"/>
    <w:rsid w:val="008E7A31"/>
    <w:rsid w:val="008E7A77"/>
    <w:rsid w:val="008E7A7D"/>
    <w:rsid w:val="008E7B73"/>
    <w:rsid w:val="008E7B7E"/>
    <w:rsid w:val="008E7C49"/>
    <w:rsid w:val="008E7C60"/>
    <w:rsid w:val="008E7D71"/>
    <w:rsid w:val="008E7D96"/>
    <w:rsid w:val="008E7DBC"/>
    <w:rsid w:val="008E7EA5"/>
    <w:rsid w:val="008F0081"/>
    <w:rsid w:val="008F009F"/>
    <w:rsid w:val="008F00B8"/>
    <w:rsid w:val="008F015A"/>
    <w:rsid w:val="008F01A7"/>
    <w:rsid w:val="008F01BF"/>
    <w:rsid w:val="008F0246"/>
    <w:rsid w:val="008F0290"/>
    <w:rsid w:val="008F02E3"/>
    <w:rsid w:val="008F0354"/>
    <w:rsid w:val="008F03FB"/>
    <w:rsid w:val="008F040D"/>
    <w:rsid w:val="008F040E"/>
    <w:rsid w:val="008F0466"/>
    <w:rsid w:val="008F04AF"/>
    <w:rsid w:val="008F05E7"/>
    <w:rsid w:val="008F0609"/>
    <w:rsid w:val="008F0611"/>
    <w:rsid w:val="008F06C9"/>
    <w:rsid w:val="008F078C"/>
    <w:rsid w:val="008F084E"/>
    <w:rsid w:val="008F0898"/>
    <w:rsid w:val="008F0917"/>
    <w:rsid w:val="008F091B"/>
    <w:rsid w:val="008F09DB"/>
    <w:rsid w:val="008F09E5"/>
    <w:rsid w:val="008F0A16"/>
    <w:rsid w:val="008F0A6B"/>
    <w:rsid w:val="008F0AB4"/>
    <w:rsid w:val="008F0BEC"/>
    <w:rsid w:val="008F0BF2"/>
    <w:rsid w:val="008F0C20"/>
    <w:rsid w:val="008F0D46"/>
    <w:rsid w:val="008F0DD0"/>
    <w:rsid w:val="008F0DD8"/>
    <w:rsid w:val="008F0E88"/>
    <w:rsid w:val="008F0F5B"/>
    <w:rsid w:val="008F0F74"/>
    <w:rsid w:val="008F10B7"/>
    <w:rsid w:val="008F1139"/>
    <w:rsid w:val="008F116D"/>
    <w:rsid w:val="008F11B1"/>
    <w:rsid w:val="008F11C6"/>
    <w:rsid w:val="008F11CC"/>
    <w:rsid w:val="008F1211"/>
    <w:rsid w:val="008F1222"/>
    <w:rsid w:val="008F1244"/>
    <w:rsid w:val="008F12A7"/>
    <w:rsid w:val="008F130A"/>
    <w:rsid w:val="008F13C1"/>
    <w:rsid w:val="008F1415"/>
    <w:rsid w:val="008F148B"/>
    <w:rsid w:val="008F1497"/>
    <w:rsid w:val="008F14B2"/>
    <w:rsid w:val="008F1593"/>
    <w:rsid w:val="008F15FA"/>
    <w:rsid w:val="008F1611"/>
    <w:rsid w:val="008F16AF"/>
    <w:rsid w:val="008F17F7"/>
    <w:rsid w:val="008F180C"/>
    <w:rsid w:val="008F1868"/>
    <w:rsid w:val="008F186B"/>
    <w:rsid w:val="008F18AC"/>
    <w:rsid w:val="008F1906"/>
    <w:rsid w:val="008F1A77"/>
    <w:rsid w:val="008F1B4A"/>
    <w:rsid w:val="008F1C07"/>
    <w:rsid w:val="008F1C11"/>
    <w:rsid w:val="008F1C3E"/>
    <w:rsid w:val="008F1C45"/>
    <w:rsid w:val="008F1C76"/>
    <w:rsid w:val="008F1D00"/>
    <w:rsid w:val="008F1D0B"/>
    <w:rsid w:val="008F1D14"/>
    <w:rsid w:val="008F1DDA"/>
    <w:rsid w:val="008F1DF2"/>
    <w:rsid w:val="008F1ECA"/>
    <w:rsid w:val="008F1ED0"/>
    <w:rsid w:val="008F1F59"/>
    <w:rsid w:val="008F1F91"/>
    <w:rsid w:val="008F1FF8"/>
    <w:rsid w:val="008F206A"/>
    <w:rsid w:val="008F20FC"/>
    <w:rsid w:val="008F210B"/>
    <w:rsid w:val="008F214D"/>
    <w:rsid w:val="008F215F"/>
    <w:rsid w:val="008F220F"/>
    <w:rsid w:val="008F23EB"/>
    <w:rsid w:val="008F24AB"/>
    <w:rsid w:val="008F2564"/>
    <w:rsid w:val="008F25B5"/>
    <w:rsid w:val="008F26FE"/>
    <w:rsid w:val="008F27A6"/>
    <w:rsid w:val="008F28CA"/>
    <w:rsid w:val="008F2911"/>
    <w:rsid w:val="008F2930"/>
    <w:rsid w:val="008F2AA6"/>
    <w:rsid w:val="008F2BD6"/>
    <w:rsid w:val="008F2D0C"/>
    <w:rsid w:val="008F2D8E"/>
    <w:rsid w:val="008F2E2A"/>
    <w:rsid w:val="008F2E78"/>
    <w:rsid w:val="008F2E91"/>
    <w:rsid w:val="008F2EBA"/>
    <w:rsid w:val="008F2ED7"/>
    <w:rsid w:val="008F2F42"/>
    <w:rsid w:val="008F2FA4"/>
    <w:rsid w:val="008F2FC4"/>
    <w:rsid w:val="008F303B"/>
    <w:rsid w:val="008F3096"/>
    <w:rsid w:val="008F30EB"/>
    <w:rsid w:val="008F3107"/>
    <w:rsid w:val="008F3168"/>
    <w:rsid w:val="008F31C5"/>
    <w:rsid w:val="008F3283"/>
    <w:rsid w:val="008F3393"/>
    <w:rsid w:val="008F33CD"/>
    <w:rsid w:val="008F35F1"/>
    <w:rsid w:val="008F367A"/>
    <w:rsid w:val="008F36C8"/>
    <w:rsid w:val="008F3723"/>
    <w:rsid w:val="008F38DC"/>
    <w:rsid w:val="008F3997"/>
    <w:rsid w:val="008F39AD"/>
    <w:rsid w:val="008F39C9"/>
    <w:rsid w:val="008F3A0A"/>
    <w:rsid w:val="008F3A40"/>
    <w:rsid w:val="008F3AAF"/>
    <w:rsid w:val="008F3AC1"/>
    <w:rsid w:val="008F3B8B"/>
    <w:rsid w:val="008F3BDA"/>
    <w:rsid w:val="008F3D72"/>
    <w:rsid w:val="008F3DE9"/>
    <w:rsid w:val="008F3E3B"/>
    <w:rsid w:val="008F4094"/>
    <w:rsid w:val="008F4120"/>
    <w:rsid w:val="008F4154"/>
    <w:rsid w:val="008F431C"/>
    <w:rsid w:val="008F4350"/>
    <w:rsid w:val="008F435E"/>
    <w:rsid w:val="008F455B"/>
    <w:rsid w:val="008F468A"/>
    <w:rsid w:val="008F468F"/>
    <w:rsid w:val="008F46D1"/>
    <w:rsid w:val="008F4760"/>
    <w:rsid w:val="008F477E"/>
    <w:rsid w:val="008F4913"/>
    <w:rsid w:val="008F492E"/>
    <w:rsid w:val="008F495F"/>
    <w:rsid w:val="008F4A0B"/>
    <w:rsid w:val="008F4EB6"/>
    <w:rsid w:val="008F4EE9"/>
    <w:rsid w:val="008F4F36"/>
    <w:rsid w:val="008F4FD8"/>
    <w:rsid w:val="008F50C6"/>
    <w:rsid w:val="008F518D"/>
    <w:rsid w:val="008F51F5"/>
    <w:rsid w:val="008F5241"/>
    <w:rsid w:val="008F528E"/>
    <w:rsid w:val="008F5391"/>
    <w:rsid w:val="008F53F9"/>
    <w:rsid w:val="008F5516"/>
    <w:rsid w:val="008F5674"/>
    <w:rsid w:val="008F5699"/>
    <w:rsid w:val="008F5745"/>
    <w:rsid w:val="008F575E"/>
    <w:rsid w:val="008F57E8"/>
    <w:rsid w:val="008F58ED"/>
    <w:rsid w:val="008F5988"/>
    <w:rsid w:val="008F5991"/>
    <w:rsid w:val="008F59A9"/>
    <w:rsid w:val="008F59F2"/>
    <w:rsid w:val="008F5A1D"/>
    <w:rsid w:val="008F5A93"/>
    <w:rsid w:val="008F5B2F"/>
    <w:rsid w:val="008F5BD6"/>
    <w:rsid w:val="008F5BE5"/>
    <w:rsid w:val="008F5BEE"/>
    <w:rsid w:val="008F5BF4"/>
    <w:rsid w:val="008F5C36"/>
    <w:rsid w:val="008F5C47"/>
    <w:rsid w:val="008F5CAA"/>
    <w:rsid w:val="008F5CEB"/>
    <w:rsid w:val="008F5E17"/>
    <w:rsid w:val="008F5E4B"/>
    <w:rsid w:val="008F5E6B"/>
    <w:rsid w:val="008F5E92"/>
    <w:rsid w:val="008F5EAA"/>
    <w:rsid w:val="008F6041"/>
    <w:rsid w:val="008F60C8"/>
    <w:rsid w:val="008F61B5"/>
    <w:rsid w:val="008F6204"/>
    <w:rsid w:val="008F6279"/>
    <w:rsid w:val="008F63C6"/>
    <w:rsid w:val="008F6514"/>
    <w:rsid w:val="008F6553"/>
    <w:rsid w:val="008F6633"/>
    <w:rsid w:val="008F665D"/>
    <w:rsid w:val="008F666B"/>
    <w:rsid w:val="008F667E"/>
    <w:rsid w:val="008F66EB"/>
    <w:rsid w:val="008F675A"/>
    <w:rsid w:val="008F681A"/>
    <w:rsid w:val="008F6898"/>
    <w:rsid w:val="008F6921"/>
    <w:rsid w:val="008F695C"/>
    <w:rsid w:val="008F69D2"/>
    <w:rsid w:val="008F6A7E"/>
    <w:rsid w:val="008F6B82"/>
    <w:rsid w:val="008F6C20"/>
    <w:rsid w:val="008F6C8C"/>
    <w:rsid w:val="008F6D21"/>
    <w:rsid w:val="008F6D2E"/>
    <w:rsid w:val="008F6D4B"/>
    <w:rsid w:val="008F6DB1"/>
    <w:rsid w:val="008F6DB4"/>
    <w:rsid w:val="008F6E98"/>
    <w:rsid w:val="008F6F0B"/>
    <w:rsid w:val="008F6FB6"/>
    <w:rsid w:val="008F7054"/>
    <w:rsid w:val="008F70BE"/>
    <w:rsid w:val="008F711C"/>
    <w:rsid w:val="008F73EF"/>
    <w:rsid w:val="008F7419"/>
    <w:rsid w:val="008F75BD"/>
    <w:rsid w:val="008F75D5"/>
    <w:rsid w:val="008F75DB"/>
    <w:rsid w:val="008F75F3"/>
    <w:rsid w:val="008F7610"/>
    <w:rsid w:val="008F7647"/>
    <w:rsid w:val="008F766C"/>
    <w:rsid w:val="008F7777"/>
    <w:rsid w:val="008F7813"/>
    <w:rsid w:val="008F7887"/>
    <w:rsid w:val="008F797E"/>
    <w:rsid w:val="008F79A0"/>
    <w:rsid w:val="008F7A59"/>
    <w:rsid w:val="008F7ABD"/>
    <w:rsid w:val="008F7B93"/>
    <w:rsid w:val="008F7B99"/>
    <w:rsid w:val="008F7C3E"/>
    <w:rsid w:val="008F7CFE"/>
    <w:rsid w:val="008F7D48"/>
    <w:rsid w:val="008F7D77"/>
    <w:rsid w:val="008F7E33"/>
    <w:rsid w:val="008F7E4D"/>
    <w:rsid w:val="008F7EBF"/>
    <w:rsid w:val="008F7EDF"/>
    <w:rsid w:val="008F7EEB"/>
    <w:rsid w:val="008F7F13"/>
    <w:rsid w:val="008F7FFD"/>
    <w:rsid w:val="0090003E"/>
    <w:rsid w:val="009000D6"/>
    <w:rsid w:val="009000DF"/>
    <w:rsid w:val="009001CC"/>
    <w:rsid w:val="0090026F"/>
    <w:rsid w:val="00900359"/>
    <w:rsid w:val="00900390"/>
    <w:rsid w:val="009003DF"/>
    <w:rsid w:val="0090045F"/>
    <w:rsid w:val="009004BB"/>
    <w:rsid w:val="00900575"/>
    <w:rsid w:val="00900642"/>
    <w:rsid w:val="0090065E"/>
    <w:rsid w:val="00900662"/>
    <w:rsid w:val="00900667"/>
    <w:rsid w:val="009006A7"/>
    <w:rsid w:val="0090077A"/>
    <w:rsid w:val="009007C9"/>
    <w:rsid w:val="009007D4"/>
    <w:rsid w:val="009007E1"/>
    <w:rsid w:val="009007E4"/>
    <w:rsid w:val="00900808"/>
    <w:rsid w:val="0090082B"/>
    <w:rsid w:val="00900895"/>
    <w:rsid w:val="00900935"/>
    <w:rsid w:val="00900A08"/>
    <w:rsid w:val="00900A3F"/>
    <w:rsid w:val="00900A88"/>
    <w:rsid w:val="00900AC0"/>
    <w:rsid w:val="00900AC8"/>
    <w:rsid w:val="00900BC0"/>
    <w:rsid w:val="00900BE4"/>
    <w:rsid w:val="00900C22"/>
    <w:rsid w:val="00900C60"/>
    <w:rsid w:val="00900FDC"/>
    <w:rsid w:val="00901007"/>
    <w:rsid w:val="009012F2"/>
    <w:rsid w:val="00901397"/>
    <w:rsid w:val="00901496"/>
    <w:rsid w:val="00901541"/>
    <w:rsid w:val="00901616"/>
    <w:rsid w:val="009016DE"/>
    <w:rsid w:val="00901725"/>
    <w:rsid w:val="0090189D"/>
    <w:rsid w:val="0090194A"/>
    <w:rsid w:val="009019E0"/>
    <w:rsid w:val="009019E2"/>
    <w:rsid w:val="00901B0B"/>
    <w:rsid w:val="00901BA0"/>
    <w:rsid w:val="00901BA6"/>
    <w:rsid w:val="00901C9F"/>
    <w:rsid w:val="00901CC5"/>
    <w:rsid w:val="00901DDD"/>
    <w:rsid w:val="00901DE9"/>
    <w:rsid w:val="00901E7E"/>
    <w:rsid w:val="00901E8C"/>
    <w:rsid w:val="00901E95"/>
    <w:rsid w:val="00901FC1"/>
    <w:rsid w:val="0090214D"/>
    <w:rsid w:val="00902169"/>
    <w:rsid w:val="009021E1"/>
    <w:rsid w:val="00902226"/>
    <w:rsid w:val="00902257"/>
    <w:rsid w:val="00902455"/>
    <w:rsid w:val="009024E7"/>
    <w:rsid w:val="00902649"/>
    <w:rsid w:val="009026F3"/>
    <w:rsid w:val="009027D1"/>
    <w:rsid w:val="009028EC"/>
    <w:rsid w:val="009028F8"/>
    <w:rsid w:val="00902934"/>
    <w:rsid w:val="0090296D"/>
    <w:rsid w:val="009029A4"/>
    <w:rsid w:val="00902A75"/>
    <w:rsid w:val="00902A88"/>
    <w:rsid w:val="00902AAE"/>
    <w:rsid w:val="00902ADF"/>
    <w:rsid w:val="00902CA3"/>
    <w:rsid w:val="00902DCD"/>
    <w:rsid w:val="00902F4B"/>
    <w:rsid w:val="00902FD1"/>
    <w:rsid w:val="00902FD5"/>
    <w:rsid w:val="00902FFC"/>
    <w:rsid w:val="00903007"/>
    <w:rsid w:val="0090306D"/>
    <w:rsid w:val="009030AD"/>
    <w:rsid w:val="00903104"/>
    <w:rsid w:val="00903117"/>
    <w:rsid w:val="009031EB"/>
    <w:rsid w:val="0090322B"/>
    <w:rsid w:val="0090325F"/>
    <w:rsid w:val="00903271"/>
    <w:rsid w:val="009032FD"/>
    <w:rsid w:val="009033C4"/>
    <w:rsid w:val="00903409"/>
    <w:rsid w:val="009034AB"/>
    <w:rsid w:val="009035F7"/>
    <w:rsid w:val="00903602"/>
    <w:rsid w:val="0090360D"/>
    <w:rsid w:val="00903640"/>
    <w:rsid w:val="00903644"/>
    <w:rsid w:val="00903688"/>
    <w:rsid w:val="00903782"/>
    <w:rsid w:val="00903793"/>
    <w:rsid w:val="0090381E"/>
    <w:rsid w:val="009039A3"/>
    <w:rsid w:val="00903A58"/>
    <w:rsid w:val="00903C35"/>
    <w:rsid w:val="00903D9E"/>
    <w:rsid w:val="00903DCC"/>
    <w:rsid w:val="00903E91"/>
    <w:rsid w:val="00903EC3"/>
    <w:rsid w:val="00903EDB"/>
    <w:rsid w:val="00903F8A"/>
    <w:rsid w:val="00903FB1"/>
    <w:rsid w:val="00903FCE"/>
    <w:rsid w:val="00904008"/>
    <w:rsid w:val="00904063"/>
    <w:rsid w:val="0090411A"/>
    <w:rsid w:val="0090418C"/>
    <w:rsid w:val="009041C1"/>
    <w:rsid w:val="009041E8"/>
    <w:rsid w:val="009042E3"/>
    <w:rsid w:val="0090440A"/>
    <w:rsid w:val="00904482"/>
    <w:rsid w:val="009044BB"/>
    <w:rsid w:val="00904523"/>
    <w:rsid w:val="00904565"/>
    <w:rsid w:val="00904737"/>
    <w:rsid w:val="0090478F"/>
    <w:rsid w:val="009047BC"/>
    <w:rsid w:val="009047C1"/>
    <w:rsid w:val="009047E6"/>
    <w:rsid w:val="009047FE"/>
    <w:rsid w:val="00904881"/>
    <w:rsid w:val="009048D9"/>
    <w:rsid w:val="00904900"/>
    <w:rsid w:val="00904948"/>
    <w:rsid w:val="00904969"/>
    <w:rsid w:val="00904A19"/>
    <w:rsid w:val="00904A96"/>
    <w:rsid w:val="00904B39"/>
    <w:rsid w:val="00904B50"/>
    <w:rsid w:val="00904B5B"/>
    <w:rsid w:val="00904C2D"/>
    <w:rsid w:val="00904C3A"/>
    <w:rsid w:val="00904CBE"/>
    <w:rsid w:val="00904D61"/>
    <w:rsid w:val="00904DBD"/>
    <w:rsid w:val="00904DDE"/>
    <w:rsid w:val="00904E88"/>
    <w:rsid w:val="00904EF1"/>
    <w:rsid w:val="00904F53"/>
    <w:rsid w:val="00904FA3"/>
    <w:rsid w:val="0090517A"/>
    <w:rsid w:val="0090519C"/>
    <w:rsid w:val="009051C8"/>
    <w:rsid w:val="009051CA"/>
    <w:rsid w:val="00905204"/>
    <w:rsid w:val="00905263"/>
    <w:rsid w:val="009054E6"/>
    <w:rsid w:val="0090552B"/>
    <w:rsid w:val="00905607"/>
    <w:rsid w:val="00905614"/>
    <w:rsid w:val="00905792"/>
    <w:rsid w:val="00905814"/>
    <w:rsid w:val="0090581D"/>
    <w:rsid w:val="00905864"/>
    <w:rsid w:val="009058A0"/>
    <w:rsid w:val="0090590D"/>
    <w:rsid w:val="00905939"/>
    <w:rsid w:val="00905AB6"/>
    <w:rsid w:val="00905ACE"/>
    <w:rsid w:val="00905B1B"/>
    <w:rsid w:val="00905B9A"/>
    <w:rsid w:val="00905BAB"/>
    <w:rsid w:val="00905BC6"/>
    <w:rsid w:val="00905C56"/>
    <w:rsid w:val="00905C76"/>
    <w:rsid w:val="00905CC8"/>
    <w:rsid w:val="00905D4A"/>
    <w:rsid w:val="00905E8B"/>
    <w:rsid w:val="0090608A"/>
    <w:rsid w:val="009060BD"/>
    <w:rsid w:val="009060CD"/>
    <w:rsid w:val="0090612E"/>
    <w:rsid w:val="009061C9"/>
    <w:rsid w:val="009062B5"/>
    <w:rsid w:val="009062E6"/>
    <w:rsid w:val="00906387"/>
    <w:rsid w:val="009063E9"/>
    <w:rsid w:val="009064A9"/>
    <w:rsid w:val="0090654F"/>
    <w:rsid w:val="00906576"/>
    <w:rsid w:val="009065BA"/>
    <w:rsid w:val="00906613"/>
    <w:rsid w:val="00906631"/>
    <w:rsid w:val="00906773"/>
    <w:rsid w:val="009067B6"/>
    <w:rsid w:val="00906837"/>
    <w:rsid w:val="0090685C"/>
    <w:rsid w:val="00906873"/>
    <w:rsid w:val="00906999"/>
    <w:rsid w:val="00906A8D"/>
    <w:rsid w:val="00906AA5"/>
    <w:rsid w:val="00906AB7"/>
    <w:rsid w:val="00906B01"/>
    <w:rsid w:val="00906B05"/>
    <w:rsid w:val="00906B54"/>
    <w:rsid w:val="00906BD4"/>
    <w:rsid w:val="00906BF0"/>
    <w:rsid w:val="00906C46"/>
    <w:rsid w:val="00906C88"/>
    <w:rsid w:val="00906C9D"/>
    <w:rsid w:val="00906CC9"/>
    <w:rsid w:val="00906DA9"/>
    <w:rsid w:val="00906E4B"/>
    <w:rsid w:val="00906E61"/>
    <w:rsid w:val="00906ED7"/>
    <w:rsid w:val="0090703E"/>
    <w:rsid w:val="009071B9"/>
    <w:rsid w:val="00907248"/>
    <w:rsid w:val="0090748B"/>
    <w:rsid w:val="009074F4"/>
    <w:rsid w:val="00907550"/>
    <w:rsid w:val="009075FF"/>
    <w:rsid w:val="00907634"/>
    <w:rsid w:val="00907637"/>
    <w:rsid w:val="009076BB"/>
    <w:rsid w:val="009076C8"/>
    <w:rsid w:val="009076EB"/>
    <w:rsid w:val="009076F4"/>
    <w:rsid w:val="00907713"/>
    <w:rsid w:val="00907799"/>
    <w:rsid w:val="0090781A"/>
    <w:rsid w:val="00907856"/>
    <w:rsid w:val="00907933"/>
    <w:rsid w:val="00907963"/>
    <w:rsid w:val="00907AFB"/>
    <w:rsid w:val="00907B54"/>
    <w:rsid w:val="00907C0C"/>
    <w:rsid w:val="00907D73"/>
    <w:rsid w:val="00907E3C"/>
    <w:rsid w:val="00907E5F"/>
    <w:rsid w:val="00907E74"/>
    <w:rsid w:val="00907F45"/>
    <w:rsid w:val="00910061"/>
    <w:rsid w:val="009100DA"/>
    <w:rsid w:val="009100FF"/>
    <w:rsid w:val="009102B6"/>
    <w:rsid w:val="009102EB"/>
    <w:rsid w:val="00910382"/>
    <w:rsid w:val="009103B7"/>
    <w:rsid w:val="00910468"/>
    <w:rsid w:val="009104DF"/>
    <w:rsid w:val="009105BB"/>
    <w:rsid w:val="009105F7"/>
    <w:rsid w:val="0091069E"/>
    <w:rsid w:val="009107DC"/>
    <w:rsid w:val="00910966"/>
    <w:rsid w:val="0091099B"/>
    <w:rsid w:val="009109B6"/>
    <w:rsid w:val="00910A92"/>
    <w:rsid w:val="00910AF3"/>
    <w:rsid w:val="00910B55"/>
    <w:rsid w:val="00910BDE"/>
    <w:rsid w:val="00910BFB"/>
    <w:rsid w:val="00910CA7"/>
    <w:rsid w:val="00910E01"/>
    <w:rsid w:val="00910E11"/>
    <w:rsid w:val="00910E47"/>
    <w:rsid w:val="00910F20"/>
    <w:rsid w:val="0091106C"/>
    <w:rsid w:val="009111E7"/>
    <w:rsid w:val="00911200"/>
    <w:rsid w:val="00911235"/>
    <w:rsid w:val="0091129E"/>
    <w:rsid w:val="009112AA"/>
    <w:rsid w:val="009112D0"/>
    <w:rsid w:val="00911390"/>
    <w:rsid w:val="00911392"/>
    <w:rsid w:val="00911478"/>
    <w:rsid w:val="009114BA"/>
    <w:rsid w:val="00911555"/>
    <w:rsid w:val="009115A6"/>
    <w:rsid w:val="009115F6"/>
    <w:rsid w:val="009115FB"/>
    <w:rsid w:val="00911618"/>
    <w:rsid w:val="009116B7"/>
    <w:rsid w:val="00911732"/>
    <w:rsid w:val="0091177A"/>
    <w:rsid w:val="00911789"/>
    <w:rsid w:val="009117A7"/>
    <w:rsid w:val="00911890"/>
    <w:rsid w:val="0091199A"/>
    <w:rsid w:val="009119ED"/>
    <w:rsid w:val="00911A1F"/>
    <w:rsid w:val="00911AC6"/>
    <w:rsid w:val="00911B64"/>
    <w:rsid w:val="00911B96"/>
    <w:rsid w:val="00911D3D"/>
    <w:rsid w:val="00911EB1"/>
    <w:rsid w:val="00911FE6"/>
    <w:rsid w:val="009120F3"/>
    <w:rsid w:val="009121DB"/>
    <w:rsid w:val="00912236"/>
    <w:rsid w:val="00912242"/>
    <w:rsid w:val="00912253"/>
    <w:rsid w:val="009123E1"/>
    <w:rsid w:val="00912430"/>
    <w:rsid w:val="009124B0"/>
    <w:rsid w:val="00912566"/>
    <w:rsid w:val="00912574"/>
    <w:rsid w:val="009125A9"/>
    <w:rsid w:val="009125DC"/>
    <w:rsid w:val="0091269E"/>
    <w:rsid w:val="0091278F"/>
    <w:rsid w:val="00912803"/>
    <w:rsid w:val="00912973"/>
    <w:rsid w:val="00912980"/>
    <w:rsid w:val="00912A47"/>
    <w:rsid w:val="00912A8E"/>
    <w:rsid w:val="00912ABD"/>
    <w:rsid w:val="00912AE5"/>
    <w:rsid w:val="00912B09"/>
    <w:rsid w:val="00912BC1"/>
    <w:rsid w:val="00912C6E"/>
    <w:rsid w:val="00912D2F"/>
    <w:rsid w:val="00912D4C"/>
    <w:rsid w:val="00912EAB"/>
    <w:rsid w:val="009130BF"/>
    <w:rsid w:val="009130D4"/>
    <w:rsid w:val="009130FF"/>
    <w:rsid w:val="00913146"/>
    <w:rsid w:val="00913163"/>
    <w:rsid w:val="009131F5"/>
    <w:rsid w:val="009133BC"/>
    <w:rsid w:val="0091341F"/>
    <w:rsid w:val="0091348F"/>
    <w:rsid w:val="00913680"/>
    <w:rsid w:val="00913716"/>
    <w:rsid w:val="009138CA"/>
    <w:rsid w:val="009138DF"/>
    <w:rsid w:val="009138EE"/>
    <w:rsid w:val="00913991"/>
    <w:rsid w:val="009139A2"/>
    <w:rsid w:val="009139ED"/>
    <w:rsid w:val="00913A4D"/>
    <w:rsid w:val="00913A82"/>
    <w:rsid w:val="00913A99"/>
    <w:rsid w:val="00913C89"/>
    <w:rsid w:val="00913C9A"/>
    <w:rsid w:val="00913D70"/>
    <w:rsid w:val="00913E1F"/>
    <w:rsid w:val="00913E95"/>
    <w:rsid w:val="00913E96"/>
    <w:rsid w:val="00913E99"/>
    <w:rsid w:val="00913ED4"/>
    <w:rsid w:val="0091405D"/>
    <w:rsid w:val="00914065"/>
    <w:rsid w:val="0091410A"/>
    <w:rsid w:val="00914116"/>
    <w:rsid w:val="0091415B"/>
    <w:rsid w:val="009141A5"/>
    <w:rsid w:val="00914203"/>
    <w:rsid w:val="00914222"/>
    <w:rsid w:val="00914264"/>
    <w:rsid w:val="00914276"/>
    <w:rsid w:val="009142C2"/>
    <w:rsid w:val="009142DE"/>
    <w:rsid w:val="009142EA"/>
    <w:rsid w:val="009143A3"/>
    <w:rsid w:val="009143B4"/>
    <w:rsid w:val="00914429"/>
    <w:rsid w:val="009144C5"/>
    <w:rsid w:val="0091456F"/>
    <w:rsid w:val="00914570"/>
    <w:rsid w:val="0091458F"/>
    <w:rsid w:val="00914638"/>
    <w:rsid w:val="00914665"/>
    <w:rsid w:val="00914781"/>
    <w:rsid w:val="0091481F"/>
    <w:rsid w:val="00914875"/>
    <w:rsid w:val="009148BA"/>
    <w:rsid w:val="00914979"/>
    <w:rsid w:val="009149C9"/>
    <w:rsid w:val="00914A75"/>
    <w:rsid w:val="00914AE8"/>
    <w:rsid w:val="00914B71"/>
    <w:rsid w:val="00914BB2"/>
    <w:rsid w:val="00914C64"/>
    <w:rsid w:val="00914D81"/>
    <w:rsid w:val="00914DCA"/>
    <w:rsid w:val="00914DCF"/>
    <w:rsid w:val="00914E24"/>
    <w:rsid w:val="00914E2A"/>
    <w:rsid w:val="00914E5D"/>
    <w:rsid w:val="00914EDB"/>
    <w:rsid w:val="00914F0F"/>
    <w:rsid w:val="00914F1E"/>
    <w:rsid w:val="00914F6D"/>
    <w:rsid w:val="00914F95"/>
    <w:rsid w:val="00914FA2"/>
    <w:rsid w:val="009150A9"/>
    <w:rsid w:val="009150D4"/>
    <w:rsid w:val="009151B0"/>
    <w:rsid w:val="00915283"/>
    <w:rsid w:val="009152B9"/>
    <w:rsid w:val="009153F2"/>
    <w:rsid w:val="0091545E"/>
    <w:rsid w:val="0091547C"/>
    <w:rsid w:val="0091553A"/>
    <w:rsid w:val="0091558F"/>
    <w:rsid w:val="00915630"/>
    <w:rsid w:val="009157CA"/>
    <w:rsid w:val="009157CD"/>
    <w:rsid w:val="009157E8"/>
    <w:rsid w:val="009158AF"/>
    <w:rsid w:val="009158BB"/>
    <w:rsid w:val="00915916"/>
    <w:rsid w:val="009159AB"/>
    <w:rsid w:val="009159E3"/>
    <w:rsid w:val="00915AA7"/>
    <w:rsid w:val="00915B4B"/>
    <w:rsid w:val="00915BA4"/>
    <w:rsid w:val="00915C76"/>
    <w:rsid w:val="00915CB6"/>
    <w:rsid w:val="00915CF5"/>
    <w:rsid w:val="00915D0D"/>
    <w:rsid w:val="00915D11"/>
    <w:rsid w:val="00915D33"/>
    <w:rsid w:val="00915E33"/>
    <w:rsid w:val="00915EC3"/>
    <w:rsid w:val="00915F35"/>
    <w:rsid w:val="00915F79"/>
    <w:rsid w:val="00915FEF"/>
    <w:rsid w:val="0091606A"/>
    <w:rsid w:val="009160B4"/>
    <w:rsid w:val="009160E3"/>
    <w:rsid w:val="00916111"/>
    <w:rsid w:val="009161D6"/>
    <w:rsid w:val="009161E9"/>
    <w:rsid w:val="009162F1"/>
    <w:rsid w:val="009162F3"/>
    <w:rsid w:val="00916373"/>
    <w:rsid w:val="00916388"/>
    <w:rsid w:val="009163C4"/>
    <w:rsid w:val="00916466"/>
    <w:rsid w:val="0091649D"/>
    <w:rsid w:val="00916519"/>
    <w:rsid w:val="009165AA"/>
    <w:rsid w:val="0091667B"/>
    <w:rsid w:val="009166E8"/>
    <w:rsid w:val="00916776"/>
    <w:rsid w:val="0091679F"/>
    <w:rsid w:val="00916880"/>
    <w:rsid w:val="00916964"/>
    <w:rsid w:val="00916A16"/>
    <w:rsid w:val="00916A89"/>
    <w:rsid w:val="00916AB1"/>
    <w:rsid w:val="00916C52"/>
    <w:rsid w:val="00916C65"/>
    <w:rsid w:val="00916CFF"/>
    <w:rsid w:val="00916D05"/>
    <w:rsid w:val="00916E0D"/>
    <w:rsid w:val="00916E83"/>
    <w:rsid w:val="00916EF2"/>
    <w:rsid w:val="00916F3B"/>
    <w:rsid w:val="00916F3E"/>
    <w:rsid w:val="00917001"/>
    <w:rsid w:val="00917012"/>
    <w:rsid w:val="0091709D"/>
    <w:rsid w:val="00917110"/>
    <w:rsid w:val="0091716C"/>
    <w:rsid w:val="009172AC"/>
    <w:rsid w:val="009172D4"/>
    <w:rsid w:val="00917399"/>
    <w:rsid w:val="009173A6"/>
    <w:rsid w:val="009173AD"/>
    <w:rsid w:val="009173DC"/>
    <w:rsid w:val="0091744A"/>
    <w:rsid w:val="00917462"/>
    <w:rsid w:val="009175A6"/>
    <w:rsid w:val="009175C2"/>
    <w:rsid w:val="009176D6"/>
    <w:rsid w:val="0091779A"/>
    <w:rsid w:val="00917834"/>
    <w:rsid w:val="00917865"/>
    <w:rsid w:val="00917867"/>
    <w:rsid w:val="00917883"/>
    <w:rsid w:val="009178B7"/>
    <w:rsid w:val="00917999"/>
    <w:rsid w:val="00917A30"/>
    <w:rsid w:val="00917B14"/>
    <w:rsid w:val="00917B3A"/>
    <w:rsid w:val="00917C23"/>
    <w:rsid w:val="00917CEF"/>
    <w:rsid w:val="00917CF1"/>
    <w:rsid w:val="00917E28"/>
    <w:rsid w:val="00917F06"/>
    <w:rsid w:val="00917FF3"/>
    <w:rsid w:val="00920003"/>
    <w:rsid w:val="00920056"/>
    <w:rsid w:val="0092006A"/>
    <w:rsid w:val="0092008C"/>
    <w:rsid w:val="009200C1"/>
    <w:rsid w:val="009200EE"/>
    <w:rsid w:val="0092025C"/>
    <w:rsid w:val="009202C6"/>
    <w:rsid w:val="009202ED"/>
    <w:rsid w:val="00920308"/>
    <w:rsid w:val="0092042D"/>
    <w:rsid w:val="00920432"/>
    <w:rsid w:val="00920441"/>
    <w:rsid w:val="0092049E"/>
    <w:rsid w:val="009204F4"/>
    <w:rsid w:val="00920569"/>
    <w:rsid w:val="00920596"/>
    <w:rsid w:val="009205D8"/>
    <w:rsid w:val="009206D5"/>
    <w:rsid w:val="009207B6"/>
    <w:rsid w:val="009207DB"/>
    <w:rsid w:val="009207EE"/>
    <w:rsid w:val="009208AD"/>
    <w:rsid w:val="009208AE"/>
    <w:rsid w:val="009208BC"/>
    <w:rsid w:val="00920937"/>
    <w:rsid w:val="009209ED"/>
    <w:rsid w:val="00920A57"/>
    <w:rsid w:val="00920AAD"/>
    <w:rsid w:val="00920ACB"/>
    <w:rsid w:val="00920AE1"/>
    <w:rsid w:val="00920B41"/>
    <w:rsid w:val="00920BD7"/>
    <w:rsid w:val="00920C62"/>
    <w:rsid w:val="00920DC5"/>
    <w:rsid w:val="00920DCF"/>
    <w:rsid w:val="00920E1B"/>
    <w:rsid w:val="00920E2C"/>
    <w:rsid w:val="00920E71"/>
    <w:rsid w:val="00920F1F"/>
    <w:rsid w:val="00920F5C"/>
    <w:rsid w:val="00921065"/>
    <w:rsid w:val="0092115E"/>
    <w:rsid w:val="009211E1"/>
    <w:rsid w:val="009211FA"/>
    <w:rsid w:val="009212BC"/>
    <w:rsid w:val="009212CE"/>
    <w:rsid w:val="00921306"/>
    <w:rsid w:val="009213E6"/>
    <w:rsid w:val="009213F3"/>
    <w:rsid w:val="0092141B"/>
    <w:rsid w:val="009214CE"/>
    <w:rsid w:val="009214ED"/>
    <w:rsid w:val="00921515"/>
    <w:rsid w:val="00921555"/>
    <w:rsid w:val="00921602"/>
    <w:rsid w:val="00921608"/>
    <w:rsid w:val="0092175A"/>
    <w:rsid w:val="00921772"/>
    <w:rsid w:val="00921799"/>
    <w:rsid w:val="009217FC"/>
    <w:rsid w:val="00921817"/>
    <w:rsid w:val="00921836"/>
    <w:rsid w:val="00921847"/>
    <w:rsid w:val="0092185E"/>
    <w:rsid w:val="00921889"/>
    <w:rsid w:val="009218A1"/>
    <w:rsid w:val="00921907"/>
    <w:rsid w:val="00921971"/>
    <w:rsid w:val="009219DB"/>
    <w:rsid w:val="00921A51"/>
    <w:rsid w:val="00921B3B"/>
    <w:rsid w:val="00921B9A"/>
    <w:rsid w:val="00921BEC"/>
    <w:rsid w:val="00921C4B"/>
    <w:rsid w:val="00921CC8"/>
    <w:rsid w:val="00921D84"/>
    <w:rsid w:val="00921DF4"/>
    <w:rsid w:val="00921E94"/>
    <w:rsid w:val="00921EC1"/>
    <w:rsid w:val="00921EF0"/>
    <w:rsid w:val="00921F43"/>
    <w:rsid w:val="009220B9"/>
    <w:rsid w:val="009220CC"/>
    <w:rsid w:val="009220F4"/>
    <w:rsid w:val="00922164"/>
    <w:rsid w:val="0092217E"/>
    <w:rsid w:val="009222DB"/>
    <w:rsid w:val="00922307"/>
    <w:rsid w:val="009223B9"/>
    <w:rsid w:val="009224AD"/>
    <w:rsid w:val="009224DC"/>
    <w:rsid w:val="0092255C"/>
    <w:rsid w:val="009225E6"/>
    <w:rsid w:val="009225E7"/>
    <w:rsid w:val="0092263C"/>
    <w:rsid w:val="00922701"/>
    <w:rsid w:val="0092272B"/>
    <w:rsid w:val="00922779"/>
    <w:rsid w:val="0092279F"/>
    <w:rsid w:val="009227AC"/>
    <w:rsid w:val="00922863"/>
    <w:rsid w:val="009228A1"/>
    <w:rsid w:val="00922954"/>
    <w:rsid w:val="00922A33"/>
    <w:rsid w:val="00922A60"/>
    <w:rsid w:val="00922B0F"/>
    <w:rsid w:val="00922BB6"/>
    <w:rsid w:val="00922BB9"/>
    <w:rsid w:val="00922CA2"/>
    <w:rsid w:val="00922D38"/>
    <w:rsid w:val="00922D66"/>
    <w:rsid w:val="00922E6C"/>
    <w:rsid w:val="00922E84"/>
    <w:rsid w:val="00922EB1"/>
    <w:rsid w:val="00922EDE"/>
    <w:rsid w:val="00922F8B"/>
    <w:rsid w:val="0092305A"/>
    <w:rsid w:val="0092316C"/>
    <w:rsid w:val="0092319A"/>
    <w:rsid w:val="0092320E"/>
    <w:rsid w:val="00923235"/>
    <w:rsid w:val="0092323F"/>
    <w:rsid w:val="00923385"/>
    <w:rsid w:val="00923462"/>
    <w:rsid w:val="0092367B"/>
    <w:rsid w:val="0092367D"/>
    <w:rsid w:val="009236C0"/>
    <w:rsid w:val="009236EF"/>
    <w:rsid w:val="009236F0"/>
    <w:rsid w:val="00923707"/>
    <w:rsid w:val="00923719"/>
    <w:rsid w:val="00923731"/>
    <w:rsid w:val="0092384C"/>
    <w:rsid w:val="0092393B"/>
    <w:rsid w:val="0092396B"/>
    <w:rsid w:val="009239FF"/>
    <w:rsid w:val="00923A14"/>
    <w:rsid w:val="00923ADB"/>
    <w:rsid w:val="00923B7E"/>
    <w:rsid w:val="00923D22"/>
    <w:rsid w:val="00923D59"/>
    <w:rsid w:val="00923DE5"/>
    <w:rsid w:val="00923DF6"/>
    <w:rsid w:val="00923E1A"/>
    <w:rsid w:val="00923EC5"/>
    <w:rsid w:val="00923EF4"/>
    <w:rsid w:val="00923EF9"/>
    <w:rsid w:val="0092413A"/>
    <w:rsid w:val="00924262"/>
    <w:rsid w:val="0092426B"/>
    <w:rsid w:val="00924280"/>
    <w:rsid w:val="009242DD"/>
    <w:rsid w:val="00924407"/>
    <w:rsid w:val="009245D8"/>
    <w:rsid w:val="0092462F"/>
    <w:rsid w:val="009247B7"/>
    <w:rsid w:val="009247C6"/>
    <w:rsid w:val="00924892"/>
    <w:rsid w:val="00924915"/>
    <w:rsid w:val="0092494E"/>
    <w:rsid w:val="00924951"/>
    <w:rsid w:val="009249C2"/>
    <w:rsid w:val="00924A0E"/>
    <w:rsid w:val="00924AB0"/>
    <w:rsid w:val="00924B1D"/>
    <w:rsid w:val="00924BFA"/>
    <w:rsid w:val="00924CB4"/>
    <w:rsid w:val="00924CFB"/>
    <w:rsid w:val="00924F48"/>
    <w:rsid w:val="00924FED"/>
    <w:rsid w:val="009250A1"/>
    <w:rsid w:val="00925187"/>
    <w:rsid w:val="00925355"/>
    <w:rsid w:val="00925383"/>
    <w:rsid w:val="00925485"/>
    <w:rsid w:val="0092552B"/>
    <w:rsid w:val="009255BA"/>
    <w:rsid w:val="009257E9"/>
    <w:rsid w:val="009258BA"/>
    <w:rsid w:val="009258E2"/>
    <w:rsid w:val="00925946"/>
    <w:rsid w:val="00925A91"/>
    <w:rsid w:val="00925AA5"/>
    <w:rsid w:val="00925B9D"/>
    <w:rsid w:val="00925C90"/>
    <w:rsid w:val="00925D4B"/>
    <w:rsid w:val="00925D6D"/>
    <w:rsid w:val="00925D90"/>
    <w:rsid w:val="00925ED3"/>
    <w:rsid w:val="00925ED5"/>
    <w:rsid w:val="00925F5C"/>
    <w:rsid w:val="00925FF2"/>
    <w:rsid w:val="00926017"/>
    <w:rsid w:val="0092606A"/>
    <w:rsid w:val="00926079"/>
    <w:rsid w:val="00926081"/>
    <w:rsid w:val="009260C0"/>
    <w:rsid w:val="009260D7"/>
    <w:rsid w:val="00926143"/>
    <w:rsid w:val="00926181"/>
    <w:rsid w:val="00926214"/>
    <w:rsid w:val="0092621E"/>
    <w:rsid w:val="009262E2"/>
    <w:rsid w:val="009262F1"/>
    <w:rsid w:val="0092641B"/>
    <w:rsid w:val="0092646E"/>
    <w:rsid w:val="009265D8"/>
    <w:rsid w:val="00926650"/>
    <w:rsid w:val="00926666"/>
    <w:rsid w:val="0092669C"/>
    <w:rsid w:val="00926701"/>
    <w:rsid w:val="00926786"/>
    <w:rsid w:val="009268D5"/>
    <w:rsid w:val="00926A36"/>
    <w:rsid w:val="00926A45"/>
    <w:rsid w:val="00926A4E"/>
    <w:rsid w:val="00926B88"/>
    <w:rsid w:val="00926BB4"/>
    <w:rsid w:val="00926E21"/>
    <w:rsid w:val="00926ECF"/>
    <w:rsid w:val="00926FD7"/>
    <w:rsid w:val="00926FEC"/>
    <w:rsid w:val="0092700C"/>
    <w:rsid w:val="00927028"/>
    <w:rsid w:val="009270E3"/>
    <w:rsid w:val="0092712D"/>
    <w:rsid w:val="009271B8"/>
    <w:rsid w:val="009273D1"/>
    <w:rsid w:val="0092754E"/>
    <w:rsid w:val="0092757F"/>
    <w:rsid w:val="0092758F"/>
    <w:rsid w:val="00927655"/>
    <w:rsid w:val="0092772D"/>
    <w:rsid w:val="009278CC"/>
    <w:rsid w:val="009278F7"/>
    <w:rsid w:val="00927A13"/>
    <w:rsid w:val="00927A1A"/>
    <w:rsid w:val="00927B6E"/>
    <w:rsid w:val="00927C20"/>
    <w:rsid w:val="00927C38"/>
    <w:rsid w:val="00927CF6"/>
    <w:rsid w:val="00927D2A"/>
    <w:rsid w:val="00927D4E"/>
    <w:rsid w:val="00927D62"/>
    <w:rsid w:val="00927DE0"/>
    <w:rsid w:val="00927F7B"/>
    <w:rsid w:val="0093005D"/>
    <w:rsid w:val="009300CE"/>
    <w:rsid w:val="009300D3"/>
    <w:rsid w:val="009301A1"/>
    <w:rsid w:val="00930292"/>
    <w:rsid w:val="00930352"/>
    <w:rsid w:val="009303AE"/>
    <w:rsid w:val="009304B1"/>
    <w:rsid w:val="009304C0"/>
    <w:rsid w:val="00930500"/>
    <w:rsid w:val="009305AB"/>
    <w:rsid w:val="0093063C"/>
    <w:rsid w:val="00930697"/>
    <w:rsid w:val="009307D6"/>
    <w:rsid w:val="00930898"/>
    <w:rsid w:val="00930900"/>
    <w:rsid w:val="0093093F"/>
    <w:rsid w:val="00930987"/>
    <w:rsid w:val="00930A36"/>
    <w:rsid w:val="00930A67"/>
    <w:rsid w:val="00930A6F"/>
    <w:rsid w:val="00930ACB"/>
    <w:rsid w:val="00930B81"/>
    <w:rsid w:val="00930BCE"/>
    <w:rsid w:val="00930C05"/>
    <w:rsid w:val="00930C2E"/>
    <w:rsid w:val="00930CA2"/>
    <w:rsid w:val="00930CC7"/>
    <w:rsid w:val="00930CEC"/>
    <w:rsid w:val="00930CF5"/>
    <w:rsid w:val="00930DAF"/>
    <w:rsid w:val="00930DB7"/>
    <w:rsid w:val="00930DD6"/>
    <w:rsid w:val="00930E37"/>
    <w:rsid w:val="00930EA5"/>
    <w:rsid w:val="00930EC5"/>
    <w:rsid w:val="00930F9B"/>
    <w:rsid w:val="00930F9F"/>
    <w:rsid w:val="0093103C"/>
    <w:rsid w:val="009310F1"/>
    <w:rsid w:val="009310F3"/>
    <w:rsid w:val="009310FE"/>
    <w:rsid w:val="0093111B"/>
    <w:rsid w:val="009311E9"/>
    <w:rsid w:val="009312FF"/>
    <w:rsid w:val="0093133F"/>
    <w:rsid w:val="0093134A"/>
    <w:rsid w:val="00931366"/>
    <w:rsid w:val="009313A3"/>
    <w:rsid w:val="009313ED"/>
    <w:rsid w:val="0093141C"/>
    <w:rsid w:val="0093146E"/>
    <w:rsid w:val="00931505"/>
    <w:rsid w:val="00931534"/>
    <w:rsid w:val="00931540"/>
    <w:rsid w:val="009316C5"/>
    <w:rsid w:val="009316ED"/>
    <w:rsid w:val="009316F6"/>
    <w:rsid w:val="00931711"/>
    <w:rsid w:val="00931751"/>
    <w:rsid w:val="00931882"/>
    <w:rsid w:val="009318B7"/>
    <w:rsid w:val="0093193B"/>
    <w:rsid w:val="00931950"/>
    <w:rsid w:val="00931981"/>
    <w:rsid w:val="00931A75"/>
    <w:rsid w:val="00931AF6"/>
    <w:rsid w:val="00931AFE"/>
    <w:rsid w:val="00931B11"/>
    <w:rsid w:val="00931BFE"/>
    <w:rsid w:val="00931C10"/>
    <w:rsid w:val="00931C51"/>
    <w:rsid w:val="00931D1F"/>
    <w:rsid w:val="00931F2D"/>
    <w:rsid w:val="00931FCF"/>
    <w:rsid w:val="0093202F"/>
    <w:rsid w:val="009320EB"/>
    <w:rsid w:val="00932103"/>
    <w:rsid w:val="00932127"/>
    <w:rsid w:val="00932134"/>
    <w:rsid w:val="00932217"/>
    <w:rsid w:val="00932369"/>
    <w:rsid w:val="0093236A"/>
    <w:rsid w:val="009323D7"/>
    <w:rsid w:val="00932493"/>
    <w:rsid w:val="00932828"/>
    <w:rsid w:val="00932A54"/>
    <w:rsid w:val="00932A67"/>
    <w:rsid w:val="00932B31"/>
    <w:rsid w:val="00932BA3"/>
    <w:rsid w:val="00932C6A"/>
    <w:rsid w:val="00932C7C"/>
    <w:rsid w:val="00932CCA"/>
    <w:rsid w:val="00932D75"/>
    <w:rsid w:val="00932DBF"/>
    <w:rsid w:val="00932DC2"/>
    <w:rsid w:val="00932E67"/>
    <w:rsid w:val="00932EBB"/>
    <w:rsid w:val="00932FB3"/>
    <w:rsid w:val="00932FEB"/>
    <w:rsid w:val="00933057"/>
    <w:rsid w:val="009330A1"/>
    <w:rsid w:val="00933136"/>
    <w:rsid w:val="00933142"/>
    <w:rsid w:val="00933179"/>
    <w:rsid w:val="0093335D"/>
    <w:rsid w:val="0093338C"/>
    <w:rsid w:val="009333E4"/>
    <w:rsid w:val="009333E9"/>
    <w:rsid w:val="00933416"/>
    <w:rsid w:val="0093347F"/>
    <w:rsid w:val="009334B7"/>
    <w:rsid w:val="00933550"/>
    <w:rsid w:val="00933566"/>
    <w:rsid w:val="00933571"/>
    <w:rsid w:val="009335BB"/>
    <w:rsid w:val="0093366D"/>
    <w:rsid w:val="00933728"/>
    <w:rsid w:val="00933800"/>
    <w:rsid w:val="0093385F"/>
    <w:rsid w:val="0093395B"/>
    <w:rsid w:val="0093398D"/>
    <w:rsid w:val="00933B4E"/>
    <w:rsid w:val="00933BD2"/>
    <w:rsid w:val="00933C50"/>
    <w:rsid w:val="00933CA4"/>
    <w:rsid w:val="00933D4A"/>
    <w:rsid w:val="00933DC5"/>
    <w:rsid w:val="00933DD1"/>
    <w:rsid w:val="00933ECD"/>
    <w:rsid w:val="00933EE3"/>
    <w:rsid w:val="00933F28"/>
    <w:rsid w:val="00933F52"/>
    <w:rsid w:val="00933F9E"/>
    <w:rsid w:val="00933FFE"/>
    <w:rsid w:val="0093417C"/>
    <w:rsid w:val="009341BF"/>
    <w:rsid w:val="00934439"/>
    <w:rsid w:val="00934479"/>
    <w:rsid w:val="009344DE"/>
    <w:rsid w:val="00934545"/>
    <w:rsid w:val="009346CA"/>
    <w:rsid w:val="0093473F"/>
    <w:rsid w:val="009347BD"/>
    <w:rsid w:val="00934884"/>
    <w:rsid w:val="00934933"/>
    <w:rsid w:val="0093494D"/>
    <w:rsid w:val="009349B1"/>
    <w:rsid w:val="00934A29"/>
    <w:rsid w:val="00934A99"/>
    <w:rsid w:val="00934AC4"/>
    <w:rsid w:val="00934B1F"/>
    <w:rsid w:val="00934B60"/>
    <w:rsid w:val="00934B7D"/>
    <w:rsid w:val="00934C5C"/>
    <w:rsid w:val="00934CA0"/>
    <w:rsid w:val="00934CAB"/>
    <w:rsid w:val="00934CDD"/>
    <w:rsid w:val="00934D07"/>
    <w:rsid w:val="00934D6D"/>
    <w:rsid w:val="00934EC0"/>
    <w:rsid w:val="00934F79"/>
    <w:rsid w:val="00934FAF"/>
    <w:rsid w:val="00934FFD"/>
    <w:rsid w:val="0093500D"/>
    <w:rsid w:val="0093507D"/>
    <w:rsid w:val="0093510F"/>
    <w:rsid w:val="009351B3"/>
    <w:rsid w:val="00935205"/>
    <w:rsid w:val="009352E0"/>
    <w:rsid w:val="0093532E"/>
    <w:rsid w:val="0093540D"/>
    <w:rsid w:val="00935525"/>
    <w:rsid w:val="0093554E"/>
    <w:rsid w:val="0093554F"/>
    <w:rsid w:val="0093562C"/>
    <w:rsid w:val="009358A7"/>
    <w:rsid w:val="009359B0"/>
    <w:rsid w:val="00935ADB"/>
    <w:rsid w:val="00935B65"/>
    <w:rsid w:val="00935CC9"/>
    <w:rsid w:val="00935CDE"/>
    <w:rsid w:val="00935CFD"/>
    <w:rsid w:val="00935D03"/>
    <w:rsid w:val="00935DAE"/>
    <w:rsid w:val="00935DC2"/>
    <w:rsid w:val="00935E28"/>
    <w:rsid w:val="00935EEE"/>
    <w:rsid w:val="00935F3B"/>
    <w:rsid w:val="0093606D"/>
    <w:rsid w:val="00936072"/>
    <w:rsid w:val="0093609E"/>
    <w:rsid w:val="009360A0"/>
    <w:rsid w:val="00936109"/>
    <w:rsid w:val="00936138"/>
    <w:rsid w:val="00936164"/>
    <w:rsid w:val="0093635F"/>
    <w:rsid w:val="00936434"/>
    <w:rsid w:val="00936584"/>
    <w:rsid w:val="00936585"/>
    <w:rsid w:val="00936587"/>
    <w:rsid w:val="00936789"/>
    <w:rsid w:val="009368AD"/>
    <w:rsid w:val="00936909"/>
    <w:rsid w:val="009369E8"/>
    <w:rsid w:val="00936AF8"/>
    <w:rsid w:val="00936C71"/>
    <w:rsid w:val="00936DB2"/>
    <w:rsid w:val="00936E6A"/>
    <w:rsid w:val="00936E75"/>
    <w:rsid w:val="00936EBD"/>
    <w:rsid w:val="00936ED3"/>
    <w:rsid w:val="00936FFB"/>
    <w:rsid w:val="00937009"/>
    <w:rsid w:val="0093701D"/>
    <w:rsid w:val="009370B4"/>
    <w:rsid w:val="00937113"/>
    <w:rsid w:val="0093715B"/>
    <w:rsid w:val="00937231"/>
    <w:rsid w:val="009372AD"/>
    <w:rsid w:val="009372E8"/>
    <w:rsid w:val="009373B0"/>
    <w:rsid w:val="00937681"/>
    <w:rsid w:val="009377FD"/>
    <w:rsid w:val="009378EE"/>
    <w:rsid w:val="009379BA"/>
    <w:rsid w:val="00937B5C"/>
    <w:rsid w:val="00937B83"/>
    <w:rsid w:val="00937C49"/>
    <w:rsid w:val="00937CF0"/>
    <w:rsid w:val="00937D08"/>
    <w:rsid w:val="00937E46"/>
    <w:rsid w:val="00937E47"/>
    <w:rsid w:val="00937EC4"/>
    <w:rsid w:val="00937FAC"/>
    <w:rsid w:val="0094005C"/>
    <w:rsid w:val="009400B3"/>
    <w:rsid w:val="0094019D"/>
    <w:rsid w:val="009401AD"/>
    <w:rsid w:val="009401CA"/>
    <w:rsid w:val="0094024E"/>
    <w:rsid w:val="00940280"/>
    <w:rsid w:val="009402A5"/>
    <w:rsid w:val="009402C1"/>
    <w:rsid w:val="009402DD"/>
    <w:rsid w:val="0094034E"/>
    <w:rsid w:val="009403B0"/>
    <w:rsid w:val="009403B8"/>
    <w:rsid w:val="00940438"/>
    <w:rsid w:val="009404EB"/>
    <w:rsid w:val="00940536"/>
    <w:rsid w:val="00940538"/>
    <w:rsid w:val="0094055A"/>
    <w:rsid w:val="00940592"/>
    <w:rsid w:val="00940616"/>
    <w:rsid w:val="0094067D"/>
    <w:rsid w:val="00940780"/>
    <w:rsid w:val="0094079E"/>
    <w:rsid w:val="009407C6"/>
    <w:rsid w:val="00940831"/>
    <w:rsid w:val="009409DA"/>
    <w:rsid w:val="009409F6"/>
    <w:rsid w:val="00940A2E"/>
    <w:rsid w:val="00940A9F"/>
    <w:rsid w:val="00940AD7"/>
    <w:rsid w:val="00940B00"/>
    <w:rsid w:val="00940B75"/>
    <w:rsid w:val="00940BA3"/>
    <w:rsid w:val="00940BCB"/>
    <w:rsid w:val="00940BFD"/>
    <w:rsid w:val="00940CCD"/>
    <w:rsid w:val="00940CD0"/>
    <w:rsid w:val="00940D7F"/>
    <w:rsid w:val="00940D8C"/>
    <w:rsid w:val="00940DA5"/>
    <w:rsid w:val="00940DB8"/>
    <w:rsid w:val="00940E4B"/>
    <w:rsid w:val="00940EBF"/>
    <w:rsid w:val="00940EF2"/>
    <w:rsid w:val="00940F1C"/>
    <w:rsid w:val="00940F75"/>
    <w:rsid w:val="009410F2"/>
    <w:rsid w:val="00941178"/>
    <w:rsid w:val="0094117F"/>
    <w:rsid w:val="009411A0"/>
    <w:rsid w:val="00941332"/>
    <w:rsid w:val="00941425"/>
    <w:rsid w:val="00941459"/>
    <w:rsid w:val="00941475"/>
    <w:rsid w:val="0094149B"/>
    <w:rsid w:val="00941525"/>
    <w:rsid w:val="0094156C"/>
    <w:rsid w:val="009415F0"/>
    <w:rsid w:val="009415FA"/>
    <w:rsid w:val="00941667"/>
    <w:rsid w:val="009416E6"/>
    <w:rsid w:val="00941719"/>
    <w:rsid w:val="009417B3"/>
    <w:rsid w:val="009417BD"/>
    <w:rsid w:val="009419BD"/>
    <w:rsid w:val="00941AE6"/>
    <w:rsid w:val="00941BB0"/>
    <w:rsid w:val="00941D4B"/>
    <w:rsid w:val="00941DE8"/>
    <w:rsid w:val="00941E27"/>
    <w:rsid w:val="00941EB8"/>
    <w:rsid w:val="00941EC2"/>
    <w:rsid w:val="00941ED2"/>
    <w:rsid w:val="00941F4C"/>
    <w:rsid w:val="00942077"/>
    <w:rsid w:val="009420DD"/>
    <w:rsid w:val="00942238"/>
    <w:rsid w:val="009422E5"/>
    <w:rsid w:val="009422F8"/>
    <w:rsid w:val="00942385"/>
    <w:rsid w:val="00942388"/>
    <w:rsid w:val="009423AD"/>
    <w:rsid w:val="009423CA"/>
    <w:rsid w:val="009423DB"/>
    <w:rsid w:val="0094254D"/>
    <w:rsid w:val="009426C6"/>
    <w:rsid w:val="009427BA"/>
    <w:rsid w:val="009427CA"/>
    <w:rsid w:val="009427F3"/>
    <w:rsid w:val="009429CC"/>
    <w:rsid w:val="00942A06"/>
    <w:rsid w:val="00942AD4"/>
    <w:rsid w:val="00942BD4"/>
    <w:rsid w:val="00942BE7"/>
    <w:rsid w:val="00942C11"/>
    <w:rsid w:val="00942DC7"/>
    <w:rsid w:val="00942E0A"/>
    <w:rsid w:val="00942E85"/>
    <w:rsid w:val="00942F02"/>
    <w:rsid w:val="00942F12"/>
    <w:rsid w:val="00942F7B"/>
    <w:rsid w:val="00943082"/>
    <w:rsid w:val="00943147"/>
    <w:rsid w:val="009431AD"/>
    <w:rsid w:val="0094324A"/>
    <w:rsid w:val="0094325B"/>
    <w:rsid w:val="00943279"/>
    <w:rsid w:val="0094327B"/>
    <w:rsid w:val="009433B8"/>
    <w:rsid w:val="00943515"/>
    <w:rsid w:val="0094351F"/>
    <w:rsid w:val="00943553"/>
    <w:rsid w:val="009436CE"/>
    <w:rsid w:val="009436D1"/>
    <w:rsid w:val="0094378C"/>
    <w:rsid w:val="009437AC"/>
    <w:rsid w:val="009437B7"/>
    <w:rsid w:val="0094388C"/>
    <w:rsid w:val="0094389A"/>
    <w:rsid w:val="00943A35"/>
    <w:rsid w:val="00943A64"/>
    <w:rsid w:val="00943A76"/>
    <w:rsid w:val="00943C1E"/>
    <w:rsid w:val="00943CBC"/>
    <w:rsid w:val="00943CD6"/>
    <w:rsid w:val="00943CF7"/>
    <w:rsid w:val="00943D57"/>
    <w:rsid w:val="00943DE3"/>
    <w:rsid w:val="00943E07"/>
    <w:rsid w:val="00943EBA"/>
    <w:rsid w:val="00943EC1"/>
    <w:rsid w:val="00943EFE"/>
    <w:rsid w:val="00943F01"/>
    <w:rsid w:val="00943F84"/>
    <w:rsid w:val="00943FDE"/>
    <w:rsid w:val="009440C4"/>
    <w:rsid w:val="0094413A"/>
    <w:rsid w:val="0094415E"/>
    <w:rsid w:val="009441F9"/>
    <w:rsid w:val="0094420F"/>
    <w:rsid w:val="0094425D"/>
    <w:rsid w:val="009442CC"/>
    <w:rsid w:val="009442DA"/>
    <w:rsid w:val="009442E0"/>
    <w:rsid w:val="0094436E"/>
    <w:rsid w:val="0094444A"/>
    <w:rsid w:val="0094446F"/>
    <w:rsid w:val="0094452E"/>
    <w:rsid w:val="0094477F"/>
    <w:rsid w:val="009448C8"/>
    <w:rsid w:val="00944904"/>
    <w:rsid w:val="00944966"/>
    <w:rsid w:val="009449E5"/>
    <w:rsid w:val="009449F9"/>
    <w:rsid w:val="00944A29"/>
    <w:rsid w:val="00944A48"/>
    <w:rsid w:val="00944ADA"/>
    <w:rsid w:val="00944ADB"/>
    <w:rsid w:val="00944B46"/>
    <w:rsid w:val="00944B47"/>
    <w:rsid w:val="00944CD0"/>
    <w:rsid w:val="00944CDA"/>
    <w:rsid w:val="00944CDC"/>
    <w:rsid w:val="00944CE3"/>
    <w:rsid w:val="00944E53"/>
    <w:rsid w:val="00944E5B"/>
    <w:rsid w:val="00944F07"/>
    <w:rsid w:val="00944F61"/>
    <w:rsid w:val="00944F91"/>
    <w:rsid w:val="00944FAF"/>
    <w:rsid w:val="00944FB7"/>
    <w:rsid w:val="009450AD"/>
    <w:rsid w:val="009451B2"/>
    <w:rsid w:val="009451CE"/>
    <w:rsid w:val="0094533F"/>
    <w:rsid w:val="00945355"/>
    <w:rsid w:val="009453A8"/>
    <w:rsid w:val="009453C6"/>
    <w:rsid w:val="0094554D"/>
    <w:rsid w:val="00945626"/>
    <w:rsid w:val="009457DF"/>
    <w:rsid w:val="009458F7"/>
    <w:rsid w:val="00945991"/>
    <w:rsid w:val="009459C5"/>
    <w:rsid w:val="00945BA4"/>
    <w:rsid w:val="00945C0A"/>
    <w:rsid w:val="00945CB2"/>
    <w:rsid w:val="00945D5F"/>
    <w:rsid w:val="00945ED3"/>
    <w:rsid w:val="00945F91"/>
    <w:rsid w:val="00945FD1"/>
    <w:rsid w:val="00946012"/>
    <w:rsid w:val="00946090"/>
    <w:rsid w:val="009460B1"/>
    <w:rsid w:val="00946143"/>
    <w:rsid w:val="0094614D"/>
    <w:rsid w:val="0094615A"/>
    <w:rsid w:val="00946211"/>
    <w:rsid w:val="0094632B"/>
    <w:rsid w:val="00946355"/>
    <w:rsid w:val="0094636B"/>
    <w:rsid w:val="009463AB"/>
    <w:rsid w:val="00946496"/>
    <w:rsid w:val="00946557"/>
    <w:rsid w:val="00946560"/>
    <w:rsid w:val="009465DC"/>
    <w:rsid w:val="00946606"/>
    <w:rsid w:val="009466AE"/>
    <w:rsid w:val="009467A4"/>
    <w:rsid w:val="0094682E"/>
    <w:rsid w:val="00946915"/>
    <w:rsid w:val="00946968"/>
    <w:rsid w:val="00946A1F"/>
    <w:rsid w:val="00946B9A"/>
    <w:rsid w:val="00946BC3"/>
    <w:rsid w:val="00946D92"/>
    <w:rsid w:val="009470A4"/>
    <w:rsid w:val="00947173"/>
    <w:rsid w:val="009471BB"/>
    <w:rsid w:val="009472C3"/>
    <w:rsid w:val="009473A4"/>
    <w:rsid w:val="009473C9"/>
    <w:rsid w:val="00947461"/>
    <w:rsid w:val="00947477"/>
    <w:rsid w:val="009475AD"/>
    <w:rsid w:val="00947622"/>
    <w:rsid w:val="00947636"/>
    <w:rsid w:val="009476AE"/>
    <w:rsid w:val="0094775C"/>
    <w:rsid w:val="009477AB"/>
    <w:rsid w:val="009477B6"/>
    <w:rsid w:val="00947969"/>
    <w:rsid w:val="009479BE"/>
    <w:rsid w:val="009479D5"/>
    <w:rsid w:val="009479D9"/>
    <w:rsid w:val="00947A0C"/>
    <w:rsid w:val="00947AAD"/>
    <w:rsid w:val="00947BFE"/>
    <w:rsid w:val="00947D77"/>
    <w:rsid w:val="00947DB6"/>
    <w:rsid w:val="00947DD1"/>
    <w:rsid w:val="00947E64"/>
    <w:rsid w:val="00947EED"/>
    <w:rsid w:val="00947FB5"/>
    <w:rsid w:val="0095006F"/>
    <w:rsid w:val="00950121"/>
    <w:rsid w:val="0095013B"/>
    <w:rsid w:val="009501D9"/>
    <w:rsid w:val="009501F2"/>
    <w:rsid w:val="0095023B"/>
    <w:rsid w:val="0095034D"/>
    <w:rsid w:val="0095039E"/>
    <w:rsid w:val="009503A9"/>
    <w:rsid w:val="009503DC"/>
    <w:rsid w:val="00950491"/>
    <w:rsid w:val="00950568"/>
    <w:rsid w:val="009505D8"/>
    <w:rsid w:val="00950624"/>
    <w:rsid w:val="009506E3"/>
    <w:rsid w:val="00950773"/>
    <w:rsid w:val="0095079E"/>
    <w:rsid w:val="0095088F"/>
    <w:rsid w:val="009508BB"/>
    <w:rsid w:val="00950908"/>
    <w:rsid w:val="00950958"/>
    <w:rsid w:val="00950A62"/>
    <w:rsid w:val="00950A6E"/>
    <w:rsid w:val="00950BE4"/>
    <w:rsid w:val="00950BF5"/>
    <w:rsid w:val="00950C20"/>
    <w:rsid w:val="00950C9F"/>
    <w:rsid w:val="00950D99"/>
    <w:rsid w:val="00950EB5"/>
    <w:rsid w:val="00950EDB"/>
    <w:rsid w:val="00950EDE"/>
    <w:rsid w:val="00950EE6"/>
    <w:rsid w:val="00950F3E"/>
    <w:rsid w:val="00950F9C"/>
    <w:rsid w:val="00950FFE"/>
    <w:rsid w:val="0095100E"/>
    <w:rsid w:val="0095112E"/>
    <w:rsid w:val="0095115B"/>
    <w:rsid w:val="009511AC"/>
    <w:rsid w:val="009511C2"/>
    <w:rsid w:val="0095129D"/>
    <w:rsid w:val="009512D4"/>
    <w:rsid w:val="0095134B"/>
    <w:rsid w:val="0095139C"/>
    <w:rsid w:val="00951459"/>
    <w:rsid w:val="00951464"/>
    <w:rsid w:val="0095147E"/>
    <w:rsid w:val="009514A6"/>
    <w:rsid w:val="0095151D"/>
    <w:rsid w:val="0095167F"/>
    <w:rsid w:val="0095169F"/>
    <w:rsid w:val="00951730"/>
    <w:rsid w:val="00951882"/>
    <w:rsid w:val="009518DC"/>
    <w:rsid w:val="00951B5A"/>
    <w:rsid w:val="00951B86"/>
    <w:rsid w:val="00951BF9"/>
    <w:rsid w:val="00951C11"/>
    <w:rsid w:val="00951C67"/>
    <w:rsid w:val="00951D04"/>
    <w:rsid w:val="00951D42"/>
    <w:rsid w:val="00951D70"/>
    <w:rsid w:val="00951EBC"/>
    <w:rsid w:val="00951F08"/>
    <w:rsid w:val="00951F29"/>
    <w:rsid w:val="00951F97"/>
    <w:rsid w:val="009521BB"/>
    <w:rsid w:val="009521BE"/>
    <w:rsid w:val="009521CE"/>
    <w:rsid w:val="00952342"/>
    <w:rsid w:val="0095235F"/>
    <w:rsid w:val="009523C6"/>
    <w:rsid w:val="00952424"/>
    <w:rsid w:val="0095250C"/>
    <w:rsid w:val="00952548"/>
    <w:rsid w:val="009526C9"/>
    <w:rsid w:val="00952784"/>
    <w:rsid w:val="009527BF"/>
    <w:rsid w:val="009527E0"/>
    <w:rsid w:val="0095280D"/>
    <w:rsid w:val="00952817"/>
    <w:rsid w:val="009528DF"/>
    <w:rsid w:val="00952AC7"/>
    <w:rsid w:val="00952C48"/>
    <w:rsid w:val="00952CA9"/>
    <w:rsid w:val="00952D1C"/>
    <w:rsid w:val="00952E9E"/>
    <w:rsid w:val="00952ECD"/>
    <w:rsid w:val="00952F40"/>
    <w:rsid w:val="00952FCE"/>
    <w:rsid w:val="00953001"/>
    <w:rsid w:val="00953014"/>
    <w:rsid w:val="009530BC"/>
    <w:rsid w:val="00953150"/>
    <w:rsid w:val="00953169"/>
    <w:rsid w:val="009531F2"/>
    <w:rsid w:val="009531FC"/>
    <w:rsid w:val="009533FF"/>
    <w:rsid w:val="009534B7"/>
    <w:rsid w:val="00953562"/>
    <w:rsid w:val="00953587"/>
    <w:rsid w:val="00953734"/>
    <w:rsid w:val="00953771"/>
    <w:rsid w:val="009538DF"/>
    <w:rsid w:val="00953A18"/>
    <w:rsid w:val="00953ABC"/>
    <w:rsid w:val="00953AE0"/>
    <w:rsid w:val="00953AF2"/>
    <w:rsid w:val="00953AF9"/>
    <w:rsid w:val="00953C4E"/>
    <w:rsid w:val="00953CFA"/>
    <w:rsid w:val="00953E6A"/>
    <w:rsid w:val="00953E77"/>
    <w:rsid w:val="00953E7B"/>
    <w:rsid w:val="00953E85"/>
    <w:rsid w:val="00953F94"/>
    <w:rsid w:val="00953F9E"/>
    <w:rsid w:val="00953FE8"/>
    <w:rsid w:val="00954005"/>
    <w:rsid w:val="00954023"/>
    <w:rsid w:val="009540B4"/>
    <w:rsid w:val="009540EE"/>
    <w:rsid w:val="00954128"/>
    <w:rsid w:val="0095421E"/>
    <w:rsid w:val="00954296"/>
    <w:rsid w:val="00954322"/>
    <w:rsid w:val="00954364"/>
    <w:rsid w:val="00954379"/>
    <w:rsid w:val="00954387"/>
    <w:rsid w:val="009543C8"/>
    <w:rsid w:val="009544F0"/>
    <w:rsid w:val="0095450D"/>
    <w:rsid w:val="0095454B"/>
    <w:rsid w:val="00954552"/>
    <w:rsid w:val="009545E8"/>
    <w:rsid w:val="00954719"/>
    <w:rsid w:val="00954741"/>
    <w:rsid w:val="0095474F"/>
    <w:rsid w:val="009547F8"/>
    <w:rsid w:val="009548CF"/>
    <w:rsid w:val="00954941"/>
    <w:rsid w:val="00954947"/>
    <w:rsid w:val="00954977"/>
    <w:rsid w:val="00954996"/>
    <w:rsid w:val="009549B2"/>
    <w:rsid w:val="00954A01"/>
    <w:rsid w:val="00954B69"/>
    <w:rsid w:val="00954C6A"/>
    <w:rsid w:val="00954CA8"/>
    <w:rsid w:val="00954D11"/>
    <w:rsid w:val="00954D2F"/>
    <w:rsid w:val="00954D67"/>
    <w:rsid w:val="00954E57"/>
    <w:rsid w:val="00954FDA"/>
    <w:rsid w:val="00955008"/>
    <w:rsid w:val="00955022"/>
    <w:rsid w:val="00955034"/>
    <w:rsid w:val="00955048"/>
    <w:rsid w:val="0095506E"/>
    <w:rsid w:val="009550D5"/>
    <w:rsid w:val="0095514C"/>
    <w:rsid w:val="00955170"/>
    <w:rsid w:val="00955174"/>
    <w:rsid w:val="00955224"/>
    <w:rsid w:val="009552AE"/>
    <w:rsid w:val="009553F2"/>
    <w:rsid w:val="00955450"/>
    <w:rsid w:val="0095547D"/>
    <w:rsid w:val="0095553C"/>
    <w:rsid w:val="00955555"/>
    <w:rsid w:val="009555DE"/>
    <w:rsid w:val="00955658"/>
    <w:rsid w:val="00955821"/>
    <w:rsid w:val="00955894"/>
    <w:rsid w:val="00955970"/>
    <w:rsid w:val="0095598E"/>
    <w:rsid w:val="00955AFB"/>
    <w:rsid w:val="00955B7E"/>
    <w:rsid w:val="00955B8F"/>
    <w:rsid w:val="00955C53"/>
    <w:rsid w:val="00955CA6"/>
    <w:rsid w:val="00955CAD"/>
    <w:rsid w:val="00955CD2"/>
    <w:rsid w:val="00955D3A"/>
    <w:rsid w:val="00955D94"/>
    <w:rsid w:val="00955DFD"/>
    <w:rsid w:val="00955E2B"/>
    <w:rsid w:val="00955EA2"/>
    <w:rsid w:val="00955EA5"/>
    <w:rsid w:val="00955EC0"/>
    <w:rsid w:val="00955EDC"/>
    <w:rsid w:val="00955FAC"/>
    <w:rsid w:val="0095603B"/>
    <w:rsid w:val="0095613B"/>
    <w:rsid w:val="00956306"/>
    <w:rsid w:val="009563C7"/>
    <w:rsid w:val="009563FF"/>
    <w:rsid w:val="00956535"/>
    <w:rsid w:val="009565C2"/>
    <w:rsid w:val="009565C8"/>
    <w:rsid w:val="009565CE"/>
    <w:rsid w:val="00956805"/>
    <w:rsid w:val="0095681F"/>
    <w:rsid w:val="00956852"/>
    <w:rsid w:val="0095699F"/>
    <w:rsid w:val="00956A16"/>
    <w:rsid w:val="00956A74"/>
    <w:rsid w:val="00956ABF"/>
    <w:rsid w:val="00956BEA"/>
    <w:rsid w:val="00956CAD"/>
    <w:rsid w:val="00956D42"/>
    <w:rsid w:val="00956D61"/>
    <w:rsid w:val="00956D93"/>
    <w:rsid w:val="00956E95"/>
    <w:rsid w:val="00956F9C"/>
    <w:rsid w:val="00956FA3"/>
    <w:rsid w:val="00957089"/>
    <w:rsid w:val="0095718C"/>
    <w:rsid w:val="009571CB"/>
    <w:rsid w:val="009571E2"/>
    <w:rsid w:val="00957207"/>
    <w:rsid w:val="00957223"/>
    <w:rsid w:val="00957295"/>
    <w:rsid w:val="0095734B"/>
    <w:rsid w:val="009573F9"/>
    <w:rsid w:val="009574C8"/>
    <w:rsid w:val="00957566"/>
    <w:rsid w:val="009575E8"/>
    <w:rsid w:val="009575FF"/>
    <w:rsid w:val="00957635"/>
    <w:rsid w:val="00957694"/>
    <w:rsid w:val="009576D7"/>
    <w:rsid w:val="00957730"/>
    <w:rsid w:val="00957823"/>
    <w:rsid w:val="00957845"/>
    <w:rsid w:val="00957944"/>
    <w:rsid w:val="00957A2B"/>
    <w:rsid w:val="00957A43"/>
    <w:rsid w:val="00957A98"/>
    <w:rsid w:val="00957B4E"/>
    <w:rsid w:val="00957BB3"/>
    <w:rsid w:val="00957C02"/>
    <w:rsid w:val="00957C45"/>
    <w:rsid w:val="00957CAB"/>
    <w:rsid w:val="00957D2A"/>
    <w:rsid w:val="00957DA9"/>
    <w:rsid w:val="00957E43"/>
    <w:rsid w:val="00957ECA"/>
    <w:rsid w:val="00957F2A"/>
    <w:rsid w:val="00957F2D"/>
    <w:rsid w:val="00957F86"/>
    <w:rsid w:val="00957F88"/>
    <w:rsid w:val="00957FC8"/>
    <w:rsid w:val="009600B7"/>
    <w:rsid w:val="00960212"/>
    <w:rsid w:val="00960233"/>
    <w:rsid w:val="0096026F"/>
    <w:rsid w:val="009602DD"/>
    <w:rsid w:val="0096033C"/>
    <w:rsid w:val="009603BB"/>
    <w:rsid w:val="0096042B"/>
    <w:rsid w:val="00960433"/>
    <w:rsid w:val="0096048D"/>
    <w:rsid w:val="0096056C"/>
    <w:rsid w:val="009605B4"/>
    <w:rsid w:val="00960627"/>
    <w:rsid w:val="00960886"/>
    <w:rsid w:val="0096089E"/>
    <w:rsid w:val="009608F7"/>
    <w:rsid w:val="00960908"/>
    <w:rsid w:val="00960992"/>
    <w:rsid w:val="009609AC"/>
    <w:rsid w:val="00960C2E"/>
    <w:rsid w:val="00960D4F"/>
    <w:rsid w:val="00960E67"/>
    <w:rsid w:val="00960EEB"/>
    <w:rsid w:val="00960F5B"/>
    <w:rsid w:val="00960FC0"/>
    <w:rsid w:val="00961043"/>
    <w:rsid w:val="0096117A"/>
    <w:rsid w:val="009611FC"/>
    <w:rsid w:val="00961296"/>
    <w:rsid w:val="009612A7"/>
    <w:rsid w:val="009612AE"/>
    <w:rsid w:val="00961340"/>
    <w:rsid w:val="00961352"/>
    <w:rsid w:val="0096138E"/>
    <w:rsid w:val="009613A5"/>
    <w:rsid w:val="009613C1"/>
    <w:rsid w:val="009613C6"/>
    <w:rsid w:val="009613F5"/>
    <w:rsid w:val="009613FA"/>
    <w:rsid w:val="009614B0"/>
    <w:rsid w:val="00961537"/>
    <w:rsid w:val="0096164B"/>
    <w:rsid w:val="00961654"/>
    <w:rsid w:val="0096171E"/>
    <w:rsid w:val="00961795"/>
    <w:rsid w:val="00961863"/>
    <w:rsid w:val="00961873"/>
    <w:rsid w:val="0096191E"/>
    <w:rsid w:val="009619C1"/>
    <w:rsid w:val="009619F2"/>
    <w:rsid w:val="00961A37"/>
    <w:rsid w:val="00961AEC"/>
    <w:rsid w:val="00961C00"/>
    <w:rsid w:val="00961C0E"/>
    <w:rsid w:val="00961C81"/>
    <w:rsid w:val="00961CFE"/>
    <w:rsid w:val="00961E30"/>
    <w:rsid w:val="00961F45"/>
    <w:rsid w:val="009621FD"/>
    <w:rsid w:val="00962243"/>
    <w:rsid w:val="00962249"/>
    <w:rsid w:val="00962252"/>
    <w:rsid w:val="00962265"/>
    <w:rsid w:val="009622BE"/>
    <w:rsid w:val="009622F0"/>
    <w:rsid w:val="00962358"/>
    <w:rsid w:val="00962375"/>
    <w:rsid w:val="00962452"/>
    <w:rsid w:val="00962549"/>
    <w:rsid w:val="0096257D"/>
    <w:rsid w:val="00962588"/>
    <w:rsid w:val="00962626"/>
    <w:rsid w:val="00962641"/>
    <w:rsid w:val="0096268A"/>
    <w:rsid w:val="00962797"/>
    <w:rsid w:val="009627E4"/>
    <w:rsid w:val="009627E7"/>
    <w:rsid w:val="0096280C"/>
    <w:rsid w:val="00962917"/>
    <w:rsid w:val="00962960"/>
    <w:rsid w:val="00962A71"/>
    <w:rsid w:val="00962ACF"/>
    <w:rsid w:val="00962B8C"/>
    <w:rsid w:val="00962BB6"/>
    <w:rsid w:val="00962BBE"/>
    <w:rsid w:val="00962C27"/>
    <w:rsid w:val="00962C52"/>
    <w:rsid w:val="00962D0B"/>
    <w:rsid w:val="00962DD7"/>
    <w:rsid w:val="00962EEF"/>
    <w:rsid w:val="00962F7F"/>
    <w:rsid w:val="00962FFF"/>
    <w:rsid w:val="00963035"/>
    <w:rsid w:val="009630AD"/>
    <w:rsid w:val="009631E5"/>
    <w:rsid w:val="0096321D"/>
    <w:rsid w:val="00963236"/>
    <w:rsid w:val="009632A9"/>
    <w:rsid w:val="009632F3"/>
    <w:rsid w:val="0096330E"/>
    <w:rsid w:val="00963368"/>
    <w:rsid w:val="00963375"/>
    <w:rsid w:val="00963385"/>
    <w:rsid w:val="009634D1"/>
    <w:rsid w:val="009634D4"/>
    <w:rsid w:val="00963672"/>
    <w:rsid w:val="00963760"/>
    <w:rsid w:val="009637E0"/>
    <w:rsid w:val="00963849"/>
    <w:rsid w:val="009638B7"/>
    <w:rsid w:val="00963922"/>
    <w:rsid w:val="009639C2"/>
    <w:rsid w:val="009639C6"/>
    <w:rsid w:val="00963A85"/>
    <w:rsid w:val="00963CA8"/>
    <w:rsid w:val="00963CD6"/>
    <w:rsid w:val="00963D67"/>
    <w:rsid w:val="00963D8A"/>
    <w:rsid w:val="00963E7D"/>
    <w:rsid w:val="00963E84"/>
    <w:rsid w:val="00963EB3"/>
    <w:rsid w:val="00963ECB"/>
    <w:rsid w:val="00963F20"/>
    <w:rsid w:val="00963FB6"/>
    <w:rsid w:val="00964023"/>
    <w:rsid w:val="00964112"/>
    <w:rsid w:val="00964235"/>
    <w:rsid w:val="009643E1"/>
    <w:rsid w:val="009643F1"/>
    <w:rsid w:val="009643FE"/>
    <w:rsid w:val="00964460"/>
    <w:rsid w:val="0096448B"/>
    <w:rsid w:val="0096465D"/>
    <w:rsid w:val="00964666"/>
    <w:rsid w:val="0096471B"/>
    <w:rsid w:val="00964731"/>
    <w:rsid w:val="009647F8"/>
    <w:rsid w:val="00964805"/>
    <w:rsid w:val="00964817"/>
    <w:rsid w:val="0096483C"/>
    <w:rsid w:val="00964897"/>
    <w:rsid w:val="009648E7"/>
    <w:rsid w:val="00964976"/>
    <w:rsid w:val="009649A0"/>
    <w:rsid w:val="00964A14"/>
    <w:rsid w:val="00964B62"/>
    <w:rsid w:val="00964C9D"/>
    <w:rsid w:val="00964D7D"/>
    <w:rsid w:val="00964DBA"/>
    <w:rsid w:val="00964E05"/>
    <w:rsid w:val="00964F6E"/>
    <w:rsid w:val="00964F9D"/>
    <w:rsid w:val="0096506B"/>
    <w:rsid w:val="0096515B"/>
    <w:rsid w:val="009651CC"/>
    <w:rsid w:val="0096528C"/>
    <w:rsid w:val="009652B3"/>
    <w:rsid w:val="0096531E"/>
    <w:rsid w:val="0096532E"/>
    <w:rsid w:val="0096536D"/>
    <w:rsid w:val="0096541D"/>
    <w:rsid w:val="00965462"/>
    <w:rsid w:val="00965546"/>
    <w:rsid w:val="009655EA"/>
    <w:rsid w:val="009655F2"/>
    <w:rsid w:val="00965625"/>
    <w:rsid w:val="0096564F"/>
    <w:rsid w:val="00965652"/>
    <w:rsid w:val="0096567A"/>
    <w:rsid w:val="009656B8"/>
    <w:rsid w:val="00965749"/>
    <w:rsid w:val="009657CC"/>
    <w:rsid w:val="00965847"/>
    <w:rsid w:val="009659C5"/>
    <w:rsid w:val="009659FD"/>
    <w:rsid w:val="00965A67"/>
    <w:rsid w:val="00965B59"/>
    <w:rsid w:val="00965B82"/>
    <w:rsid w:val="00965BE8"/>
    <w:rsid w:val="00965C71"/>
    <w:rsid w:val="00965CF1"/>
    <w:rsid w:val="00965D1B"/>
    <w:rsid w:val="00965DCF"/>
    <w:rsid w:val="00965E2B"/>
    <w:rsid w:val="00965E5D"/>
    <w:rsid w:val="00965FB7"/>
    <w:rsid w:val="0096611D"/>
    <w:rsid w:val="009662DC"/>
    <w:rsid w:val="009662F2"/>
    <w:rsid w:val="009662FD"/>
    <w:rsid w:val="009663BF"/>
    <w:rsid w:val="0096649B"/>
    <w:rsid w:val="0096653A"/>
    <w:rsid w:val="009665A9"/>
    <w:rsid w:val="00966627"/>
    <w:rsid w:val="00966655"/>
    <w:rsid w:val="00966661"/>
    <w:rsid w:val="00966664"/>
    <w:rsid w:val="009666EE"/>
    <w:rsid w:val="009666FA"/>
    <w:rsid w:val="009667BE"/>
    <w:rsid w:val="0096690F"/>
    <w:rsid w:val="009669BE"/>
    <w:rsid w:val="00966AF0"/>
    <w:rsid w:val="00966B3A"/>
    <w:rsid w:val="00966B50"/>
    <w:rsid w:val="00966D15"/>
    <w:rsid w:val="00966D32"/>
    <w:rsid w:val="00966D7C"/>
    <w:rsid w:val="00966F54"/>
    <w:rsid w:val="0096702B"/>
    <w:rsid w:val="009670D0"/>
    <w:rsid w:val="0096713D"/>
    <w:rsid w:val="009671AA"/>
    <w:rsid w:val="00967214"/>
    <w:rsid w:val="0096727D"/>
    <w:rsid w:val="009672E1"/>
    <w:rsid w:val="00967317"/>
    <w:rsid w:val="0096738D"/>
    <w:rsid w:val="0096748F"/>
    <w:rsid w:val="009674BC"/>
    <w:rsid w:val="009674E2"/>
    <w:rsid w:val="00967589"/>
    <w:rsid w:val="00967595"/>
    <w:rsid w:val="00967597"/>
    <w:rsid w:val="009675A9"/>
    <w:rsid w:val="00967635"/>
    <w:rsid w:val="00967647"/>
    <w:rsid w:val="00967677"/>
    <w:rsid w:val="009676E8"/>
    <w:rsid w:val="009676F6"/>
    <w:rsid w:val="00967707"/>
    <w:rsid w:val="0096771E"/>
    <w:rsid w:val="009677B7"/>
    <w:rsid w:val="0096794D"/>
    <w:rsid w:val="00967995"/>
    <w:rsid w:val="00967A30"/>
    <w:rsid w:val="00967A88"/>
    <w:rsid w:val="00967AD0"/>
    <w:rsid w:val="00967B20"/>
    <w:rsid w:val="00967CA6"/>
    <w:rsid w:val="00967D3C"/>
    <w:rsid w:val="00967DC1"/>
    <w:rsid w:val="00967E08"/>
    <w:rsid w:val="00967E14"/>
    <w:rsid w:val="00967EE8"/>
    <w:rsid w:val="00967F17"/>
    <w:rsid w:val="00967F65"/>
    <w:rsid w:val="00967FF1"/>
    <w:rsid w:val="00970008"/>
    <w:rsid w:val="0097004E"/>
    <w:rsid w:val="0097010C"/>
    <w:rsid w:val="009701CD"/>
    <w:rsid w:val="009701E3"/>
    <w:rsid w:val="0097024F"/>
    <w:rsid w:val="00970434"/>
    <w:rsid w:val="009704FE"/>
    <w:rsid w:val="00970659"/>
    <w:rsid w:val="0097079A"/>
    <w:rsid w:val="0097088A"/>
    <w:rsid w:val="009708B9"/>
    <w:rsid w:val="0097090D"/>
    <w:rsid w:val="009709AA"/>
    <w:rsid w:val="009709C0"/>
    <w:rsid w:val="009709ED"/>
    <w:rsid w:val="009709F1"/>
    <w:rsid w:val="00970A02"/>
    <w:rsid w:val="00970A66"/>
    <w:rsid w:val="00970AA1"/>
    <w:rsid w:val="00970B3F"/>
    <w:rsid w:val="00970CDC"/>
    <w:rsid w:val="00970D32"/>
    <w:rsid w:val="00970D36"/>
    <w:rsid w:val="00970D7C"/>
    <w:rsid w:val="00970ED7"/>
    <w:rsid w:val="00970F46"/>
    <w:rsid w:val="00970FD5"/>
    <w:rsid w:val="00971210"/>
    <w:rsid w:val="00971225"/>
    <w:rsid w:val="00971243"/>
    <w:rsid w:val="00971246"/>
    <w:rsid w:val="0097128F"/>
    <w:rsid w:val="00971444"/>
    <w:rsid w:val="0097146D"/>
    <w:rsid w:val="009714D9"/>
    <w:rsid w:val="00971644"/>
    <w:rsid w:val="0097178A"/>
    <w:rsid w:val="00971792"/>
    <w:rsid w:val="00971871"/>
    <w:rsid w:val="009718D7"/>
    <w:rsid w:val="0097191F"/>
    <w:rsid w:val="00971AA8"/>
    <w:rsid w:val="00971C1E"/>
    <w:rsid w:val="00971C3A"/>
    <w:rsid w:val="00971C73"/>
    <w:rsid w:val="00971CC4"/>
    <w:rsid w:val="00971D60"/>
    <w:rsid w:val="00971DAB"/>
    <w:rsid w:val="00971E39"/>
    <w:rsid w:val="00971E7C"/>
    <w:rsid w:val="00971ED4"/>
    <w:rsid w:val="00971F44"/>
    <w:rsid w:val="00971FF7"/>
    <w:rsid w:val="00972083"/>
    <w:rsid w:val="00972129"/>
    <w:rsid w:val="0097212C"/>
    <w:rsid w:val="009721E1"/>
    <w:rsid w:val="009721F7"/>
    <w:rsid w:val="00972224"/>
    <w:rsid w:val="009722CE"/>
    <w:rsid w:val="009722DF"/>
    <w:rsid w:val="009723C8"/>
    <w:rsid w:val="0097240C"/>
    <w:rsid w:val="0097255E"/>
    <w:rsid w:val="00972571"/>
    <w:rsid w:val="00972617"/>
    <w:rsid w:val="00972653"/>
    <w:rsid w:val="009726AE"/>
    <w:rsid w:val="009727E2"/>
    <w:rsid w:val="009727E9"/>
    <w:rsid w:val="009728CD"/>
    <w:rsid w:val="00972900"/>
    <w:rsid w:val="0097295A"/>
    <w:rsid w:val="00972976"/>
    <w:rsid w:val="009729AF"/>
    <w:rsid w:val="009729D4"/>
    <w:rsid w:val="009729FB"/>
    <w:rsid w:val="00972ADB"/>
    <w:rsid w:val="00972AF1"/>
    <w:rsid w:val="00972B1C"/>
    <w:rsid w:val="00972C8C"/>
    <w:rsid w:val="00972CAF"/>
    <w:rsid w:val="00972CBE"/>
    <w:rsid w:val="00972DB8"/>
    <w:rsid w:val="00972FD3"/>
    <w:rsid w:val="00972FEE"/>
    <w:rsid w:val="00973038"/>
    <w:rsid w:val="009730E2"/>
    <w:rsid w:val="00973120"/>
    <w:rsid w:val="009731FB"/>
    <w:rsid w:val="009732CE"/>
    <w:rsid w:val="00973304"/>
    <w:rsid w:val="0097339C"/>
    <w:rsid w:val="009733F0"/>
    <w:rsid w:val="0097340C"/>
    <w:rsid w:val="0097342D"/>
    <w:rsid w:val="0097345E"/>
    <w:rsid w:val="0097347B"/>
    <w:rsid w:val="009734A9"/>
    <w:rsid w:val="009735FF"/>
    <w:rsid w:val="0097360A"/>
    <w:rsid w:val="0097365A"/>
    <w:rsid w:val="009736B2"/>
    <w:rsid w:val="009736CD"/>
    <w:rsid w:val="00973737"/>
    <w:rsid w:val="0097385A"/>
    <w:rsid w:val="00973865"/>
    <w:rsid w:val="009738CA"/>
    <w:rsid w:val="009738DC"/>
    <w:rsid w:val="00973984"/>
    <w:rsid w:val="009739B0"/>
    <w:rsid w:val="00973A9B"/>
    <w:rsid w:val="00973AAD"/>
    <w:rsid w:val="00973BB2"/>
    <w:rsid w:val="00973C27"/>
    <w:rsid w:val="00973D83"/>
    <w:rsid w:val="00973DF2"/>
    <w:rsid w:val="00973E29"/>
    <w:rsid w:val="00973E85"/>
    <w:rsid w:val="00973ED7"/>
    <w:rsid w:val="00973F3E"/>
    <w:rsid w:val="00973F75"/>
    <w:rsid w:val="00974120"/>
    <w:rsid w:val="0097414F"/>
    <w:rsid w:val="0097419A"/>
    <w:rsid w:val="00974211"/>
    <w:rsid w:val="00974228"/>
    <w:rsid w:val="009742A7"/>
    <w:rsid w:val="00974376"/>
    <w:rsid w:val="0097455C"/>
    <w:rsid w:val="0097460E"/>
    <w:rsid w:val="00974625"/>
    <w:rsid w:val="00974650"/>
    <w:rsid w:val="009747BD"/>
    <w:rsid w:val="009748A4"/>
    <w:rsid w:val="009748EB"/>
    <w:rsid w:val="00974929"/>
    <w:rsid w:val="0097498A"/>
    <w:rsid w:val="009749FC"/>
    <w:rsid w:val="00974A31"/>
    <w:rsid w:val="00974A76"/>
    <w:rsid w:val="00974ADF"/>
    <w:rsid w:val="00974B00"/>
    <w:rsid w:val="00974B07"/>
    <w:rsid w:val="00974B52"/>
    <w:rsid w:val="00974B84"/>
    <w:rsid w:val="00974BF1"/>
    <w:rsid w:val="00974D01"/>
    <w:rsid w:val="00974DEA"/>
    <w:rsid w:val="00974DF9"/>
    <w:rsid w:val="00974F23"/>
    <w:rsid w:val="00974F32"/>
    <w:rsid w:val="00974F74"/>
    <w:rsid w:val="0097507D"/>
    <w:rsid w:val="00975091"/>
    <w:rsid w:val="0097509A"/>
    <w:rsid w:val="009751AF"/>
    <w:rsid w:val="009751C8"/>
    <w:rsid w:val="00975255"/>
    <w:rsid w:val="009752B6"/>
    <w:rsid w:val="009753B5"/>
    <w:rsid w:val="009753E7"/>
    <w:rsid w:val="00975423"/>
    <w:rsid w:val="00975521"/>
    <w:rsid w:val="00975546"/>
    <w:rsid w:val="00975561"/>
    <w:rsid w:val="009755C9"/>
    <w:rsid w:val="00975629"/>
    <w:rsid w:val="009757A8"/>
    <w:rsid w:val="0097581C"/>
    <w:rsid w:val="0097588E"/>
    <w:rsid w:val="009758EA"/>
    <w:rsid w:val="00975AE1"/>
    <w:rsid w:val="00975B44"/>
    <w:rsid w:val="00975BD1"/>
    <w:rsid w:val="00975BF5"/>
    <w:rsid w:val="00975C05"/>
    <w:rsid w:val="00975C42"/>
    <w:rsid w:val="00975D2A"/>
    <w:rsid w:val="00975E92"/>
    <w:rsid w:val="00975E95"/>
    <w:rsid w:val="00975EF4"/>
    <w:rsid w:val="00975F54"/>
    <w:rsid w:val="00975F75"/>
    <w:rsid w:val="00975F83"/>
    <w:rsid w:val="00975FAC"/>
    <w:rsid w:val="009760A6"/>
    <w:rsid w:val="00976152"/>
    <w:rsid w:val="00976188"/>
    <w:rsid w:val="009761F6"/>
    <w:rsid w:val="00976331"/>
    <w:rsid w:val="00976423"/>
    <w:rsid w:val="009764D9"/>
    <w:rsid w:val="00976550"/>
    <w:rsid w:val="00976627"/>
    <w:rsid w:val="009766C4"/>
    <w:rsid w:val="009766D7"/>
    <w:rsid w:val="00976886"/>
    <w:rsid w:val="0097691A"/>
    <w:rsid w:val="00976945"/>
    <w:rsid w:val="00976AA6"/>
    <w:rsid w:val="00976B08"/>
    <w:rsid w:val="00976B3F"/>
    <w:rsid w:val="00976B54"/>
    <w:rsid w:val="00976B89"/>
    <w:rsid w:val="00976D8E"/>
    <w:rsid w:val="00976FAC"/>
    <w:rsid w:val="0097702B"/>
    <w:rsid w:val="0097709E"/>
    <w:rsid w:val="009770E0"/>
    <w:rsid w:val="009770F8"/>
    <w:rsid w:val="0097710F"/>
    <w:rsid w:val="00977218"/>
    <w:rsid w:val="00977282"/>
    <w:rsid w:val="009772CC"/>
    <w:rsid w:val="00977367"/>
    <w:rsid w:val="00977386"/>
    <w:rsid w:val="00977396"/>
    <w:rsid w:val="009773C6"/>
    <w:rsid w:val="00977529"/>
    <w:rsid w:val="0097767E"/>
    <w:rsid w:val="009776D2"/>
    <w:rsid w:val="009776F4"/>
    <w:rsid w:val="009777C1"/>
    <w:rsid w:val="009777CB"/>
    <w:rsid w:val="009778AF"/>
    <w:rsid w:val="00977A61"/>
    <w:rsid w:val="00977B37"/>
    <w:rsid w:val="00977C08"/>
    <w:rsid w:val="00977CF8"/>
    <w:rsid w:val="00977D32"/>
    <w:rsid w:val="00977DAF"/>
    <w:rsid w:val="00977DC0"/>
    <w:rsid w:val="00977DC5"/>
    <w:rsid w:val="00977E6C"/>
    <w:rsid w:val="00977E9D"/>
    <w:rsid w:val="00977EF1"/>
    <w:rsid w:val="00977EF4"/>
    <w:rsid w:val="00977FC5"/>
    <w:rsid w:val="00980015"/>
    <w:rsid w:val="0098003D"/>
    <w:rsid w:val="0098008C"/>
    <w:rsid w:val="009801BC"/>
    <w:rsid w:val="00980228"/>
    <w:rsid w:val="009802C2"/>
    <w:rsid w:val="009802CE"/>
    <w:rsid w:val="009802E5"/>
    <w:rsid w:val="009802FA"/>
    <w:rsid w:val="0098035B"/>
    <w:rsid w:val="0098040B"/>
    <w:rsid w:val="0098057F"/>
    <w:rsid w:val="00980717"/>
    <w:rsid w:val="00980759"/>
    <w:rsid w:val="00980790"/>
    <w:rsid w:val="009808B1"/>
    <w:rsid w:val="009808B7"/>
    <w:rsid w:val="009808FE"/>
    <w:rsid w:val="009809E2"/>
    <w:rsid w:val="00980A6A"/>
    <w:rsid w:val="00980A99"/>
    <w:rsid w:val="00980AD9"/>
    <w:rsid w:val="00980AFA"/>
    <w:rsid w:val="00980BF3"/>
    <w:rsid w:val="00980CCB"/>
    <w:rsid w:val="00980CD1"/>
    <w:rsid w:val="00980D87"/>
    <w:rsid w:val="00980EFF"/>
    <w:rsid w:val="00980F81"/>
    <w:rsid w:val="00980FBF"/>
    <w:rsid w:val="00980FDC"/>
    <w:rsid w:val="00980FFF"/>
    <w:rsid w:val="00981064"/>
    <w:rsid w:val="009810EC"/>
    <w:rsid w:val="00981175"/>
    <w:rsid w:val="00981233"/>
    <w:rsid w:val="00981292"/>
    <w:rsid w:val="009812B3"/>
    <w:rsid w:val="00981366"/>
    <w:rsid w:val="009814BF"/>
    <w:rsid w:val="0098152B"/>
    <w:rsid w:val="0098152E"/>
    <w:rsid w:val="00981596"/>
    <w:rsid w:val="00981669"/>
    <w:rsid w:val="009816A4"/>
    <w:rsid w:val="00981750"/>
    <w:rsid w:val="00981754"/>
    <w:rsid w:val="009817B0"/>
    <w:rsid w:val="00981825"/>
    <w:rsid w:val="00981864"/>
    <w:rsid w:val="0098186D"/>
    <w:rsid w:val="00981B32"/>
    <w:rsid w:val="00981CE3"/>
    <w:rsid w:val="00981DC9"/>
    <w:rsid w:val="00981DDE"/>
    <w:rsid w:val="00981FA4"/>
    <w:rsid w:val="0098207A"/>
    <w:rsid w:val="0098209E"/>
    <w:rsid w:val="009821BA"/>
    <w:rsid w:val="009821C9"/>
    <w:rsid w:val="009821CE"/>
    <w:rsid w:val="00982277"/>
    <w:rsid w:val="00982295"/>
    <w:rsid w:val="0098231F"/>
    <w:rsid w:val="00982341"/>
    <w:rsid w:val="00982345"/>
    <w:rsid w:val="009825CC"/>
    <w:rsid w:val="00982608"/>
    <w:rsid w:val="00982698"/>
    <w:rsid w:val="0098271D"/>
    <w:rsid w:val="00982759"/>
    <w:rsid w:val="00982818"/>
    <w:rsid w:val="0098283D"/>
    <w:rsid w:val="0098284E"/>
    <w:rsid w:val="00982862"/>
    <w:rsid w:val="00982891"/>
    <w:rsid w:val="00982904"/>
    <w:rsid w:val="0098291F"/>
    <w:rsid w:val="0098299B"/>
    <w:rsid w:val="009829E8"/>
    <w:rsid w:val="00982A39"/>
    <w:rsid w:val="00982AB0"/>
    <w:rsid w:val="00982AFD"/>
    <w:rsid w:val="00982B45"/>
    <w:rsid w:val="00982BC2"/>
    <w:rsid w:val="00982BE2"/>
    <w:rsid w:val="00982DC3"/>
    <w:rsid w:val="00982DDA"/>
    <w:rsid w:val="00982E69"/>
    <w:rsid w:val="00982EEB"/>
    <w:rsid w:val="00982F69"/>
    <w:rsid w:val="00982FA7"/>
    <w:rsid w:val="0098304D"/>
    <w:rsid w:val="009830B7"/>
    <w:rsid w:val="009831B2"/>
    <w:rsid w:val="009831FF"/>
    <w:rsid w:val="00983205"/>
    <w:rsid w:val="009832BA"/>
    <w:rsid w:val="009832E0"/>
    <w:rsid w:val="00983329"/>
    <w:rsid w:val="00983349"/>
    <w:rsid w:val="0098339A"/>
    <w:rsid w:val="009833AD"/>
    <w:rsid w:val="00983572"/>
    <w:rsid w:val="009835BC"/>
    <w:rsid w:val="00983610"/>
    <w:rsid w:val="00983733"/>
    <w:rsid w:val="00983776"/>
    <w:rsid w:val="00983786"/>
    <w:rsid w:val="009837B9"/>
    <w:rsid w:val="009837E5"/>
    <w:rsid w:val="009837ED"/>
    <w:rsid w:val="0098381A"/>
    <w:rsid w:val="009838E0"/>
    <w:rsid w:val="00983903"/>
    <w:rsid w:val="00983947"/>
    <w:rsid w:val="00983969"/>
    <w:rsid w:val="00983ADC"/>
    <w:rsid w:val="00983B4E"/>
    <w:rsid w:val="00983BAE"/>
    <w:rsid w:val="00983BE9"/>
    <w:rsid w:val="00983C2C"/>
    <w:rsid w:val="00983C9C"/>
    <w:rsid w:val="00983CA8"/>
    <w:rsid w:val="00983CF4"/>
    <w:rsid w:val="00983E42"/>
    <w:rsid w:val="00983F3F"/>
    <w:rsid w:val="00983F5C"/>
    <w:rsid w:val="00983F99"/>
    <w:rsid w:val="00983FF8"/>
    <w:rsid w:val="0098401E"/>
    <w:rsid w:val="009842D5"/>
    <w:rsid w:val="00984320"/>
    <w:rsid w:val="00984357"/>
    <w:rsid w:val="009843E0"/>
    <w:rsid w:val="009843FC"/>
    <w:rsid w:val="00984448"/>
    <w:rsid w:val="0098444E"/>
    <w:rsid w:val="0098448B"/>
    <w:rsid w:val="009844AB"/>
    <w:rsid w:val="0098452F"/>
    <w:rsid w:val="00984688"/>
    <w:rsid w:val="0098468C"/>
    <w:rsid w:val="009848AA"/>
    <w:rsid w:val="00984935"/>
    <w:rsid w:val="00984A29"/>
    <w:rsid w:val="00984B02"/>
    <w:rsid w:val="00984B04"/>
    <w:rsid w:val="00984B16"/>
    <w:rsid w:val="00984BD2"/>
    <w:rsid w:val="00984BFD"/>
    <w:rsid w:val="00984C2B"/>
    <w:rsid w:val="00984CF7"/>
    <w:rsid w:val="00984DFB"/>
    <w:rsid w:val="00984E31"/>
    <w:rsid w:val="00984EC3"/>
    <w:rsid w:val="00984EFA"/>
    <w:rsid w:val="00984F5B"/>
    <w:rsid w:val="00984FBA"/>
    <w:rsid w:val="0098502B"/>
    <w:rsid w:val="00985145"/>
    <w:rsid w:val="0098515C"/>
    <w:rsid w:val="009851C3"/>
    <w:rsid w:val="009851EA"/>
    <w:rsid w:val="0098521C"/>
    <w:rsid w:val="00985222"/>
    <w:rsid w:val="009852F4"/>
    <w:rsid w:val="00985373"/>
    <w:rsid w:val="009853FD"/>
    <w:rsid w:val="00985448"/>
    <w:rsid w:val="00985572"/>
    <w:rsid w:val="0098560A"/>
    <w:rsid w:val="00985646"/>
    <w:rsid w:val="009856B9"/>
    <w:rsid w:val="009856FA"/>
    <w:rsid w:val="00985850"/>
    <w:rsid w:val="00985891"/>
    <w:rsid w:val="00985897"/>
    <w:rsid w:val="00985907"/>
    <w:rsid w:val="00985948"/>
    <w:rsid w:val="00985A31"/>
    <w:rsid w:val="00985B40"/>
    <w:rsid w:val="00985B42"/>
    <w:rsid w:val="00985B93"/>
    <w:rsid w:val="00985C1D"/>
    <w:rsid w:val="00985DC9"/>
    <w:rsid w:val="00985EFF"/>
    <w:rsid w:val="00985F7A"/>
    <w:rsid w:val="00985F8F"/>
    <w:rsid w:val="0098609B"/>
    <w:rsid w:val="009860AE"/>
    <w:rsid w:val="009860B4"/>
    <w:rsid w:val="009860E1"/>
    <w:rsid w:val="00986170"/>
    <w:rsid w:val="00986239"/>
    <w:rsid w:val="00986294"/>
    <w:rsid w:val="0098629E"/>
    <w:rsid w:val="009862B0"/>
    <w:rsid w:val="00986362"/>
    <w:rsid w:val="00986478"/>
    <w:rsid w:val="00986498"/>
    <w:rsid w:val="009864F6"/>
    <w:rsid w:val="009864FF"/>
    <w:rsid w:val="00986585"/>
    <w:rsid w:val="009865B0"/>
    <w:rsid w:val="00986663"/>
    <w:rsid w:val="009866EB"/>
    <w:rsid w:val="0098673B"/>
    <w:rsid w:val="009867B8"/>
    <w:rsid w:val="0098695A"/>
    <w:rsid w:val="009869D9"/>
    <w:rsid w:val="00986A25"/>
    <w:rsid w:val="00986A4D"/>
    <w:rsid w:val="00986B18"/>
    <w:rsid w:val="00986B45"/>
    <w:rsid w:val="00986B83"/>
    <w:rsid w:val="00986CBD"/>
    <w:rsid w:val="00986D14"/>
    <w:rsid w:val="00986D92"/>
    <w:rsid w:val="00986DFD"/>
    <w:rsid w:val="00986E65"/>
    <w:rsid w:val="00986F11"/>
    <w:rsid w:val="00986F72"/>
    <w:rsid w:val="00986F7F"/>
    <w:rsid w:val="00986F94"/>
    <w:rsid w:val="00986FF3"/>
    <w:rsid w:val="0098705F"/>
    <w:rsid w:val="009870E3"/>
    <w:rsid w:val="00987161"/>
    <w:rsid w:val="00987168"/>
    <w:rsid w:val="00987188"/>
    <w:rsid w:val="00987211"/>
    <w:rsid w:val="009872AD"/>
    <w:rsid w:val="009872F5"/>
    <w:rsid w:val="00987378"/>
    <w:rsid w:val="0098737E"/>
    <w:rsid w:val="00987446"/>
    <w:rsid w:val="00987451"/>
    <w:rsid w:val="009874A1"/>
    <w:rsid w:val="00987500"/>
    <w:rsid w:val="0098756C"/>
    <w:rsid w:val="00987639"/>
    <w:rsid w:val="009876BE"/>
    <w:rsid w:val="009876E4"/>
    <w:rsid w:val="009876FD"/>
    <w:rsid w:val="0098782C"/>
    <w:rsid w:val="0098791D"/>
    <w:rsid w:val="00987967"/>
    <w:rsid w:val="00987A36"/>
    <w:rsid w:val="00987A8F"/>
    <w:rsid w:val="00987AA4"/>
    <w:rsid w:val="00987AA9"/>
    <w:rsid w:val="00987ACC"/>
    <w:rsid w:val="00987ACD"/>
    <w:rsid w:val="00987BD2"/>
    <w:rsid w:val="00987C72"/>
    <w:rsid w:val="00987C7A"/>
    <w:rsid w:val="00987CDE"/>
    <w:rsid w:val="00987D80"/>
    <w:rsid w:val="00987E01"/>
    <w:rsid w:val="00987E16"/>
    <w:rsid w:val="00987E31"/>
    <w:rsid w:val="00987EED"/>
    <w:rsid w:val="00987F48"/>
    <w:rsid w:val="00987F8D"/>
    <w:rsid w:val="00987F8F"/>
    <w:rsid w:val="00990146"/>
    <w:rsid w:val="00990170"/>
    <w:rsid w:val="0099018F"/>
    <w:rsid w:val="009901B1"/>
    <w:rsid w:val="009902AD"/>
    <w:rsid w:val="0099030B"/>
    <w:rsid w:val="0099041A"/>
    <w:rsid w:val="009906CC"/>
    <w:rsid w:val="0099070E"/>
    <w:rsid w:val="00990A27"/>
    <w:rsid w:val="00990ACD"/>
    <w:rsid w:val="00990B24"/>
    <w:rsid w:val="00990BE3"/>
    <w:rsid w:val="00990C74"/>
    <w:rsid w:val="00990CD7"/>
    <w:rsid w:val="00990D96"/>
    <w:rsid w:val="00990E8C"/>
    <w:rsid w:val="00990F57"/>
    <w:rsid w:val="00990F78"/>
    <w:rsid w:val="0099107E"/>
    <w:rsid w:val="0099109D"/>
    <w:rsid w:val="009910FC"/>
    <w:rsid w:val="00991135"/>
    <w:rsid w:val="0099113F"/>
    <w:rsid w:val="009911AA"/>
    <w:rsid w:val="009911C7"/>
    <w:rsid w:val="00991224"/>
    <w:rsid w:val="00991236"/>
    <w:rsid w:val="009912EA"/>
    <w:rsid w:val="00991338"/>
    <w:rsid w:val="009914B0"/>
    <w:rsid w:val="009915A6"/>
    <w:rsid w:val="009916A4"/>
    <w:rsid w:val="009916E9"/>
    <w:rsid w:val="009917B6"/>
    <w:rsid w:val="009917C9"/>
    <w:rsid w:val="00991841"/>
    <w:rsid w:val="0099187E"/>
    <w:rsid w:val="00991899"/>
    <w:rsid w:val="009918B1"/>
    <w:rsid w:val="009918CF"/>
    <w:rsid w:val="0099195E"/>
    <w:rsid w:val="0099196E"/>
    <w:rsid w:val="00991BA6"/>
    <w:rsid w:val="00991C06"/>
    <w:rsid w:val="00991C0E"/>
    <w:rsid w:val="00991CA7"/>
    <w:rsid w:val="00991CD1"/>
    <w:rsid w:val="00991E2C"/>
    <w:rsid w:val="00991F44"/>
    <w:rsid w:val="00991F83"/>
    <w:rsid w:val="00991F99"/>
    <w:rsid w:val="00992022"/>
    <w:rsid w:val="00992038"/>
    <w:rsid w:val="0099204E"/>
    <w:rsid w:val="0099205E"/>
    <w:rsid w:val="009921D0"/>
    <w:rsid w:val="00992295"/>
    <w:rsid w:val="009922C4"/>
    <w:rsid w:val="009922E5"/>
    <w:rsid w:val="00992372"/>
    <w:rsid w:val="00992398"/>
    <w:rsid w:val="00992456"/>
    <w:rsid w:val="00992479"/>
    <w:rsid w:val="009924AA"/>
    <w:rsid w:val="009924F2"/>
    <w:rsid w:val="009925C1"/>
    <w:rsid w:val="009926AF"/>
    <w:rsid w:val="00992719"/>
    <w:rsid w:val="009927FF"/>
    <w:rsid w:val="00992815"/>
    <w:rsid w:val="0099282D"/>
    <w:rsid w:val="00992889"/>
    <w:rsid w:val="00992890"/>
    <w:rsid w:val="00992AAB"/>
    <w:rsid w:val="00992ABE"/>
    <w:rsid w:val="00992AC3"/>
    <w:rsid w:val="00992B00"/>
    <w:rsid w:val="00992B12"/>
    <w:rsid w:val="00992BAA"/>
    <w:rsid w:val="00992C7F"/>
    <w:rsid w:val="00992CB2"/>
    <w:rsid w:val="00992D9A"/>
    <w:rsid w:val="00992D9E"/>
    <w:rsid w:val="00992DA5"/>
    <w:rsid w:val="00992E03"/>
    <w:rsid w:val="00992E17"/>
    <w:rsid w:val="00992E64"/>
    <w:rsid w:val="00992EC4"/>
    <w:rsid w:val="00992EF1"/>
    <w:rsid w:val="00992FF0"/>
    <w:rsid w:val="0099308F"/>
    <w:rsid w:val="009930BC"/>
    <w:rsid w:val="009930EB"/>
    <w:rsid w:val="0099318C"/>
    <w:rsid w:val="009931A3"/>
    <w:rsid w:val="0099324F"/>
    <w:rsid w:val="00993251"/>
    <w:rsid w:val="00993342"/>
    <w:rsid w:val="00993350"/>
    <w:rsid w:val="00993398"/>
    <w:rsid w:val="009933A2"/>
    <w:rsid w:val="00993455"/>
    <w:rsid w:val="009934B3"/>
    <w:rsid w:val="00993516"/>
    <w:rsid w:val="00993710"/>
    <w:rsid w:val="009937A5"/>
    <w:rsid w:val="00993A7C"/>
    <w:rsid w:val="00993B7A"/>
    <w:rsid w:val="00993B9C"/>
    <w:rsid w:val="00993C48"/>
    <w:rsid w:val="00993CFB"/>
    <w:rsid w:val="00993DBC"/>
    <w:rsid w:val="00993DF8"/>
    <w:rsid w:val="00993E0D"/>
    <w:rsid w:val="00993E62"/>
    <w:rsid w:val="00993EF1"/>
    <w:rsid w:val="00994032"/>
    <w:rsid w:val="00994060"/>
    <w:rsid w:val="00994090"/>
    <w:rsid w:val="009940A4"/>
    <w:rsid w:val="009940D9"/>
    <w:rsid w:val="00994281"/>
    <w:rsid w:val="009942A9"/>
    <w:rsid w:val="009942E7"/>
    <w:rsid w:val="0099432A"/>
    <w:rsid w:val="00994341"/>
    <w:rsid w:val="009945D1"/>
    <w:rsid w:val="009947C6"/>
    <w:rsid w:val="0099497D"/>
    <w:rsid w:val="00994993"/>
    <w:rsid w:val="0099499B"/>
    <w:rsid w:val="00994ABF"/>
    <w:rsid w:val="00994B1E"/>
    <w:rsid w:val="00994B43"/>
    <w:rsid w:val="00994BD3"/>
    <w:rsid w:val="00994C29"/>
    <w:rsid w:val="00994CC4"/>
    <w:rsid w:val="00994DF1"/>
    <w:rsid w:val="00994DF2"/>
    <w:rsid w:val="00994E17"/>
    <w:rsid w:val="00994EED"/>
    <w:rsid w:val="00994F3E"/>
    <w:rsid w:val="00994F75"/>
    <w:rsid w:val="00994FA5"/>
    <w:rsid w:val="009950EA"/>
    <w:rsid w:val="009951E3"/>
    <w:rsid w:val="009951FA"/>
    <w:rsid w:val="00995222"/>
    <w:rsid w:val="0099527F"/>
    <w:rsid w:val="009952A8"/>
    <w:rsid w:val="009952AB"/>
    <w:rsid w:val="009952C2"/>
    <w:rsid w:val="0099531A"/>
    <w:rsid w:val="0099533B"/>
    <w:rsid w:val="009954C2"/>
    <w:rsid w:val="009954F3"/>
    <w:rsid w:val="00995544"/>
    <w:rsid w:val="0099558E"/>
    <w:rsid w:val="0099571B"/>
    <w:rsid w:val="00995860"/>
    <w:rsid w:val="00995933"/>
    <w:rsid w:val="0099596E"/>
    <w:rsid w:val="009959B6"/>
    <w:rsid w:val="00995A1B"/>
    <w:rsid w:val="00995AC8"/>
    <w:rsid w:val="00995B80"/>
    <w:rsid w:val="00995C1D"/>
    <w:rsid w:val="00995C3A"/>
    <w:rsid w:val="00995C63"/>
    <w:rsid w:val="00995D1E"/>
    <w:rsid w:val="00995E5D"/>
    <w:rsid w:val="00995E5F"/>
    <w:rsid w:val="00995E68"/>
    <w:rsid w:val="00995E8A"/>
    <w:rsid w:val="00995F27"/>
    <w:rsid w:val="00995F44"/>
    <w:rsid w:val="009960D9"/>
    <w:rsid w:val="0099614D"/>
    <w:rsid w:val="009961C5"/>
    <w:rsid w:val="0099632F"/>
    <w:rsid w:val="0099633B"/>
    <w:rsid w:val="00996351"/>
    <w:rsid w:val="009963C0"/>
    <w:rsid w:val="009963DA"/>
    <w:rsid w:val="00996415"/>
    <w:rsid w:val="0099642D"/>
    <w:rsid w:val="009964FC"/>
    <w:rsid w:val="00996525"/>
    <w:rsid w:val="009965F0"/>
    <w:rsid w:val="009966EB"/>
    <w:rsid w:val="009967E0"/>
    <w:rsid w:val="0099681D"/>
    <w:rsid w:val="00996998"/>
    <w:rsid w:val="009969C1"/>
    <w:rsid w:val="009969F8"/>
    <w:rsid w:val="00996A54"/>
    <w:rsid w:val="00996C68"/>
    <w:rsid w:val="00996C74"/>
    <w:rsid w:val="00996C9B"/>
    <w:rsid w:val="00996D31"/>
    <w:rsid w:val="00996DE7"/>
    <w:rsid w:val="00996E20"/>
    <w:rsid w:val="00996E35"/>
    <w:rsid w:val="00996E6C"/>
    <w:rsid w:val="00996EF9"/>
    <w:rsid w:val="00996F86"/>
    <w:rsid w:val="0099710A"/>
    <w:rsid w:val="0099718C"/>
    <w:rsid w:val="009971B6"/>
    <w:rsid w:val="009971CE"/>
    <w:rsid w:val="00997200"/>
    <w:rsid w:val="0099728B"/>
    <w:rsid w:val="009972A7"/>
    <w:rsid w:val="009972C0"/>
    <w:rsid w:val="009972FE"/>
    <w:rsid w:val="009973B3"/>
    <w:rsid w:val="0099755D"/>
    <w:rsid w:val="009975C2"/>
    <w:rsid w:val="00997603"/>
    <w:rsid w:val="00997616"/>
    <w:rsid w:val="00997672"/>
    <w:rsid w:val="00997674"/>
    <w:rsid w:val="009976C9"/>
    <w:rsid w:val="00997705"/>
    <w:rsid w:val="00997706"/>
    <w:rsid w:val="00997724"/>
    <w:rsid w:val="0099774A"/>
    <w:rsid w:val="00997773"/>
    <w:rsid w:val="009977A2"/>
    <w:rsid w:val="009978AA"/>
    <w:rsid w:val="00997904"/>
    <w:rsid w:val="009979C0"/>
    <w:rsid w:val="00997A04"/>
    <w:rsid w:val="00997AE1"/>
    <w:rsid w:val="00997B00"/>
    <w:rsid w:val="00997C21"/>
    <w:rsid w:val="00997C29"/>
    <w:rsid w:val="00997C72"/>
    <w:rsid w:val="00997CC2"/>
    <w:rsid w:val="00997CC6"/>
    <w:rsid w:val="00997D1E"/>
    <w:rsid w:val="00997D59"/>
    <w:rsid w:val="00997DF1"/>
    <w:rsid w:val="00997DFA"/>
    <w:rsid w:val="009A00A3"/>
    <w:rsid w:val="009A01E7"/>
    <w:rsid w:val="009A01FA"/>
    <w:rsid w:val="009A0249"/>
    <w:rsid w:val="009A0269"/>
    <w:rsid w:val="009A0368"/>
    <w:rsid w:val="009A0372"/>
    <w:rsid w:val="009A039A"/>
    <w:rsid w:val="009A0404"/>
    <w:rsid w:val="009A043D"/>
    <w:rsid w:val="009A0441"/>
    <w:rsid w:val="009A0539"/>
    <w:rsid w:val="009A060F"/>
    <w:rsid w:val="009A0696"/>
    <w:rsid w:val="009A06E7"/>
    <w:rsid w:val="009A0733"/>
    <w:rsid w:val="009A0758"/>
    <w:rsid w:val="009A07CD"/>
    <w:rsid w:val="009A0802"/>
    <w:rsid w:val="009A088F"/>
    <w:rsid w:val="009A0973"/>
    <w:rsid w:val="009A09E3"/>
    <w:rsid w:val="009A09ED"/>
    <w:rsid w:val="009A0A54"/>
    <w:rsid w:val="009A0A60"/>
    <w:rsid w:val="009A0AAE"/>
    <w:rsid w:val="009A0AEB"/>
    <w:rsid w:val="009A0B58"/>
    <w:rsid w:val="009A0BAE"/>
    <w:rsid w:val="009A0C31"/>
    <w:rsid w:val="009A0CD3"/>
    <w:rsid w:val="009A0CFD"/>
    <w:rsid w:val="009A0D4D"/>
    <w:rsid w:val="009A0DC1"/>
    <w:rsid w:val="009A0E00"/>
    <w:rsid w:val="009A0E27"/>
    <w:rsid w:val="009A0E99"/>
    <w:rsid w:val="009A0EA2"/>
    <w:rsid w:val="009A0F14"/>
    <w:rsid w:val="009A1031"/>
    <w:rsid w:val="009A1090"/>
    <w:rsid w:val="009A10E3"/>
    <w:rsid w:val="009A1280"/>
    <w:rsid w:val="009A12EB"/>
    <w:rsid w:val="009A1338"/>
    <w:rsid w:val="009A135E"/>
    <w:rsid w:val="009A143C"/>
    <w:rsid w:val="009A14E0"/>
    <w:rsid w:val="009A15BF"/>
    <w:rsid w:val="009A15F3"/>
    <w:rsid w:val="009A1AB2"/>
    <w:rsid w:val="009A1AE0"/>
    <w:rsid w:val="009A1BE6"/>
    <w:rsid w:val="009A1C1A"/>
    <w:rsid w:val="009A1D72"/>
    <w:rsid w:val="009A1DB7"/>
    <w:rsid w:val="009A1FAB"/>
    <w:rsid w:val="009A20BB"/>
    <w:rsid w:val="009A21C5"/>
    <w:rsid w:val="009A2232"/>
    <w:rsid w:val="009A2243"/>
    <w:rsid w:val="009A22DA"/>
    <w:rsid w:val="009A234D"/>
    <w:rsid w:val="009A23CA"/>
    <w:rsid w:val="009A24B8"/>
    <w:rsid w:val="009A251E"/>
    <w:rsid w:val="009A254E"/>
    <w:rsid w:val="009A25BF"/>
    <w:rsid w:val="009A263A"/>
    <w:rsid w:val="009A2646"/>
    <w:rsid w:val="009A2674"/>
    <w:rsid w:val="009A2712"/>
    <w:rsid w:val="009A271D"/>
    <w:rsid w:val="009A2765"/>
    <w:rsid w:val="009A277C"/>
    <w:rsid w:val="009A2784"/>
    <w:rsid w:val="009A27C8"/>
    <w:rsid w:val="009A27D0"/>
    <w:rsid w:val="009A28C0"/>
    <w:rsid w:val="009A28E2"/>
    <w:rsid w:val="009A2904"/>
    <w:rsid w:val="009A2997"/>
    <w:rsid w:val="009A29FA"/>
    <w:rsid w:val="009A2A17"/>
    <w:rsid w:val="009A2AB2"/>
    <w:rsid w:val="009A2AB5"/>
    <w:rsid w:val="009A2B16"/>
    <w:rsid w:val="009A2B1E"/>
    <w:rsid w:val="009A2C7A"/>
    <w:rsid w:val="009A2D7B"/>
    <w:rsid w:val="009A2F01"/>
    <w:rsid w:val="009A309F"/>
    <w:rsid w:val="009A311E"/>
    <w:rsid w:val="009A3232"/>
    <w:rsid w:val="009A3354"/>
    <w:rsid w:val="009A3385"/>
    <w:rsid w:val="009A3394"/>
    <w:rsid w:val="009A345D"/>
    <w:rsid w:val="009A34B8"/>
    <w:rsid w:val="009A35C3"/>
    <w:rsid w:val="009A363B"/>
    <w:rsid w:val="009A3722"/>
    <w:rsid w:val="009A3724"/>
    <w:rsid w:val="009A38C8"/>
    <w:rsid w:val="009A38D9"/>
    <w:rsid w:val="009A39E0"/>
    <w:rsid w:val="009A3A4D"/>
    <w:rsid w:val="009A3A68"/>
    <w:rsid w:val="009A3B59"/>
    <w:rsid w:val="009A3C85"/>
    <w:rsid w:val="009A3D67"/>
    <w:rsid w:val="009A3EA1"/>
    <w:rsid w:val="009A3EB3"/>
    <w:rsid w:val="009A3F66"/>
    <w:rsid w:val="009A402E"/>
    <w:rsid w:val="009A40D8"/>
    <w:rsid w:val="009A4134"/>
    <w:rsid w:val="009A413A"/>
    <w:rsid w:val="009A41CA"/>
    <w:rsid w:val="009A41E4"/>
    <w:rsid w:val="009A4203"/>
    <w:rsid w:val="009A420A"/>
    <w:rsid w:val="009A4213"/>
    <w:rsid w:val="009A4325"/>
    <w:rsid w:val="009A4383"/>
    <w:rsid w:val="009A440B"/>
    <w:rsid w:val="009A441B"/>
    <w:rsid w:val="009A4425"/>
    <w:rsid w:val="009A44B1"/>
    <w:rsid w:val="009A44FC"/>
    <w:rsid w:val="009A4567"/>
    <w:rsid w:val="009A45AE"/>
    <w:rsid w:val="009A45F5"/>
    <w:rsid w:val="009A4666"/>
    <w:rsid w:val="009A46FB"/>
    <w:rsid w:val="009A473E"/>
    <w:rsid w:val="009A486C"/>
    <w:rsid w:val="009A4877"/>
    <w:rsid w:val="009A4AD6"/>
    <w:rsid w:val="009A4AD7"/>
    <w:rsid w:val="009A4AEA"/>
    <w:rsid w:val="009A4B2F"/>
    <w:rsid w:val="009A4BCD"/>
    <w:rsid w:val="009A4C00"/>
    <w:rsid w:val="009A4D68"/>
    <w:rsid w:val="009A4DE7"/>
    <w:rsid w:val="009A4E7B"/>
    <w:rsid w:val="009A4E7D"/>
    <w:rsid w:val="009A4E9F"/>
    <w:rsid w:val="009A4F22"/>
    <w:rsid w:val="009A50D3"/>
    <w:rsid w:val="009A5125"/>
    <w:rsid w:val="009A5131"/>
    <w:rsid w:val="009A5139"/>
    <w:rsid w:val="009A5197"/>
    <w:rsid w:val="009A5224"/>
    <w:rsid w:val="009A528F"/>
    <w:rsid w:val="009A5298"/>
    <w:rsid w:val="009A52AC"/>
    <w:rsid w:val="009A53D4"/>
    <w:rsid w:val="009A53ED"/>
    <w:rsid w:val="009A5423"/>
    <w:rsid w:val="009A54AC"/>
    <w:rsid w:val="009A5515"/>
    <w:rsid w:val="009A5558"/>
    <w:rsid w:val="009A55D0"/>
    <w:rsid w:val="009A56C6"/>
    <w:rsid w:val="009A5A0D"/>
    <w:rsid w:val="009A5A56"/>
    <w:rsid w:val="009A5AA2"/>
    <w:rsid w:val="009A5ACF"/>
    <w:rsid w:val="009A5AF5"/>
    <w:rsid w:val="009A5BC6"/>
    <w:rsid w:val="009A5BC9"/>
    <w:rsid w:val="009A5C6F"/>
    <w:rsid w:val="009A5CF8"/>
    <w:rsid w:val="009A5D01"/>
    <w:rsid w:val="009A5DDA"/>
    <w:rsid w:val="009A5EF8"/>
    <w:rsid w:val="009A5F17"/>
    <w:rsid w:val="009A5F22"/>
    <w:rsid w:val="009A5FB5"/>
    <w:rsid w:val="009A5FF1"/>
    <w:rsid w:val="009A6025"/>
    <w:rsid w:val="009A60AF"/>
    <w:rsid w:val="009A60E0"/>
    <w:rsid w:val="009A60FB"/>
    <w:rsid w:val="009A6109"/>
    <w:rsid w:val="009A6120"/>
    <w:rsid w:val="009A613B"/>
    <w:rsid w:val="009A61AA"/>
    <w:rsid w:val="009A61BE"/>
    <w:rsid w:val="009A6216"/>
    <w:rsid w:val="009A628A"/>
    <w:rsid w:val="009A62A5"/>
    <w:rsid w:val="009A62EB"/>
    <w:rsid w:val="009A6320"/>
    <w:rsid w:val="009A63CA"/>
    <w:rsid w:val="009A63D9"/>
    <w:rsid w:val="009A648E"/>
    <w:rsid w:val="009A649A"/>
    <w:rsid w:val="009A657E"/>
    <w:rsid w:val="009A658F"/>
    <w:rsid w:val="009A6702"/>
    <w:rsid w:val="009A68C2"/>
    <w:rsid w:val="009A6A35"/>
    <w:rsid w:val="009A6A4F"/>
    <w:rsid w:val="009A6ADF"/>
    <w:rsid w:val="009A6B2D"/>
    <w:rsid w:val="009A6B58"/>
    <w:rsid w:val="009A6B6B"/>
    <w:rsid w:val="009A6B81"/>
    <w:rsid w:val="009A6CCE"/>
    <w:rsid w:val="009A6CD1"/>
    <w:rsid w:val="009A6CD2"/>
    <w:rsid w:val="009A6D36"/>
    <w:rsid w:val="009A6D3C"/>
    <w:rsid w:val="009A6DED"/>
    <w:rsid w:val="009A6DF3"/>
    <w:rsid w:val="009A6DFD"/>
    <w:rsid w:val="009A6E28"/>
    <w:rsid w:val="009A6EF8"/>
    <w:rsid w:val="009A70CA"/>
    <w:rsid w:val="009A70DB"/>
    <w:rsid w:val="009A719E"/>
    <w:rsid w:val="009A730A"/>
    <w:rsid w:val="009A7318"/>
    <w:rsid w:val="009A7409"/>
    <w:rsid w:val="009A74C9"/>
    <w:rsid w:val="009A74CC"/>
    <w:rsid w:val="009A7536"/>
    <w:rsid w:val="009A7548"/>
    <w:rsid w:val="009A755F"/>
    <w:rsid w:val="009A759D"/>
    <w:rsid w:val="009A76BA"/>
    <w:rsid w:val="009A7719"/>
    <w:rsid w:val="009A7734"/>
    <w:rsid w:val="009A7757"/>
    <w:rsid w:val="009A775F"/>
    <w:rsid w:val="009A776A"/>
    <w:rsid w:val="009A778A"/>
    <w:rsid w:val="009A7807"/>
    <w:rsid w:val="009A787A"/>
    <w:rsid w:val="009A78AB"/>
    <w:rsid w:val="009A795B"/>
    <w:rsid w:val="009A7991"/>
    <w:rsid w:val="009A7997"/>
    <w:rsid w:val="009A7A45"/>
    <w:rsid w:val="009A7A92"/>
    <w:rsid w:val="009A7AA3"/>
    <w:rsid w:val="009A7D72"/>
    <w:rsid w:val="009A7D8B"/>
    <w:rsid w:val="009B0017"/>
    <w:rsid w:val="009B0126"/>
    <w:rsid w:val="009B01AA"/>
    <w:rsid w:val="009B01B6"/>
    <w:rsid w:val="009B01D3"/>
    <w:rsid w:val="009B0208"/>
    <w:rsid w:val="009B02C5"/>
    <w:rsid w:val="009B0373"/>
    <w:rsid w:val="009B039F"/>
    <w:rsid w:val="009B03FD"/>
    <w:rsid w:val="009B0474"/>
    <w:rsid w:val="009B0517"/>
    <w:rsid w:val="009B0636"/>
    <w:rsid w:val="009B06E6"/>
    <w:rsid w:val="009B088F"/>
    <w:rsid w:val="009B08EA"/>
    <w:rsid w:val="009B0A11"/>
    <w:rsid w:val="009B0B16"/>
    <w:rsid w:val="009B0B30"/>
    <w:rsid w:val="009B0B82"/>
    <w:rsid w:val="009B0C6C"/>
    <w:rsid w:val="009B0D2D"/>
    <w:rsid w:val="009B0D6F"/>
    <w:rsid w:val="009B0E42"/>
    <w:rsid w:val="009B0E92"/>
    <w:rsid w:val="009B0EF0"/>
    <w:rsid w:val="009B0F08"/>
    <w:rsid w:val="009B0FCD"/>
    <w:rsid w:val="009B1012"/>
    <w:rsid w:val="009B1028"/>
    <w:rsid w:val="009B102D"/>
    <w:rsid w:val="009B10B0"/>
    <w:rsid w:val="009B1120"/>
    <w:rsid w:val="009B11F3"/>
    <w:rsid w:val="009B123A"/>
    <w:rsid w:val="009B135A"/>
    <w:rsid w:val="009B13C8"/>
    <w:rsid w:val="009B146A"/>
    <w:rsid w:val="009B1556"/>
    <w:rsid w:val="009B162D"/>
    <w:rsid w:val="009B16DE"/>
    <w:rsid w:val="009B16FC"/>
    <w:rsid w:val="009B17B8"/>
    <w:rsid w:val="009B18C7"/>
    <w:rsid w:val="009B18CC"/>
    <w:rsid w:val="009B18D4"/>
    <w:rsid w:val="009B1A40"/>
    <w:rsid w:val="009B1A81"/>
    <w:rsid w:val="009B1B22"/>
    <w:rsid w:val="009B1CC9"/>
    <w:rsid w:val="009B1CFC"/>
    <w:rsid w:val="009B1CFE"/>
    <w:rsid w:val="009B1D25"/>
    <w:rsid w:val="009B1D5C"/>
    <w:rsid w:val="009B1DD7"/>
    <w:rsid w:val="009B1E22"/>
    <w:rsid w:val="009B1E29"/>
    <w:rsid w:val="009B1E6D"/>
    <w:rsid w:val="009B1EA0"/>
    <w:rsid w:val="009B1EC8"/>
    <w:rsid w:val="009B1EFD"/>
    <w:rsid w:val="009B1F2D"/>
    <w:rsid w:val="009B1F97"/>
    <w:rsid w:val="009B1F9E"/>
    <w:rsid w:val="009B1FCC"/>
    <w:rsid w:val="009B1FEB"/>
    <w:rsid w:val="009B208E"/>
    <w:rsid w:val="009B2129"/>
    <w:rsid w:val="009B21D5"/>
    <w:rsid w:val="009B2249"/>
    <w:rsid w:val="009B2276"/>
    <w:rsid w:val="009B228D"/>
    <w:rsid w:val="009B22C6"/>
    <w:rsid w:val="009B24DF"/>
    <w:rsid w:val="009B2519"/>
    <w:rsid w:val="009B2526"/>
    <w:rsid w:val="009B2575"/>
    <w:rsid w:val="009B261F"/>
    <w:rsid w:val="009B2646"/>
    <w:rsid w:val="009B2671"/>
    <w:rsid w:val="009B26BE"/>
    <w:rsid w:val="009B2717"/>
    <w:rsid w:val="009B27CD"/>
    <w:rsid w:val="009B2933"/>
    <w:rsid w:val="009B294C"/>
    <w:rsid w:val="009B296E"/>
    <w:rsid w:val="009B2A07"/>
    <w:rsid w:val="009B2A6F"/>
    <w:rsid w:val="009B2A87"/>
    <w:rsid w:val="009B2AC3"/>
    <w:rsid w:val="009B2B28"/>
    <w:rsid w:val="009B2B45"/>
    <w:rsid w:val="009B2B5E"/>
    <w:rsid w:val="009B2C0D"/>
    <w:rsid w:val="009B2C95"/>
    <w:rsid w:val="009B2C9E"/>
    <w:rsid w:val="009B2CD2"/>
    <w:rsid w:val="009B2CDA"/>
    <w:rsid w:val="009B2DC3"/>
    <w:rsid w:val="009B2F8A"/>
    <w:rsid w:val="009B2FDA"/>
    <w:rsid w:val="009B31F8"/>
    <w:rsid w:val="009B3273"/>
    <w:rsid w:val="009B336F"/>
    <w:rsid w:val="009B33E4"/>
    <w:rsid w:val="009B3432"/>
    <w:rsid w:val="009B3453"/>
    <w:rsid w:val="009B3467"/>
    <w:rsid w:val="009B34A5"/>
    <w:rsid w:val="009B3687"/>
    <w:rsid w:val="009B36C0"/>
    <w:rsid w:val="009B3806"/>
    <w:rsid w:val="009B3A11"/>
    <w:rsid w:val="009B3A61"/>
    <w:rsid w:val="009B3B77"/>
    <w:rsid w:val="009B3C33"/>
    <w:rsid w:val="009B3C50"/>
    <w:rsid w:val="009B3F14"/>
    <w:rsid w:val="009B3F4F"/>
    <w:rsid w:val="009B3F85"/>
    <w:rsid w:val="009B4123"/>
    <w:rsid w:val="009B4249"/>
    <w:rsid w:val="009B427C"/>
    <w:rsid w:val="009B430C"/>
    <w:rsid w:val="009B441A"/>
    <w:rsid w:val="009B475D"/>
    <w:rsid w:val="009B4870"/>
    <w:rsid w:val="009B48BD"/>
    <w:rsid w:val="009B49F9"/>
    <w:rsid w:val="009B4A31"/>
    <w:rsid w:val="009B4AF6"/>
    <w:rsid w:val="009B4B56"/>
    <w:rsid w:val="009B4BC8"/>
    <w:rsid w:val="009B4D98"/>
    <w:rsid w:val="009B4DA1"/>
    <w:rsid w:val="009B4E45"/>
    <w:rsid w:val="009B4F3F"/>
    <w:rsid w:val="009B4FA1"/>
    <w:rsid w:val="009B4FF9"/>
    <w:rsid w:val="009B5049"/>
    <w:rsid w:val="009B507A"/>
    <w:rsid w:val="009B518D"/>
    <w:rsid w:val="009B51C1"/>
    <w:rsid w:val="009B52DE"/>
    <w:rsid w:val="009B5324"/>
    <w:rsid w:val="009B53F6"/>
    <w:rsid w:val="009B5493"/>
    <w:rsid w:val="009B54A7"/>
    <w:rsid w:val="009B551E"/>
    <w:rsid w:val="009B5586"/>
    <w:rsid w:val="009B55E5"/>
    <w:rsid w:val="009B5663"/>
    <w:rsid w:val="009B56DB"/>
    <w:rsid w:val="009B5821"/>
    <w:rsid w:val="009B5850"/>
    <w:rsid w:val="009B58E3"/>
    <w:rsid w:val="009B5939"/>
    <w:rsid w:val="009B5B7A"/>
    <w:rsid w:val="009B5BA9"/>
    <w:rsid w:val="009B5BFE"/>
    <w:rsid w:val="009B5C96"/>
    <w:rsid w:val="009B5D1E"/>
    <w:rsid w:val="009B5DBC"/>
    <w:rsid w:val="009B5DD5"/>
    <w:rsid w:val="009B5EA5"/>
    <w:rsid w:val="009B5FC0"/>
    <w:rsid w:val="009B6077"/>
    <w:rsid w:val="009B6078"/>
    <w:rsid w:val="009B607E"/>
    <w:rsid w:val="009B6163"/>
    <w:rsid w:val="009B618E"/>
    <w:rsid w:val="009B624C"/>
    <w:rsid w:val="009B62F7"/>
    <w:rsid w:val="009B6366"/>
    <w:rsid w:val="009B6383"/>
    <w:rsid w:val="009B6559"/>
    <w:rsid w:val="009B660F"/>
    <w:rsid w:val="009B6666"/>
    <w:rsid w:val="009B6694"/>
    <w:rsid w:val="009B66FA"/>
    <w:rsid w:val="009B6749"/>
    <w:rsid w:val="009B6980"/>
    <w:rsid w:val="009B6999"/>
    <w:rsid w:val="009B6A1A"/>
    <w:rsid w:val="009B6A2A"/>
    <w:rsid w:val="009B6A74"/>
    <w:rsid w:val="009B6C54"/>
    <w:rsid w:val="009B6D70"/>
    <w:rsid w:val="009B6DB4"/>
    <w:rsid w:val="009B6E51"/>
    <w:rsid w:val="009B6EBD"/>
    <w:rsid w:val="009B6F74"/>
    <w:rsid w:val="009B70C9"/>
    <w:rsid w:val="009B70DE"/>
    <w:rsid w:val="009B70E5"/>
    <w:rsid w:val="009B71E9"/>
    <w:rsid w:val="009B71ED"/>
    <w:rsid w:val="009B724C"/>
    <w:rsid w:val="009B728E"/>
    <w:rsid w:val="009B72B3"/>
    <w:rsid w:val="009B734A"/>
    <w:rsid w:val="009B7350"/>
    <w:rsid w:val="009B747F"/>
    <w:rsid w:val="009B76F8"/>
    <w:rsid w:val="009B7791"/>
    <w:rsid w:val="009B7846"/>
    <w:rsid w:val="009B785E"/>
    <w:rsid w:val="009B78BE"/>
    <w:rsid w:val="009B78D1"/>
    <w:rsid w:val="009B78DF"/>
    <w:rsid w:val="009B7949"/>
    <w:rsid w:val="009B7B52"/>
    <w:rsid w:val="009B7B5E"/>
    <w:rsid w:val="009B7B67"/>
    <w:rsid w:val="009B7BC1"/>
    <w:rsid w:val="009B7C0D"/>
    <w:rsid w:val="009B7CBF"/>
    <w:rsid w:val="009B7CCB"/>
    <w:rsid w:val="009B7DB1"/>
    <w:rsid w:val="009B7E01"/>
    <w:rsid w:val="009B7E1B"/>
    <w:rsid w:val="009B7F91"/>
    <w:rsid w:val="009C00A0"/>
    <w:rsid w:val="009C0103"/>
    <w:rsid w:val="009C01BA"/>
    <w:rsid w:val="009C01FF"/>
    <w:rsid w:val="009C025D"/>
    <w:rsid w:val="009C0284"/>
    <w:rsid w:val="009C0381"/>
    <w:rsid w:val="009C047B"/>
    <w:rsid w:val="009C0485"/>
    <w:rsid w:val="009C04F4"/>
    <w:rsid w:val="009C04FF"/>
    <w:rsid w:val="009C065B"/>
    <w:rsid w:val="009C06A6"/>
    <w:rsid w:val="009C076D"/>
    <w:rsid w:val="009C07BF"/>
    <w:rsid w:val="009C08D2"/>
    <w:rsid w:val="009C08F6"/>
    <w:rsid w:val="009C0901"/>
    <w:rsid w:val="009C0CA6"/>
    <w:rsid w:val="009C0CFA"/>
    <w:rsid w:val="009C0E27"/>
    <w:rsid w:val="009C0E84"/>
    <w:rsid w:val="009C0F21"/>
    <w:rsid w:val="009C0F84"/>
    <w:rsid w:val="009C0FFA"/>
    <w:rsid w:val="009C1143"/>
    <w:rsid w:val="009C131C"/>
    <w:rsid w:val="009C1487"/>
    <w:rsid w:val="009C14A2"/>
    <w:rsid w:val="009C14E9"/>
    <w:rsid w:val="009C151C"/>
    <w:rsid w:val="009C1527"/>
    <w:rsid w:val="009C154A"/>
    <w:rsid w:val="009C1561"/>
    <w:rsid w:val="009C1576"/>
    <w:rsid w:val="009C1592"/>
    <w:rsid w:val="009C15AE"/>
    <w:rsid w:val="009C15DA"/>
    <w:rsid w:val="009C1634"/>
    <w:rsid w:val="009C16DC"/>
    <w:rsid w:val="009C17FC"/>
    <w:rsid w:val="009C1845"/>
    <w:rsid w:val="009C1858"/>
    <w:rsid w:val="009C18A4"/>
    <w:rsid w:val="009C18F7"/>
    <w:rsid w:val="009C1935"/>
    <w:rsid w:val="009C1959"/>
    <w:rsid w:val="009C1A25"/>
    <w:rsid w:val="009C1AD0"/>
    <w:rsid w:val="009C1BB2"/>
    <w:rsid w:val="009C1BDD"/>
    <w:rsid w:val="009C1C25"/>
    <w:rsid w:val="009C1C77"/>
    <w:rsid w:val="009C1C95"/>
    <w:rsid w:val="009C1CC6"/>
    <w:rsid w:val="009C1E33"/>
    <w:rsid w:val="009C1EE0"/>
    <w:rsid w:val="009C1EFD"/>
    <w:rsid w:val="009C1F56"/>
    <w:rsid w:val="009C2002"/>
    <w:rsid w:val="009C2053"/>
    <w:rsid w:val="009C20A0"/>
    <w:rsid w:val="009C20FD"/>
    <w:rsid w:val="009C210B"/>
    <w:rsid w:val="009C211A"/>
    <w:rsid w:val="009C226A"/>
    <w:rsid w:val="009C2313"/>
    <w:rsid w:val="009C2328"/>
    <w:rsid w:val="009C2392"/>
    <w:rsid w:val="009C2478"/>
    <w:rsid w:val="009C24E6"/>
    <w:rsid w:val="009C2541"/>
    <w:rsid w:val="009C25E1"/>
    <w:rsid w:val="009C2621"/>
    <w:rsid w:val="009C2715"/>
    <w:rsid w:val="009C27C9"/>
    <w:rsid w:val="009C2805"/>
    <w:rsid w:val="009C2882"/>
    <w:rsid w:val="009C28D5"/>
    <w:rsid w:val="009C292D"/>
    <w:rsid w:val="009C29A8"/>
    <w:rsid w:val="009C2B40"/>
    <w:rsid w:val="009C2B54"/>
    <w:rsid w:val="009C2B65"/>
    <w:rsid w:val="009C2D36"/>
    <w:rsid w:val="009C2D5B"/>
    <w:rsid w:val="009C2EEC"/>
    <w:rsid w:val="009C2F17"/>
    <w:rsid w:val="009C2F53"/>
    <w:rsid w:val="009C304E"/>
    <w:rsid w:val="009C30EA"/>
    <w:rsid w:val="009C3139"/>
    <w:rsid w:val="009C313E"/>
    <w:rsid w:val="009C3368"/>
    <w:rsid w:val="009C336F"/>
    <w:rsid w:val="009C3399"/>
    <w:rsid w:val="009C34DC"/>
    <w:rsid w:val="009C3515"/>
    <w:rsid w:val="009C357A"/>
    <w:rsid w:val="009C3592"/>
    <w:rsid w:val="009C3629"/>
    <w:rsid w:val="009C37FB"/>
    <w:rsid w:val="009C38D4"/>
    <w:rsid w:val="009C390E"/>
    <w:rsid w:val="009C3945"/>
    <w:rsid w:val="009C396A"/>
    <w:rsid w:val="009C39CD"/>
    <w:rsid w:val="009C3A17"/>
    <w:rsid w:val="009C3A8F"/>
    <w:rsid w:val="009C3A9F"/>
    <w:rsid w:val="009C3AFC"/>
    <w:rsid w:val="009C3BD1"/>
    <w:rsid w:val="009C3BF3"/>
    <w:rsid w:val="009C3BF9"/>
    <w:rsid w:val="009C3BFA"/>
    <w:rsid w:val="009C3C00"/>
    <w:rsid w:val="009C3C31"/>
    <w:rsid w:val="009C3C49"/>
    <w:rsid w:val="009C3C63"/>
    <w:rsid w:val="009C3D2A"/>
    <w:rsid w:val="009C3D30"/>
    <w:rsid w:val="009C3D9F"/>
    <w:rsid w:val="009C3F0D"/>
    <w:rsid w:val="009C3FB9"/>
    <w:rsid w:val="009C3FF7"/>
    <w:rsid w:val="009C4097"/>
    <w:rsid w:val="009C411D"/>
    <w:rsid w:val="009C414D"/>
    <w:rsid w:val="009C4181"/>
    <w:rsid w:val="009C421E"/>
    <w:rsid w:val="009C4239"/>
    <w:rsid w:val="009C424F"/>
    <w:rsid w:val="009C4274"/>
    <w:rsid w:val="009C4384"/>
    <w:rsid w:val="009C4419"/>
    <w:rsid w:val="009C4524"/>
    <w:rsid w:val="009C4589"/>
    <w:rsid w:val="009C458D"/>
    <w:rsid w:val="009C45B4"/>
    <w:rsid w:val="009C45EF"/>
    <w:rsid w:val="009C4698"/>
    <w:rsid w:val="009C46B6"/>
    <w:rsid w:val="009C472E"/>
    <w:rsid w:val="009C4767"/>
    <w:rsid w:val="009C4777"/>
    <w:rsid w:val="009C4834"/>
    <w:rsid w:val="009C4871"/>
    <w:rsid w:val="009C4875"/>
    <w:rsid w:val="009C490E"/>
    <w:rsid w:val="009C4910"/>
    <w:rsid w:val="009C4956"/>
    <w:rsid w:val="009C497E"/>
    <w:rsid w:val="009C49AD"/>
    <w:rsid w:val="009C4A0C"/>
    <w:rsid w:val="009C4B88"/>
    <w:rsid w:val="009C4B9C"/>
    <w:rsid w:val="009C4BAF"/>
    <w:rsid w:val="009C4C9C"/>
    <w:rsid w:val="009C4CA7"/>
    <w:rsid w:val="009C4E33"/>
    <w:rsid w:val="009C4EF1"/>
    <w:rsid w:val="009C4F61"/>
    <w:rsid w:val="009C5146"/>
    <w:rsid w:val="009C5319"/>
    <w:rsid w:val="009C537E"/>
    <w:rsid w:val="009C53A1"/>
    <w:rsid w:val="009C54DF"/>
    <w:rsid w:val="009C554E"/>
    <w:rsid w:val="009C557D"/>
    <w:rsid w:val="009C5580"/>
    <w:rsid w:val="009C55BC"/>
    <w:rsid w:val="009C563E"/>
    <w:rsid w:val="009C56BC"/>
    <w:rsid w:val="009C56DB"/>
    <w:rsid w:val="009C56FB"/>
    <w:rsid w:val="009C585A"/>
    <w:rsid w:val="009C5888"/>
    <w:rsid w:val="009C5A3C"/>
    <w:rsid w:val="009C5BD4"/>
    <w:rsid w:val="009C5C57"/>
    <w:rsid w:val="009C5C64"/>
    <w:rsid w:val="009C5D8C"/>
    <w:rsid w:val="009C5D99"/>
    <w:rsid w:val="009C5D9C"/>
    <w:rsid w:val="009C5DC6"/>
    <w:rsid w:val="009C5F0C"/>
    <w:rsid w:val="009C5FB5"/>
    <w:rsid w:val="009C5FD6"/>
    <w:rsid w:val="009C6020"/>
    <w:rsid w:val="009C6090"/>
    <w:rsid w:val="009C60F0"/>
    <w:rsid w:val="009C6199"/>
    <w:rsid w:val="009C622E"/>
    <w:rsid w:val="009C627A"/>
    <w:rsid w:val="009C6312"/>
    <w:rsid w:val="009C63E1"/>
    <w:rsid w:val="009C6452"/>
    <w:rsid w:val="009C6476"/>
    <w:rsid w:val="009C6495"/>
    <w:rsid w:val="009C64B6"/>
    <w:rsid w:val="009C6640"/>
    <w:rsid w:val="009C66DD"/>
    <w:rsid w:val="009C680A"/>
    <w:rsid w:val="009C682D"/>
    <w:rsid w:val="009C6944"/>
    <w:rsid w:val="009C6970"/>
    <w:rsid w:val="009C6A34"/>
    <w:rsid w:val="009C6A53"/>
    <w:rsid w:val="009C6A6A"/>
    <w:rsid w:val="009C6AEE"/>
    <w:rsid w:val="009C6B68"/>
    <w:rsid w:val="009C6BA1"/>
    <w:rsid w:val="009C6C88"/>
    <w:rsid w:val="009C6CC8"/>
    <w:rsid w:val="009C6D97"/>
    <w:rsid w:val="009C6D9E"/>
    <w:rsid w:val="009C6DEB"/>
    <w:rsid w:val="009C6F4B"/>
    <w:rsid w:val="009C6F98"/>
    <w:rsid w:val="009C706E"/>
    <w:rsid w:val="009C70B1"/>
    <w:rsid w:val="009C725D"/>
    <w:rsid w:val="009C72EC"/>
    <w:rsid w:val="009C73E5"/>
    <w:rsid w:val="009C74AA"/>
    <w:rsid w:val="009C7621"/>
    <w:rsid w:val="009C7690"/>
    <w:rsid w:val="009C773A"/>
    <w:rsid w:val="009C7800"/>
    <w:rsid w:val="009C785C"/>
    <w:rsid w:val="009C7882"/>
    <w:rsid w:val="009C78F5"/>
    <w:rsid w:val="009C790E"/>
    <w:rsid w:val="009C7938"/>
    <w:rsid w:val="009C79D7"/>
    <w:rsid w:val="009C7A0A"/>
    <w:rsid w:val="009C7A96"/>
    <w:rsid w:val="009C7AEB"/>
    <w:rsid w:val="009C7B43"/>
    <w:rsid w:val="009C7BBF"/>
    <w:rsid w:val="009C7BC4"/>
    <w:rsid w:val="009C7BF6"/>
    <w:rsid w:val="009C7D4E"/>
    <w:rsid w:val="009C7DA2"/>
    <w:rsid w:val="009C7DB9"/>
    <w:rsid w:val="009C7FB2"/>
    <w:rsid w:val="009D0036"/>
    <w:rsid w:val="009D01B1"/>
    <w:rsid w:val="009D0212"/>
    <w:rsid w:val="009D0244"/>
    <w:rsid w:val="009D0270"/>
    <w:rsid w:val="009D02BE"/>
    <w:rsid w:val="009D0324"/>
    <w:rsid w:val="009D0406"/>
    <w:rsid w:val="009D045C"/>
    <w:rsid w:val="009D04A3"/>
    <w:rsid w:val="009D04A6"/>
    <w:rsid w:val="009D0524"/>
    <w:rsid w:val="009D0588"/>
    <w:rsid w:val="009D0690"/>
    <w:rsid w:val="009D070B"/>
    <w:rsid w:val="009D0756"/>
    <w:rsid w:val="009D07B2"/>
    <w:rsid w:val="009D083F"/>
    <w:rsid w:val="009D085E"/>
    <w:rsid w:val="009D0919"/>
    <w:rsid w:val="009D0941"/>
    <w:rsid w:val="009D0AF9"/>
    <w:rsid w:val="009D0B82"/>
    <w:rsid w:val="009D0C7E"/>
    <w:rsid w:val="009D0D2F"/>
    <w:rsid w:val="009D0E60"/>
    <w:rsid w:val="009D0EBC"/>
    <w:rsid w:val="009D0FCE"/>
    <w:rsid w:val="009D0FE4"/>
    <w:rsid w:val="009D10A9"/>
    <w:rsid w:val="009D10B7"/>
    <w:rsid w:val="009D10BE"/>
    <w:rsid w:val="009D1177"/>
    <w:rsid w:val="009D12AD"/>
    <w:rsid w:val="009D132B"/>
    <w:rsid w:val="009D13A4"/>
    <w:rsid w:val="009D1437"/>
    <w:rsid w:val="009D1452"/>
    <w:rsid w:val="009D145A"/>
    <w:rsid w:val="009D14B3"/>
    <w:rsid w:val="009D14C9"/>
    <w:rsid w:val="009D1539"/>
    <w:rsid w:val="009D154F"/>
    <w:rsid w:val="009D1554"/>
    <w:rsid w:val="009D1694"/>
    <w:rsid w:val="009D17CD"/>
    <w:rsid w:val="009D1821"/>
    <w:rsid w:val="009D187F"/>
    <w:rsid w:val="009D1940"/>
    <w:rsid w:val="009D1A04"/>
    <w:rsid w:val="009D1A08"/>
    <w:rsid w:val="009D1A52"/>
    <w:rsid w:val="009D1CAF"/>
    <w:rsid w:val="009D1D11"/>
    <w:rsid w:val="009D1E7F"/>
    <w:rsid w:val="009D1ECF"/>
    <w:rsid w:val="009D1F58"/>
    <w:rsid w:val="009D202F"/>
    <w:rsid w:val="009D2081"/>
    <w:rsid w:val="009D20C3"/>
    <w:rsid w:val="009D20D4"/>
    <w:rsid w:val="009D218B"/>
    <w:rsid w:val="009D21FA"/>
    <w:rsid w:val="009D22A2"/>
    <w:rsid w:val="009D237B"/>
    <w:rsid w:val="009D23ED"/>
    <w:rsid w:val="009D242C"/>
    <w:rsid w:val="009D2461"/>
    <w:rsid w:val="009D2520"/>
    <w:rsid w:val="009D27D8"/>
    <w:rsid w:val="009D2935"/>
    <w:rsid w:val="009D2984"/>
    <w:rsid w:val="009D29DB"/>
    <w:rsid w:val="009D2B93"/>
    <w:rsid w:val="009D2BEF"/>
    <w:rsid w:val="009D2CFF"/>
    <w:rsid w:val="009D2DA5"/>
    <w:rsid w:val="009D2DAE"/>
    <w:rsid w:val="009D2DF8"/>
    <w:rsid w:val="009D2E3B"/>
    <w:rsid w:val="009D2E61"/>
    <w:rsid w:val="009D2EEA"/>
    <w:rsid w:val="009D2F7D"/>
    <w:rsid w:val="009D2FAE"/>
    <w:rsid w:val="009D2FD9"/>
    <w:rsid w:val="009D30A4"/>
    <w:rsid w:val="009D30BE"/>
    <w:rsid w:val="009D30E5"/>
    <w:rsid w:val="009D317D"/>
    <w:rsid w:val="009D31D6"/>
    <w:rsid w:val="009D3217"/>
    <w:rsid w:val="009D327B"/>
    <w:rsid w:val="009D32CA"/>
    <w:rsid w:val="009D32D5"/>
    <w:rsid w:val="009D33CC"/>
    <w:rsid w:val="009D33F0"/>
    <w:rsid w:val="009D34AA"/>
    <w:rsid w:val="009D3584"/>
    <w:rsid w:val="009D3624"/>
    <w:rsid w:val="009D3636"/>
    <w:rsid w:val="009D366E"/>
    <w:rsid w:val="009D36C8"/>
    <w:rsid w:val="009D36CD"/>
    <w:rsid w:val="009D3742"/>
    <w:rsid w:val="009D3810"/>
    <w:rsid w:val="009D3816"/>
    <w:rsid w:val="009D3935"/>
    <w:rsid w:val="009D3986"/>
    <w:rsid w:val="009D3AC1"/>
    <w:rsid w:val="009D3AD0"/>
    <w:rsid w:val="009D3B1C"/>
    <w:rsid w:val="009D3B9B"/>
    <w:rsid w:val="009D3BF6"/>
    <w:rsid w:val="009D3C23"/>
    <w:rsid w:val="009D3C95"/>
    <w:rsid w:val="009D3DC9"/>
    <w:rsid w:val="009D3EAE"/>
    <w:rsid w:val="009D3F06"/>
    <w:rsid w:val="009D3F20"/>
    <w:rsid w:val="009D40F5"/>
    <w:rsid w:val="009D4197"/>
    <w:rsid w:val="009D425D"/>
    <w:rsid w:val="009D4263"/>
    <w:rsid w:val="009D42B6"/>
    <w:rsid w:val="009D446B"/>
    <w:rsid w:val="009D44A1"/>
    <w:rsid w:val="009D44AC"/>
    <w:rsid w:val="009D44C8"/>
    <w:rsid w:val="009D4584"/>
    <w:rsid w:val="009D4591"/>
    <w:rsid w:val="009D473F"/>
    <w:rsid w:val="009D47EF"/>
    <w:rsid w:val="009D4885"/>
    <w:rsid w:val="009D498C"/>
    <w:rsid w:val="009D4997"/>
    <w:rsid w:val="009D49BC"/>
    <w:rsid w:val="009D4A41"/>
    <w:rsid w:val="009D4AF2"/>
    <w:rsid w:val="009D4B7B"/>
    <w:rsid w:val="009D4C41"/>
    <w:rsid w:val="009D4C4F"/>
    <w:rsid w:val="009D4CA2"/>
    <w:rsid w:val="009D4D47"/>
    <w:rsid w:val="009D4EED"/>
    <w:rsid w:val="009D4F13"/>
    <w:rsid w:val="009D4F20"/>
    <w:rsid w:val="009D4F30"/>
    <w:rsid w:val="009D4F3A"/>
    <w:rsid w:val="009D4FF9"/>
    <w:rsid w:val="009D5065"/>
    <w:rsid w:val="009D50B8"/>
    <w:rsid w:val="009D5123"/>
    <w:rsid w:val="009D513A"/>
    <w:rsid w:val="009D5165"/>
    <w:rsid w:val="009D5172"/>
    <w:rsid w:val="009D5182"/>
    <w:rsid w:val="009D5203"/>
    <w:rsid w:val="009D52C3"/>
    <w:rsid w:val="009D52C7"/>
    <w:rsid w:val="009D52D3"/>
    <w:rsid w:val="009D5340"/>
    <w:rsid w:val="009D537B"/>
    <w:rsid w:val="009D55FC"/>
    <w:rsid w:val="009D5661"/>
    <w:rsid w:val="009D56FC"/>
    <w:rsid w:val="009D574B"/>
    <w:rsid w:val="009D57F6"/>
    <w:rsid w:val="009D5863"/>
    <w:rsid w:val="009D58C7"/>
    <w:rsid w:val="009D590C"/>
    <w:rsid w:val="009D5928"/>
    <w:rsid w:val="009D5993"/>
    <w:rsid w:val="009D59C9"/>
    <w:rsid w:val="009D5A99"/>
    <w:rsid w:val="009D5AA6"/>
    <w:rsid w:val="009D5AFB"/>
    <w:rsid w:val="009D5BDD"/>
    <w:rsid w:val="009D5C46"/>
    <w:rsid w:val="009D5E44"/>
    <w:rsid w:val="009D5E4C"/>
    <w:rsid w:val="009D5E4E"/>
    <w:rsid w:val="009D5EFB"/>
    <w:rsid w:val="009D5FDC"/>
    <w:rsid w:val="009D60B7"/>
    <w:rsid w:val="009D6151"/>
    <w:rsid w:val="009D624E"/>
    <w:rsid w:val="009D625D"/>
    <w:rsid w:val="009D626A"/>
    <w:rsid w:val="009D636D"/>
    <w:rsid w:val="009D63FF"/>
    <w:rsid w:val="009D6410"/>
    <w:rsid w:val="009D643B"/>
    <w:rsid w:val="009D6446"/>
    <w:rsid w:val="009D64FE"/>
    <w:rsid w:val="009D6501"/>
    <w:rsid w:val="009D6564"/>
    <w:rsid w:val="009D65CD"/>
    <w:rsid w:val="009D6649"/>
    <w:rsid w:val="009D6690"/>
    <w:rsid w:val="009D66C7"/>
    <w:rsid w:val="009D671C"/>
    <w:rsid w:val="009D6768"/>
    <w:rsid w:val="009D6780"/>
    <w:rsid w:val="009D67DF"/>
    <w:rsid w:val="009D67E6"/>
    <w:rsid w:val="009D6850"/>
    <w:rsid w:val="009D68B3"/>
    <w:rsid w:val="009D6929"/>
    <w:rsid w:val="009D6947"/>
    <w:rsid w:val="009D6978"/>
    <w:rsid w:val="009D6982"/>
    <w:rsid w:val="009D69E6"/>
    <w:rsid w:val="009D6AAD"/>
    <w:rsid w:val="009D6AC4"/>
    <w:rsid w:val="009D6ACE"/>
    <w:rsid w:val="009D6B09"/>
    <w:rsid w:val="009D6B2A"/>
    <w:rsid w:val="009D6BDE"/>
    <w:rsid w:val="009D6CD4"/>
    <w:rsid w:val="009D6D2D"/>
    <w:rsid w:val="009D6D72"/>
    <w:rsid w:val="009D6D91"/>
    <w:rsid w:val="009D6E17"/>
    <w:rsid w:val="009D6ED1"/>
    <w:rsid w:val="009D6F8A"/>
    <w:rsid w:val="009D6FBC"/>
    <w:rsid w:val="009D7014"/>
    <w:rsid w:val="009D7042"/>
    <w:rsid w:val="009D7045"/>
    <w:rsid w:val="009D7057"/>
    <w:rsid w:val="009D70CB"/>
    <w:rsid w:val="009D7183"/>
    <w:rsid w:val="009D7185"/>
    <w:rsid w:val="009D71DA"/>
    <w:rsid w:val="009D72C5"/>
    <w:rsid w:val="009D7327"/>
    <w:rsid w:val="009D7483"/>
    <w:rsid w:val="009D7487"/>
    <w:rsid w:val="009D758B"/>
    <w:rsid w:val="009D75BB"/>
    <w:rsid w:val="009D75F5"/>
    <w:rsid w:val="009D7649"/>
    <w:rsid w:val="009D774E"/>
    <w:rsid w:val="009D7753"/>
    <w:rsid w:val="009D77B4"/>
    <w:rsid w:val="009D77DE"/>
    <w:rsid w:val="009D784D"/>
    <w:rsid w:val="009D7919"/>
    <w:rsid w:val="009D7944"/>
    <w:rsid w:val="009D7A09"/>
    <w:rsid w:val="009D7A4E"/>
    <w:rsid w:val="009D7A9E"/>
    <w:rsid w:val="009D7AC6"/>
    <w:rsid w:val="009D7BD3"/>
    <w:rsid w:val="009D7C4B"/>
    <w:rsid w:val="009D7CA8"/>
    <w:rsid w:val="009D7D07"/>
    <w:rsid w:val="009D7D8E"/>
    <w:rsid w:val="009D7E3E"/>
    <w:rsid w:val="009D7EFA"/>
    <w:rsid w:val="009D7F46"/>
    <w:rsid w:val="009D7FC1"/>
    <w:rsid w:val="009E00A5"/>
    <w:rsid w:val="009E00E3"/>
    <w:rsid w:val="009E0215"/>
    <w:rsid w:val="009E02AA"/>
    <w:rsid w:val="009E0334"/>
    <w:rsid w:val="009E03E1"/>
    <w:rsid w:val="009E04B5"/>
    <w:rsid w:val="009E0653"/>
    <w:rsid w:val="009E068A"/>
    <w:rsid w:val="009E07D5"/>
    <w:rsid w:val="009E0973"/>
    <w:rsid w:val="009E09A0"/>
    <w:rsid w:val="009E09D5"/>
    <w:rsid w:val="009E0A01"/>
    <w:rsid w:val="009E0A31"/>
    <w:rsid w:val="009E0BDE"/>
    <w:rsid w:val="009E0C7F"/>
    <w:rsid w:val="009E0CA5"/>
    <w:rsid w:val="009E0CB3"/>
    <w:rsid w:val="009E0CF0"/>
    <w:rsid w:val="009E0D2E"/>
    <w:rsid w:val="009E0D7F"/>
    <w:rsid w:val="009E0E79"/>
    <w:rsid w:val="009E0FB0"/>
    <w:rsid w:val="009E0FBA"/>
    <w:rsid w:val="009E1013"/>
    <w:rsid w:val="009E1083"/>
    <w:rsid w:val="009E1141"/>
    <w:rsid w:val="009E11B9"/>
    <w:rsid w:val="009E12B7"/>
    <w:rsid w:val="009E1372"/>
    <w:rsid w:val="009E13AB"/>
    <w:rsid w:val="009E13CA"/>
    <w:rsid w:val="009E13F2"/>
    <w:rsid w:val="009E142B"/>
    <w:rsid w:val="009E1438"/>
    <w:rsid w:val="009E154D"/>
    <w:rsid w:val="009E160B"/>
    <w:rsid w:val="009E1613"/>
    <w:rsid w:val="009E1653"/>
    <w:rsid w:val="009E171B"/>
    <w:rsid w:val="009E1775"/>
    <w:rsid w:val="009E179B"/>
    <w:rsid w:val="009E1A69"/>
    <w:rsid w:val="009E1B0D"/>
    <w:rsid w:val="009E1B86"/>
    <w:rsid w:val="009E1C0D"/>
    <w:rsid w:val="009E1CF3"/>
    <w:rsid w:val="009E1DEA"/>
    <w:rsid w:val="009E1EAD"/>
    <w:rsid w:val="009E1ED1"/>
    <w:rsid w:val="009E1F52"/>
    <w:rsid w:val="009E2184"/>
    <w:rsid w:val="009E228C"/>
    <w:rsid w:val="009E229E"/>
    <w:rsid w:val="009E2341"/>
    <w:rsid w:val="009E2494"/>
    <w:rsid w:val="009E2519"/>
    <w:rsid w:val="009E2568"/>
    <w:rsid w:val="009E2597"/>
    <w:rsid w:val="009E2631"/>
    <w:rsid w:val="009E26AD"/>
    <w:rsid w:val="009E26CB"/>
    <w:rsid w:val="009E26F1"/>
    <w:rsid w:val="009E2786"/>
    <w:rsid w:val="009E27AC"/>
    <w:rsid w:val="009E2953"/>
    <w:rsid w:val="009E2968"/>
    <w:rsid w:val="009E2A04"/>
    <w:rsid w:val="009E2A1F"/>
    <w:rsid w:val="009E2A39"/>
    <w:rsid w:val="009E2B7E"/>
    <w:rsid w:val="009E2B97"/>
    <w:rsid w:val="009E2BC6"/>
    <w:rsid w:val="009E2BEA"/>
    <w:rsid w:val="009E2CD5"/>
    <w:rsid w:val="009E2DC8"/>
    <w:rsid w:val="009E2DFE"/>
    <w:rsid w:val="009E2F53"/>
    <w:rsid w:val="009E2F65"/>
    <w:rsid w:val="009E2F6F"/>
    <w:rsid w:val="009E3044"/>
    <w:rsid w:val="009E30AE"/>
    <w:rsid w:val="009E3210"/>
    <w:rsid w:val="009E3226"/>
    <w:rsid w:val="009E3261"/>
    <w:rsid w:val="009E32A8"/>
    <w:rsid w:val="009E33B6"/>
    <w:rsid w:val="009E33BB"/>
    <w:rsid w:val="009E33FA"/>
    <w:rsid w:val="009E3458"/>
    <w:rsid w:val="009E3503"/>
    <w:rsid w:val="009E3565"/>
    <w:rsid w:val="009E3751"/>
    <w:rsid w:val="009E394B"/>
    <w:rsid w:val="009E3A95"/>
    <w:rsid w:val="009E3B92"/>
    <w:rsid w:val="009E3B99"/>
    <w:rsid w:val="009E3C42"/>
    <w:rsid w:val="009E3C98"/>
    <w:rsid w:val="009E3CC7"/>
    <w:rsid w:val="009E3D6F"/>
    <w:rsid w:val="009E3D87"/>
    <w:rsid w:val="009E3EB0"/>
    <w:rsid w:val="009E3ED8"/>
    <w:rsid w:val="009E3FD6"/>
    <w:rsid w:val="009E41A2"/>
    <w:rsid w:val="009E42F0"/>
    <w:rsid w:val="009E44D7"/>
    <w:rsid w:val="009E4509"/>
    <w:rsid w:val="009E4514"/>
    <w:rsid w:val="009E45F0"/>
    <w:rsid w:val="009E45F5"/>
    <w:rsid w:val="009E465B"/>
    <w:rsid w:val="009E4661"/>
    <w:rsid w:val="009E4877"/>
    <w:rsid w:val="009E4895"/>
    <w:rsid w:val="009E498B"/>
    <w:rsid w:val="009E49BC"/>
    <w:rsid w:val="009E49ED"/>
    <w:rsid w:val="009E4BE7"/>
    <w:rsid w:val="009E4C6C"/>
    <w:rsid w:val="009E4CB7"/>
    <w:rsid w:val="009E4CF0"/>
    <w:rsid w:val="009E4D6C"/>
    <w:rsid w:val="009E4DA1"/>
    <w:rsid w:val="009E4E7A"/>
    <w:rsid w:val="009E4EC5"/>
    <w:rsid w:val="009E4EC9"/>
    <w:rsid w:val="009E4F10"/>
    <w:rsid w:val="009E4FA6"/>
    <w:rsid w:val="009E4FFC"/>
    <w:rsid w:val="009E507D"/>
    <w:rsid w:val="009E509B"/>
    <w:rsid w:val="009E52A3"/>
    <w:rsid w:val="009E52CD"/>
    <w:rsid w:val="009E53C5"/>
    <w:rsid w:val="009E5423"/>
    <w:rsid w:val="009E55CB"/>
    <w:rsid w:val="009E5608"/>
    <w:rsid w:val="009E5679"/>
    <w:rsid w:val="009E5712"/>
    <w:rsid w:val="009E57B5"/>
    <w:rsid w:val="009E57DD"/>
    <w:rsid w:val="009E57E5"/>
    <w:rsid w:val="009E582B"/>
    <w:rsid w:val="009E58E3"/>
    <w:rsid w:val="009E59C8"/>
    <w:rsid w:val="009E5B39"/>
    <w:rsid w:val="009E5C67"/>
    <w:rsid w:val="009E5D15"/>
    <w:rsid w:val="009E5DD1"/>
    <w:rsid w:val="009E5E5F"/>
    <w:rsid w:val="009E5E91"/>
    <w:rsid w:val="009E6241"/>
    <w:rsid w:val="009E625E"/>
    <w:rsid w:val="009E627A"/>
    <w:rsid w:val="009E63E5"/>
    <w:rsid w:val="009E6421"/>
    <w:rsid w:val="009E6444"/>
    <w:rsid w:val="009E646B"/>
    <w:rsid w:val="009E6522"/>
    <w:rsid w:val="009E656C"/>
    <w:rsid w:val="009E65C7"/>
    <w:rsid w:val="009E66CE"/>
    <w:rsid w:val="009E66D0"/>
    <w:rsid w:val="009E66EF"/>
    <w:rsid w:val="009E66F0"/>
    <w:rsid w:val="009E66FF"/>
    <w:rsid w:val="009E6773"/>
    <w:rsid w:val="009E682C"/>
    <w:rsid w:val="009E6A38"/>
    <w:rsid w:val="009E6AFD"/>
    <w:rsid w:val="009E6B22"/>
    <w:rsid w:val="009E6C32"/>
    <w:rsid w:val="009E6D21"/>
    <w:rsid w:val="009E6D78"/>
    <w:rsid w:val="009E6DC9"/>
    <w:rsid w:val="009E6E87"/>
    <w:rsid w:val="009E6F93"/>
    <w:rsid w:val="009E6FAE"/>
    <w:rsid w:val="009E7045"/>
    <w:rsid w:val="009E7054"/>
    <w:rsid w:val="009E707C"/>
    <w:rsid w:val="009E7096"/>
    <w:rsid w:val="009E7098"/>
    <w:rsid w:val="009E70D7"/>
    <w:rsid w:val="009E7112"/>
    <w:rsid w:val="009E7190"/>
    <w:rsid w:val="009E71DE"/>
    <w:rsid w:val="009E71DF"/>
    <w:rsid w:val="009E734C"/>
    <w:rsid w:val="009E7350"/>
    <w:rsid w:val="009E7372"/>
    <w:rsid w:val="009E741C"/>
    <w:rsid w:val="009E74B5"/>
    <w:rsid w:val="009E74F0"/>
    <w:rsid w:val="009E765E"/>
    <w:rsid w:val="009E7668"/>
    <w:rsid w:val="009E7687"/>
    <w:rsid w:val="009E76AB"/>
    <w:rsid w:val="009E76D9"/>
    <w:rsid w:val="009E76F1"/>
    <w:rsid w:val="009E7729"/>
    <w:rsid w:val="009E777F"/>
    <w:rsid w:val="009E77BF"/>
    <w:rsid w:val="009E77C6"/>
    <w:rsid w:val="009E77F0"/>
    <w:rsid w:val="009E7857"/>
    <w:rsid w:val="009E790B"/>
    <w:rsid w:val="009E791D"/>
    <w:rsid w:val="009E7924"/>
    <w:rsid w:val="009E7993"/>
    <w:rsid w:val="009E7AF0"/>
    <w:rsid w:val="009E7B0D"/>
    <w:rsid w:val="009E7C09"/>
    <w:rsid w:val="009E7C67"/>
    <w:rsid w:val="009E7CA0"/>
    <w:rsid w:val="009E7CB0"/>
    <w:rsid w:val="009E7CCB"/>
    <w:rsid w:val="009E7DBD"/>
    <w:rsid w:val="009E7EB2"/>
    <w:rsid w:val="009E7F96"/>
    <w:rsid w:val="009F0014"/>
    <w:rsid w:val="009F00FA"/>
    <w:rsid w:val="009F0110"/>
    <w:rsid w:val="009F0140"/>
    <w:rsid w:val="009F0178"/>
    <w:rsid w:val="009F01F3"/>
    <w:rsid w:val="009F0217"/>
    <w:rsid w:val="009F0227"/>
    <w:rsid w:val="009F03A7"/>
    <w:rsid w:val="009F03D9"/>
    <w:rsid w:val="009F0404"/>
    <w:rsid w:val="009F0458"/>
    <w:rsid w:val="009F052B"/>
    <w:rsid w:val="009F0652"/>
    <w:rsid w:val="009F06C7"/>
    <w:rsid w:val="009F070B"/>
    <w:rsid w:val="009F0744"/>
    <w:rsid w:val="009F088E"/>
    <w:rsid w:val="009F08AF"/>
    <w:rsid w:val="009F0909"/>
    <w:rsid w:val="009F097A"/>
    <w:rsid w:val="009F09A5"/>
    <w:rsid w:val="009F0A04"/>
    <w:rsid w:val="009F0A25"/>
    <w:rsid w:val="009F0A31"/>
    <w:rsid w:val="009F0A54"/>
    <w:rsid w:val="009F0BEF"/>
    <w:rsid w:val="009F0C87"/>
    <w:rsid w:val="009F0D7B"/>
    <w:rsid w:val="009F0DDF"/>
    <w:rsid w:val="009F0E16"/>
    <w:rsid w:val="009F0E2B"/>
    <w:rsid w:val="009F0E93"/>
    <w:rsid w:val="009F10B0"/>
    <w:rsid w:val="009F1140"/>
    <w:rsid w:val="009F11CB"/>
    <w:rsid w:val="009F123C"/>
    <w:rsid w:val="009F127C"/>
    <w:rsid w:val="009F1290"/>
    <w:rsid w:val="009F12F2"/>
    <w:rsid w:val="009F1308"/>
    <w:rsid w:val="009F1402"/>
    <w:rsid w:val="009F140A"/>
    <w:rsid w:val="009F1485"/>
    <w:rsid w:val="009F14FB"/>
    <w:rsid w:val="009F1516"/>
    <w:rsid w:val="009F1569"/>
    <w:rsid w:val="009F1697"/>
    <w:rsid w:val="009F16BA"/>
    <w:rsid w:val="009F16BE"/>
    <w:rsid w:val="009F1719"/>
    <w:rsid w:val="009F178B"/>
    <w:rsid w:val="009F18BF"/>
    <w:rsid w:val="009F191C"/>
    <w:rsid w:val="009F192D"/>
    <w:rsid w:val="009F198A"/>
    <w:rsid w:val="009F1A11"/>
    <w:rsid w:val="009F1AD8"/>
    <w:rsid w:val="009F1C20"/>
    <w:rsid w:val="009F1C52"/>
    <w:rsid w:val="009F1CD1"/>
    <w:rsid w:val="009F1DC7"/>
    <w:rsid w:val="009F1DED"/>
    <w:rsid w:val="009F1E1F"/>
    <w:rsid w:val="009F1E7C"/>
    <w:rsid w:val="009F1EA5"/>
    <w:rsid w:val="009F1F65"/>
    <w:rsid w:val="009F1FA0"/>
    <w:rsid w:val="009F1FC8"/>
    <w:rsid w:val="009F2025"/>
    <w:rsid w:val="009F204E"/>
    <w:rsid w:val="009F2051"/>
    <w:rsid w:val="009F20C0"/>
    <w:rsid w:val="009F21A7"/>
    <w:rsid w:val="009F220B"/>
    <w:rsid w:val="009F2212"/>
    <w:rsid w:val="009F22A6"/>
    <w:rsid w:val="009F26CE"/>
    <w:rsid w:val="009F26EC"/>
    <w:rsid w:val="009F2730"/>
    <w:rsid w:val="009F27A1"/>
    <w:rsid w:val="009F290C"/>
    <w:rsid w:val="009F2987"/>
    <w:rsid w:val="009F2B1D"/>
    <w:rsid w:val="009F2B36"/>
    <w:rsid w:val="009F2BCF"/>
    <w:rsid w:val="009F2BD4"/>
    <w:rsid w:val="009F2C94"/>
    <w:rsid w:val="009F2CEC"/>
    <w:rsid w:val="009F2D4D"/>
    <w:rsid w:val="009F2D60"/>
    <w:rsid w:val="009F2D97"/>
    <w:rsid w:val="009F2DA8"/>
    <w:rsid w:val="009F2DC8"/>
    <w:rsid w:val="009F2E16"/>
    <w:rsid w:val="009F2E22"/>
    <w:rsid w:val="009F2E71"/>
    <w:rsid w:val="009F2ECF"/>
    <w:rsid w:val="009F2FD9"/>
    <w:rsid w:val="009F304E"/>
    <w:rsid w:val="009F3126"/>
    <w:rsid w:val="009F3141"/>
    <w:rsid w:val="009F31E2"/>
    <w:rsid w:val="009F324F"/>
    <w:rsid w:val="009F32F1"/>
    <w:rsid w:val="009F32FE"/>
    <w:rsid w:val="009F330A"/>
    <w:rsid w:val="009F332F"/>
    <w:rsid w:val="009F3336"/>
    <w:rsid w:val="009F34C3"/>
    <w:rsid w:val="009F34CE"/>
    <w:rsid w:val="009F3551"/>
    <w:rsid w:val="009F3684"/>
    <w:rsid w:val="009F3725"/>
    <w:rsid w:val="009F3742"/>
    <w:rsid w:val="009F3782"/>
    <w:rsid w:val="009F396C"/>
    <w:rsid w:val="009F3B09"/>
    <w:rsid w:val="009F3C98"/>
    <w:rsid w:val="009F3E4A"/>
    <w:rsid w:val="009F3EC6"/>
    <w:rsid w:val="009F3ED3"/>
    <w:rsid w:val="009F3F16"/>
    <w:rsid w:val="009F3F97"/>
    <w:rsid w:val="009F40AA"/>
    <w:rsid w:val="009F4102"/>
    <w:rsid w:val="009F41C5"/>
    <w:rsid w:val="009F425C"/>
    <w:rsid w:val="009F43CA"/>
    <w:rsid w:val="009F43FD"/>
    <w:rsid w:val="009F4507"/>
    <w:rsid w:val="009F454A"/>
    <w:rsid w:val="009F459D"/>
    <w:rsid w:val="009F4662"/>
    <w:rsid w:val="009F46A7"/>
    <w:rsid w:val="009F4703"/>
    <w:rsid w:val="009F486D"/>
    <w:rsid w:val="009F492C"/>
    <w:rsid w:val="009F49F4"/>
    <w:rsid w:val="009F4A0D"/>
    <w:rsid w:val="009F4A2C"/>
    <w:rsid w:val="009F4ACD"/>
    <w:rsid w:val="009F4B24"/>
    <w:rsid w:val="009F4BFC"/>
    <w:rsid w:val="009F4D6D"/>
    <w:rsid w:val="009F4D85"/>
    <w:rsid w:val="009F4E46"/>
    <w:rsid w:val="009F4F0A"/>
    <w:rsid w:val="009F4F15"/>
    <w:rsid w:val="009F4F76"/>
    <w:rsid w:val="009F4FA0"/>
    <w:rsid w:val="009F4FAE"/>
    <w:rsid w:val="009F5036"/>
    <w:rsid w:val="009F505E"/>
    <w:rsid w:val="009F5194"/>
    <w:rsid w:val="009F5327"/>
    <w:rsid w:val="009F5435"/>
    <w:rsid w:val="009F5447"/>
    <w:rsid w:val="009F5483"/>
    <w:rsid w:val="009F555B"/>
    <w:rsid w:val="009F561C"/>
    <w:rsid w:val="009F5643"/>
    <w:rsid w:val="009F5666"/>
    <w:rsid w:val="009F57B3"/>
    <w:rsid w:val="009F5940"/>
    <w:rsid w:val="009F59AB"/>
    <w:rsid w:val="009F5ACC"/>
    <w:rsid w:val="009F5BAE"/>
    <w:rsid w:val="009F5CB8"/>
    <w:rsid w:val="009F5CBD"/>
    <w:rsid w:val="009F5D2B"/>
    <w:rsid w:val="009F5D9F"/>
    <w:rsid w:val="009F6024"/>
    <w:rsid w:val="009F6059"/>
    <w:rsid w:val="009F6117"/>
    <w:rsid w:val="009F617A"/>
    <w:rsid w:val="009F6182"/>
    <w:rsid w:val="009F61BB"/>
    <w:rsid w:val="009F624D"/>
    <w:rsid w:val="009F632B"/>
    <w:rsid w:val="009F6346"/>
    <w:rsid w:val="009F634C"/>
    <w:rsid w:val="009F63AF"/>
    <w:rsid w:val="009F643D"/>
    <w:rsid w:val="009F64F6"/>
    <w:rsid w:val="009F6505"/>
    <w:rsid w:val="009F65AB"/>
    <w:rsid w:val="009F65B9"/>
    <w:rsid w:val="009F6643"/>
    <w:rsid w:val="009F66A7"/>
    <w:rsid w:val="009F66C4"/>
    <w:rsid w:val="009F6745"/>
    <w:rsid w:val="009F6872"/>
    <w:rsid w:val="009F68F8"/>
    <w:rsid w:val="009F6994"/>
    <w:rsid w:val="009F69DB"/>
    <w:rsid w:val="009F6AA2"/>
    <w:rsid w:val="009F6ACF"/>
    <w:rsid w:val="009F6B0B"/>
    <w:rsid w:val="009F6BAA"/>
    <w:rsid w:val="009F6C48"/>
    <w:rsid w:val="009F6C77"/>
    <w:rsid w:val="009F6CA7"/>
    <w:rsid w:val="009F6E3B"/>
    <w:rsid w:val="009F6EE6"/>
    <w:rsid w:val="009F6F52"/>
    <w:rsid w:val="009F7000"/>
    <w:rsid w:val="009F71A2"/>
    <w:rsid w:val="009F723D"/>
    <w:rsid w:val="009F726D"/>
    <w:rsid w:val="009F72F4"/>
    <w:rsid w:val="009F7327"/>
    <w:rsid w:val="009F7352"/>
    <w:rsid w:val="009F73A7"/>
    <w:rsid w:val="009F73D4"/>
    <w:rsid w:val="009F7447"/>
    <w:rsid w:val="009F75D2"/>
    <w:rsid w:val="009F75FE"/>
    <w:rsid w:val="009F764B"/>
    <w:rsid w:val="009F76E8"/>
    <w:rsid w:val="009F7789"/>
    <w:rsid w:val="009F7794"/>
    <w:rsid w:val="009F77BB"/>
    <w:rsid w:val="009F7867"/>
    <w:rsid w:val="009F7881"/>
    <w:rsid w:val="009F7940"/>
    <w:rsid w:val="009F79F3"/>
    <w:rsid w:val="009F7A34"/>
    <w:rsid w:val="009F7ABA"/>
    <w:rsid w:val="009F7C3E"/>
    <w:rsid w:val="009F7D95"/>
    <w:rsid w:val="009F7DBD"/>
    <w:rsid w:val="009F7E59"/>
    <w:rsid w:val="009F7ECB"/>
    <w:rsid w:val="009F7ED1"/>
    <w:rsid w:val="009F7FA1"/>
    <w:rsid w:val="009F7FAE"/>
    <w:rsid w:val="00A00177"/>
    <w:rsid w:val="00A001A3"/>
    <w:rsid w:val="00A0021D"/>
    <w:rsid w:val="00A0040A"/>
    <w:rsid w:val="00A004BD"/>
    <w:rsid w:val="00A00522"/>
    <w:rsid w:val="00A0059F"/>
    <w:rsid w:val="00A00620"/>
    <w:rsid w:val="00A00641"/>
    <w:rsid w:val="00A00651"/>
    <w:rsid w:val="00A006A7"/>
    <w:rsid w:val="00A00731"/>
    <w:rsid w:val="00A007D5"/>
    <w:rsid w:val="00A00842"/>
    <w:rsid w:val="00A00844"/>
    <w:rsid w:val="00A008D5"/>
    <w:rsid w:val="00A00924"/>
    <w:rsid w:val="00A00945"/>
    <w:rsid w:val="00A009D8"/>
    <w:rsid w:val="00A00A6D"/>
    <w:rsid w:val="00A00AB0"/>
    <w:rsid w:val="00A00B18"/>
    <w:rsid w:val="00A00B70"/>
    <w:rsid w:val="00A00CA9"/>
    <w:rsid w:val="00A00DA0"/>
    <w:rsid w:val="00A00DE8"/>
    <w:rsid w:val="00A00DED"/>
    <w:rsid w:val="00A00E2E"/>
    <w:rsid w:val="00A00E2F"/>
    <w:rsid w:val="00A00E34"/>
    <w:rsid w:val="00A00ED8"/>
    <w:rsid w:val="00A00F82"/>
    <w:rsid w:val="00A01028"/>
    <w:rsid w:val="00A0104F"/>
    <w:rsid w:val="00A012D8"/>
    <w:rsid w:val="00A012F7"/>
    <w:rsid w:val="00A013A2"/>
    <w:rsid w:val="00A013C1"/>
    <w:rsid w:val="00A013CC"/>
    <w:rsid w:val="00A013F8"/>
    <w:rsid w:val="00A01428"/>
    <w:rsid w:val="00A01446"/>
    <w:rsid w:val="00A01511"/>
    <w:rsid w:val="00A015E8"/>
    <w:rsid w:val="00A0164A"/>
    <w:rsid w:val="00A01681"/>
    <w:rsid w:val="00A01693"/>
    <w:rsid w:val="00A016A9"/>
    <w:rsid w:val="00A016BB"/>
    <w:rsid w:val="00A01758"/>
    <w:rsid w:val="00A0177B"/>
    <w:rsid w:val="00A01836"/>
    <w:rsid w:val="00A01857"/>
    <w:rsid w:val="00A018B0"/>
    <w:rsid w:val="00A01911"/>
    <w:rsid w:val="00A01A8A"/>
    <w:rsid w:val="00A01AC5"/>
    <w:rsid w:val="00A01B3C"/>
    <w:rsid w:val="00A01C4F"/>
    <w:rsid w:val="00A01C71"/>
    <w:rsid w:val="00A01CF6"/>
    <w:rsid w:val="00A01DCE"/>
    <w:rsid w:val="00A01E75"/>
    <w:rsid w:val="00A01E76"/>
    <w:rsid w:val="00A01F13"/>
    <w:rsid w:val="00A01FA2"/>
    <w:rsid w:val="00A01FA3"/>
    <w:rsid w:val="00A01FDB"/>
    <w:rsid w:val="00A02112"/>
    <w:rsid w:val="00A021B9"/>
    <w:rsid w:val="00A021F4"/>
    <w:rsid w:val="00A0221C"/>
    <w:rsid w:val="00A02222"/>
    <w:rsid w:val="00A0245B"/>
    <w:rsid w:val="00A024C2"/>
    <w:rsid w:val="00A02522"/>
    <w:rsid w:val="00A02555"/>
    <w:rsid w:val="00A0256D"/>
    <w:rsid w:val="00A025E8"/>
    <w:rsid w:val="00A0266E"/>
    <w:rsid w:val="00A0268C"/>
    <w:rsid w:val="00A02694"/>
    <w:rsid w:val="00A02697"/>
    <w:rsid w:val="00A02854"/>
    <w:rsid w:val="00A02964"/>
    <w:rsid w:val="00A02A4B"/>
    <w:rsid w:val="00A02A8B"/>
    <w:rsid w:val="00A02ABE"/>
    <w:rsid w:val="00A02AD9"/>
    <w:rsid w:val="00A02AE1"/>
    <w:rsid w:val="00A02B5E"/>
    <w:rsid w:val="00A02C2D"/>
    <w:rsid w:val="00A02D17"/>
    <w:rsid w:val="00A02D2F"/>
    <w:rsid w:val="00A02D75"/>
    <w:rsid w:val="00A02D81"/>
    <w:rsid w:val="00A02E4E"/>
    <w:rsid w:val="00A02E94"/>
    <w:rsid w:val="00A02F90"/>
    <w:rsid w:val="00A02FB7"/>
    <w:rsid w:val="00A030E3"/>
    <w:rsid w:val="00A03239"/>
    <w:rsid w:val="00A0325D"/>
    <w:rsid w:val="00A03408"/>
    <w:rsid w:val="00A03415"/>
    <w:rsid w:val="00A03613"/>
    <w:rsid w:val="00A0368A"/>
    <w:rsid w:val="00A036A8"/>
    <w:rsid w:val="00A036B8"/>
    <w:rsid w:val="00A0381D"/>
    <w:rsid w:val="00A03861"/>
    <w:rsid w:val="00A038DA"/>
    <w:rsid w:val="00A038DE"/>
    <w:rsid w:val="00A03A1E"/>
    <w:rsid w:val="00A03A44"/>
    <w:rsid w:val="00A03A65"/>
    <w:rsid w:val="00A03B33"/>
    <w:rsid w:val="00A03B6A"/>
    <w:rsid w:val="00A03C3E"/>
    <w:rsid w:val="00A03E7E"/>
    <w:rsid w:val="00A03FA6"/>
    <w:rsid w:val="00A03FB8"/>
    <w:rsid w:val="00A03FC4"/>
    <w:rsid w:val="00A03FD7"/>
    <w:rsid w:val="00A03FEE"/>
    <w:rsid w:val="00A0400E"/>
    <w:rsid w:val="00A0400F"/>
    <w:rsid w:val="00A04013"/>
    <w:rsid w:val="00A04132"/>
    <w:rsid w:val="00A041AE"/>
    <w:rsid w:val="00A041BB"/>
    <w:rsid w:val="00A044B2"/>
    <w:rsid w:val="00A04551"/>
    <w:rsid w:val="00A04554"/>
    <w:rsid w:val="00A04594"/>
    <w:rsid w:val="00A045E0"/>
    <w:rsid w:val="00A0462F"/>
    <w:rsid w:val="00A0477D"/>
    <w:rsid w:val="00A047BE"/>
    <w:rsid w:val="00A047F8"/>
    <w:rsid w:val="00A0480D"/>
    <w:rsid w:val="00A048DE"/>
    <w:rsid w:val="00A04969"/>
    <w:rsid w:val="00A0499D"/>
    <w:rsid w:val="00A049CB"/>
    <w:rsid w:val="00A049FC"/>
    <w:rsid w:val="00A04A86"/>
    <w:rsid w:val="00A04AA1"/>
    <w:rsid w:val="00A04B1C"/>
    <w:rsid w:val="00A04C08"/>
    <w:rsid w:val="00A04C96"/>
    <w:rsid w:val="00A04CE3"/>
    <w:rsid w:val="00A04D8D"/>
    <w:rsid w:val="00A04DE0"/>
    <w:rsid w:val="00A04E4D"/>
    <w:rsid w:val="00A04E87"/>
    <w:rsid w:val="00A04F7E"/>
    <w:rsid w:val="00A04F80"/>
    <w:rsid w:val="00A05031"/>
    <w:rsid w:val="00A0505C"/>
    <w:rsid w:val="00A050B8"/>
    <w:rsid w:val="00A05124"/>
    <w:rsid w:val="00A05162"/>
    <w:rsid w:val="00A0519C"/>
    <w:rsid w:val="00A05241"/>
    <w:rsid w:val="00A0539B"/>
    <w:rsid w:val="00A053B1"/>
    <w:rsid w:val="00A05422"/>
    <w:rsid w:val="00A05437"/>
    <w:rsid w:val="00A054A6"/>
    <w:rsid w:val="00A0552E"/>
    <w:rsid w:val="00A05586"/>
    <w:rsid w:val="00A0560A"/>
    <w:rsid w:val="00A05640"/>
    <w:rsid w:val="00A05686"/>
    <w:rsid w:val="00A056B2"/>
    <w:rsid w:val="00A056C3"/>
    <w:rsid w:val="00A05766"/>
    <w:rsid w:val="00A057E0"/>
    <w:rsid w:val="00A058BE"/>
    <w:rsid w:val="00A058D3"/>
    <w:rsid w:val="00A058F5"/>
    <w:rsid w:val="00A05979"/>
    <w:rsid w:val="00A059A7"/>
    <w:rsid w:val="00A059F5"/>
    <w:rsid w:val="00A059FF"/>
    <w:rsid w:val="00A05A23"/>
    <w:rsid w:val="00A05A4F"/>
    <w:rsid w:val="00A05A83"/>
    <w:rsid w:val="00A05B48"/>
    <w:rsid w:val="00A05C3C"/>
    <w:rsid w:val="00A05C5C"/>
    <w:rsid w:val="00A05CAA"/>
    <w:rsid w:val="00A05CBB"/>
    <w:rsid w:val="00A05CFB"/>
    <w:rsid w:val="00A05D78"/>
    <w:rsid w:val="00A05D86"/>
    <w:rsid w:val="00A05E91"/>
    <w:rsid w:val="00A05E9B"/>
    <w:rsid w:val="00A05EB6"/>
    <w:rsid w:val="00A05EE3"/>
    <w:rsid w:val="00A05F88"/>
    <w:rsid w:val="00A05F8E"/>
    <w:rsid w:val="00A06074"/>
    <w:rsid w:val="00A060CE"/>
    <w:rsid w:val="00A06112"/>
    <w:rsid w:val="00A061E2"/>
    <w:rsid w:val="00A0626D"/>
    <w:rsid w:val="00A06275"/>
    <w:rsid w:val="00A06307"/>
    <w:rsid w:val="00A064E1"/>
    <w:rsid w:val="00A06544"/>
    <w:rsid w:val="00A06615"/>
    <w:rsid w:val="00A068A7"/>
    <w:rsid w:val="00A06902"/>
    <w:rsid w:val="00A0692B"/>
    <w:rsid w:val="00A06B91"/>
    <w:rsid w:val="00A06CEA"/>
    <w:rsid w:val="00A06D29"/>
    <w:rsid w:val="00A06D77"/>
    <w:rsid w:val="00A06D8B"/>
    <w:rsid w:val="00A06F22"/>
    <w:rsid w:val="00A06F4E"/>
    <w:rsid w:val="00A0706A"/>
    <w:rsid w:val="00A07090"/>
    <w:rsid w:val="00A07098"/>
    <w:rsid w:val="00A070FC"/>
    <w:rsid w:val="00A0716F"/>
    <w:rsid w:val="00A071CA"/>
    <w:rsid w:val="00A072FF"/>
    <w:rsid w:val="00A07357"/>
    <w:rsid w:val="00A0735C"/>
    <w:rsid w:val="00A073B1"/>
    <w:rsid w:val="00A07468"/>
    <w:rsid w:val="00A07472"/>
    <w:rsid w:val="00A07473"/>
    <w:rsid w:val="00A074ED"/>
    <w:rsid w:val="00A0757D"/>
    <w:rsid w:val="00A075B7"/>
    <w:rsid w:val="00A075E3"/>
    <w:rsid w:val="00A07661"/>
    <w:rsid w:val="00A077DB"/>
    <w:rsid w:val="00A0795A"/>
    <w:rsid w:val="00A079EF"/>
    <w:rsid w:val="00A07A12"/>
    <w:rsid w:val="00A07A80"/>
    <w:rsid w:val="00A07B7D"/>
    <w:rsid w:val="00A07BD2"/>
    <w:rsid w:val="00A07C01"/>
    <w:rsid w:val="00A07C2C"/>
    <w:rsid w:val="00A07CED"/>
    <w:rsid w:val="00A07D39"/>
    <w:rsid w:val="00A07D47"/>
    <w:rsid w:val="00A07D8B"/>
    <w:rsid w:val="00A07D97"/>
    <w:rsid w:val="00A07DC9"/>
    <w:rsid w:val="00A07DCF"/>
    <w:rsid w:val="00A07DD7"/>
    <w:rsid w:val="00A07E96"/>
    <w:rsid w:val="00A07F9C"/>
    <w:rsid w:val="00A1007B"/>
    <w:rsid w:val="00A100CB"/>
    <w:rsid w:val="00A101A4"/>
    <w:rsid w:val="00A10219"/>
    <w:rsid w:val="00A10243"/>
    <w:rsid w:val="00A1025E"/>
    <w:rsid w:val="00A102F3"/>
    <w:rsid w:val="00A10378"/>
    <w:rsid w:val="00A103B1"/>
    <w:rsid w:val="00A103CA"/>
    <w:rsid w:val="00A10464"/>
    <w:rsid w:val="00A104BD"/>
    <w:rsid w:val="00A104DB"/>
    <w:rsid w:val="00A104E6"/>
    <w:rsid w:val="00A10593"/>
    <w:rsid w:val="00A1061E"/>
    <w:rsid w:val="00A1065C"/>
    <w:rsid w:val="00A10675"/>
    <w:rsid w:val="00A106A8"/>
    <w:rsid w:val="00A107CD"/>
    <w:rsid w:val="00A107DB"/>
    <w:rsid w:val="00A108EB"/>
    <w:rsid w:val="00A1092A"/>
    <w:rsid w:val="00A10949"/>
    <w:rsid w:val="00A10972"/>
    <w:rsid w:val="00A109E0"/>
    <w:rsid w:val="00A10A91"/>
    <w:rsid w:val="00A10AA1"/>
    <w:rsid w:val="00A10CDB"/>
    <w:rsid w:val="00A10E2C"/>
    <w:rsid w:val="00A10E62"/>
    <w:rsid w:val="00A10E8F"/>
    <w:rsid w:val="00A10FF0"/>
    <w:rsid w:val="00A11044"/>
    <w:rsid w:val="00A110B2"/>
    <w:rsid w:val="00A110E9"/>
    <w:rsid w:val="00A1112B"/>
    <w:rsid w:val="00A111D9"/>
    <w:rsid w:val="00A1128C"/>
    <w:rsid w:val="00A112A0"/>
    <w:rsid w:val="00A112DB"/>
    <w:rsid w:val="00A112E3"/>
    <w:rsid w:val="00A11372"/>
    <w:rsid w:val="00A1137D"/>
    <w:rsid w:val="00A114FE"/>
    <w:rsid w:val="00A115FF"/>
    <w:rsid w:val="00A116B7"/>
    <w:rsid w:val="00A117BC"/>
    <w:rsid w:val="00A117EC"/>
    <w:rsid w:val="00A11882"/>
    <w:rsid w:val="00A119CD"/>
    <w:rsid w:val="00A11A66"/>
    <w:rsid w:val="00A11A9B"/>
    <w:rsid w:val="00A11AA8"/>
    <w:rsid w:val="00A11CC4"/>
    <w:rsid w:val="00A11D0D"/>
    <w:rsid w:val="00A11D51"/>
    <w:rsid w:val="00A11D5A"/>
    <w:rsid w:val="00A11DC5"/>
    <w:rsid w:val="00A11E91"/>
    <w:rsid w:val="00A11ED7"/>
    <w:rsid w:val="00A11F58"/>
    <w:rsid w:val="00A11FBA"/>
    <w:rsid w:val="00A12057"/>
    <w:rsid w:val="00A120B8"/>
    <w:rsid w:val="00A120C3"/>
    <w:rsid w:val="00A12187"/>
    <w:rsid w:val="00A121C3"/>
    <w:rsid w:val="00A122C5"/>
    <w:rsid w:val="00A1242C"/>
    <w:rsid w:val="00A124C5"/>
    <w:rsid w:val="00A12533"/>
    <w:rsid w:val="00A126CA"/>
    <w:rsid w:val="00A12761"/>
    <w:rsid w:val="00A12802"/>
    <w:rsid w:val="00A12878"/>
    <w:rsid w:val="00A1289D"/>
    <w:rsid w:val="00A128C2"/>
    <w:rsid w:val="00A12956"/>
    <w:rsid w:val="00A129A8"/>
    <w:rsid w:val="00A129AC"/>
    <w:rsid w:val="00A129B3"/>
    <w:rsid w:val="00A12B53"/>
    <w:rsid w:val="00A12B8A"/>
    <w:rsid w:val="00A12B9B"/>
    <w:rsid w:val="00A12B9C"/>
    <w:rsid w:val="00A12C1F"/>
    <w:rsid w:val="00A12C6B"/>
    <w:rsid w:val="00A12C76"/>
    <w:rsid w:val="00A12D5E"/>
    <w:rsid w:val="00A12F4B"/>
    <w:rsid w:val="00A12F62"/>
    <w:rsid w:val="00A12FE9"/>
    <w:rsid w:val="00A13026"/>
    <w:rsid w:val="00A13126"/>
    <w:rsid w:val="00A1319B"/>
    <w:rsid w:val="00A13223"/>
    <w:rsid w:val="00A132D5"/>
    <w:rsid w:val="00A13310"/>
    <w:rsid w:val="00A1331D"/>
    <w:rsid w:val="00A1339F"/>
    <w:rsid w:val="00A133CE"/>
    <w:rsid w:val="00A133E3"/>
    <w:rsid w:val="00A13469"/>
    <w:rsid w:val="00A13540"/>
    <w:rsid w:val="00A13596"/>
    <w:rsid w:val="00A1359A"/>
    <w:rsid w:val="00A135E6"/>
    <w:rsid w:val="00A13608"/>
    <w:rsid w:val="00A13700"/>
    <w:rsid w:val="00A13822"/>
    <w:rsid w:val="00A138F7"/>
    <w:rsid w:val="00A13931"/>
    <w:rsid w:val="00A13A30"/>
    <w:rsid w:val="00A13A5B"/>
    <w:rsid w:val="00A13A5C"/>
    <w:rsid w:val="00A13B54"/>
    <w:rsid w:val="00A13B7F"/>
    <w:rsid w:val="00A13BE7"/>
    <w:rsid w:val="00A13C0D"/>
    <w:rsid w:val="00A13C4D"/>
    <w:rsid w:val="00A13CD1"/>
    <w:rsid w:val="00A13DA0"/>
    <w:rsid w:val="00A13E53"/>
    <w:rsid w:val="00A13E8B"/>
    <w:rsid w:val="00A13EBD"/>
    <w:rsid w:val="00A13ED3"/>
    <w:rsid w:val="00A13F73"/>
    <w:rsid w:val="00A13FAD"/>
    <w:rsid w:val="00A14072"/>
    <w:rsid w:val="00A1409C"/>
    <w:rsid w:val="00A1409F"/>
    <w:rsid w:val="00A140B0"/>
    <w:rsid w:val="00A14220"/>
    <w:rsid w:val="00A1423B"/>
    <w:rsid w:val="00A142A2"/>
    <w:rsid w:val="00A142A5"/>
    <w:rsid w:val="00A142D3"/>
    <w:rsid w:val="00A142F9"/>
    <w:rsid w:val="00A143B5"/>
    <w:rsid w:val="00A14412"/>
    <w:rsid w:val="00A14500"/>
    <w:rsid w:val="00A1461C"/>
    <w:rsid w:val="00A14655"/>
    <w:rsid w:val="00A1469A"/>
    <w:rsid w:val="00A146BB"/>
    <w:rsid w:val="00A147A1"/>
    <w:rsid w:val="00A14810"/>
    <w:rsid w:val="00A1491B"/>
    <w:rsid w:val="00A1498D"/>
    <w:rsid w:val="00A14A1A"/>
    <w:rsid w:val="00A14A75"/>
    <w:rsid w:val="00A14B30"/>
    <w:rsid w:val="00A14BD6"/>
    <w:rsid w:val="00A14BF3"/>
    <w:rsid w:val="00A14C85"/>
    <w:rsid w:val="00A14C87"/>
    <w:rsid w:val="00A14D0D"/>
    <w:rsid w:val="00A14D11"/>
    <w:rsid w:val="00A14D31"/>
    <w:rsid w:val="00A14DB8"/>
    <w:rsid w:val="00A14E0B"/>
    <w:rsid w:val="00A14E40"/>
    <w:rsid w:val="00A14E48"/>
    <w:rsid w:val="00A14E49"/>
    <w:rsid w:val="00A14EAA"/>
    <w:rsid w:val="00A14F91"/>
    <w:rsid w:val="00A14FE9"/>
    <w:rsid w:val="00A1504E"/>
    <w:rsid w:val="00A152AC"/>
    <w:rsid w:val="00A152BD"/>
    <w:rsid w:val="00A152C1"/>
    <w:rsid w:val="00A15349"/>
    <w:rsid w:val="00A1540E"/>
    <w:rsid w:val="00A154AA"/>
    <w:rsid w:val="00A154D1"/>
    <w:rsid w:val="00A1555C"/>
    <w:rsid w:val="00A15586"/>
    <w:rsid w:val="00A15590"/>
    <w:rsid w:val="00A155F0"/>
    <w:rsid w:val="00A15612"/>
    <w:rsid w:val="00A15665"/>
    <w:rsid w:val="00A15776"/>
    <w:rsid w:val="00A157D9"/>
    <w:rsid w:val="00A15887"/>
    <w:rsid w:val="00A158F2"/>
    <w:rsid w:val="00A15A0C"/>
    <w:rsid w:val="00A15AC8"/>
    <w:rsid w:val="00A15B2D"/>
    <w:rsid w:val="00A15BC5"/>
    <w:rsid w:val="00A15D1F"/>
    <w:rsid w:val="00A15D38"/>
    <w:rsid w:val="00A15D79"/>
    <w:rsid w:val="00A15DB0"/>
    <w:rsid w:val="00A15E16"/>
    <w:rsid w:val="00A15E1E"/>
    <w:rsid w:val="00A15E29"/>
    <w:rsid w:val="00A15E5C"/>
    <w:rsid w:val="00A15F16"/>
    <w:rsid w:val="00A15F73"/>
    <w:rsid w:val="00A15FBA"/>
    <w:rsid w:val="00A15FDB"/>
    <w:rsid w:val="00A15FE9"/>
    <w:rsid w:val="00A16029"/>
    <w:rsid w:val="00A1602E"/>
    <w:rsid w:val="00A16095"/>
    <w:rsid w:val="00A16177"/>
    <w:rsid w:val="00A161C7"/>
    <w:rsid w:val="00A162E9"/>
    <w:rsid w:val="00A16316"/>
    <w:rsid w:val="00A16353"/>
    <w:rsid w:val="00A16582"/>
    <w:rsid w:val="00A16595"/>
    <w:rsid w:val="00A1665C"/>
    <w:rsid w:val="00A167F0"/>
    <w:rsid w:val="00A1694C"/>
    <w:rsid w:val="00A16A1E"/>
    <w:rsid w:val="00A16AC6"/>
    <w:rsid w:val="00A16BAF"/>
    <w:rsid w:val="00A16BE2"/>
    <w:rsid w:val="00A16BE5"/>
    <w:rsid w:val="00A16BE7"/>
    <w:rsid w:val="00A16C18"/>
    <w:rsid w:val="00A16CBF"/>
    <w:rsid w:val="00A16D0E"/>
    <w:rsid w:val="00A16D12"/>
    <w:rsid w:val="00A16DA9"/>
    <w:rsid w:val="00A16DED"/>
    <w:rsid w:val="00A16E26"/>
    <w:rsid w:val="00A16E39"/>
    <w:rsid w:val="00A16E7A"/>
    <w:rsid w:val="00A16E85"/>
    <w:rsid w:val="00A16ECA"/>
    <w:rsid w:val="00A16ED6"/>
    <w:rsid w:val="00A16EDB"/>
    <w:rsid w:val="00A16F21"/>
    <w:rsid w:val="00A170ED"/>
    <w:rsid w:val="00A171BA"/>
    <w:rsid w:val="00A171F2"/>
    <w:rsid w:val="00A17237"/>
    <w:rsid w:val="00A17241"/>
    <w:rsid w:val="00A17325"/>
    <w:rsid w:val="00A17343"/>
    <w:rsid w:val="00A174C2"/>
    <w:rsid w:val="00A17567"/>
    <w:rsid w:val="00A175E0"/>
    <w:rsid w:val="00A1763A"/>
    <w:rsid w:val="00A17866"/>
    <w:rsid w:val="00A1786F"/>
    <w:rsid w:val="00A1788E"/>
    <w:rsid w:val="00A178CE"/>
    <w:rsid w:val="00A178D2"/>
    <w:rsid w:val="00A178D7"/>
    <w:rsid w:val="00A178F5"/>
    <w:rsid w:val="00A1795A"/>
    <w:rsid w:val="00A17B31"/>
    <w:rsid w:val="00A17BA8"/>
    <w:rsid w:val="00A17BAC"/>
    <w:rsid w:val="00A17CD6"/>
    <w:rsid w:val="00A17DF8"/>
    <w:rsid w:val="00A17E56"/>
    <w:rsid w:val="00A17F81"/>
    <w:rsid w:val="00A17F9D"/>
    <w:rsid w:val="00A20092"/>
    <w:rsid w:val="00A200E3"/>
    <w:rsid w:val="00A20198"/>
    <w:rsid w:val="00A201BB"/>
    <w:rsid w:val="00A201F7"/>
    <w:rsid w:val="00A20208"/>
    <w:rsid w:val="00A20273"/>
    <w:rsid w:val="00A202D9"/>
    <w:rsid w:val="00A203A6"/>
    <w:rsid w:val="00A20442"/>
    <w:rsid w:val="00A2046B"/>
    <w:rsid w:val="00A204E3"/>
    <w:rsid w:val="00A204EC"/>
    <w:rsid w:val="00A20527"/>
    <w:rsid w:val="00A20541"/>
    <w:rsid w:val="00A2054B"/>
    <w:rsid w:val="00A20553"/>
    <w:rsid w:val="00A20575"/>
    <w:rsid w:val="00A20611"/>
    <w:rsid w:val="00A2068C"/>
    <w:rsid w:val="00A206D2"/>
    <w:rsid w:val="00A206D5"/>
    <w:rsid w:val="00A206E5"/>
    <w:rsid w:val="00A206EA"/>
    <w:rsid w:val="00A20718"/>
    <w:rsid w:val="00A2075B"/>
    <w:rsid w:val="00A20797"/>
    <w:rsid w:val="00A208D4"/>
    <w:rsid w:val="00A208EA"/>
    <w:rsid w:val="00A209B1"/>
    <w:rsid w:val="00A20BA9"/>
    <w:rsid w:val="00A20BC5"/>
    <w:rsid w:val="00A20CD6"/>
    <w:rsid w:val="00A20D58"/>
    <w:rsid w:val="00A20DBA"/>
    <w:rsid w:val="00A20E8F"/>
    <w:rsid w:val="00A20EE5"/>
    <w:rsid w:val="00A20EEE"/>
    <w:rsid w:val="00A20EF0"/>
    <w:rsid w:val="00A20F8B"/>
    <w:rsid w:val="00A2104D"/>
    <w:rsid w:val="00A2108E"/>
    <w:rsid w:val="00A210FC"/>
    <w:rsid w:val="00A21175"/>
    <w:rsid w:val="00A21193"/>
    <w:rsid w:val="00A211A9"/>
    <w:rsid w:val="00A212FE"/>
    <w:rsid w:val="00A2133A"/>
    <w:rsid w:val="00A2135D"/>
    <w:rsid w:val="00A2136D"/>
    <w:rsid w:val="00A21386"/>
    <w:rsid w:val="00A21399"/>
    <w:rsid w:val="00A213F6"/>
    <w:rsid w:val="00A21429"/>
    <w:rsid w:val="00A21474"/>
    <w:rsid w:val="00A21475"/>
    <w:rsid w:val="00A21482"/>
    <w:rsid w:val="00A214C0"/>
    <w:rsid w:val="00A2150A"/>
    <w:rsid w:val="00A21597"/>
    <w:rsid w:val="00A2184E"/>
    <w:rsid w:val="00A218F2"/>
    <w:rsid w:val="00A21B5E"/>
    <w:rsid w:val="00A21BFD"/>
    <w:rsid w:val="00A21D25"/>
    <w:rsid w:val="00A21D39"/>
    <w:rsid w:val="00A21D4F"/>
    <w:rsid w:val="00A21EE8"/>
    <w:rsid w:val="00A21F78"/>
    <w:rsid w:val="00A221E2"/>
    <w:rsid w:val="00A22274"/>
    <w:rsid w:val="00A222A2"/>
    <w:rsid w:val="00A2233C"/>
    <w:rsid w:val="00A2236E"/>
    <w:rsid w:val="00A22378"/>
    <w:rsid w:val="00A223B9"/>
    <w:rsid w:val="00A22507"/>
    <w:rsid w:val="00A22570"/>
    <w:rsid w:val="00A226DB"/>
    <w:rsid w:val="00A227A4"/>
    <w:rsid w:val="00A227CF"/>
    <w:rsid w:val="00A2285A"/>
    <w:rsid w:val="00A2285B"/>
    <w:rsid w:val="00A22866"/>
    <w:rsid w:val="00A22904"/>
    <w:rsid w:val="00A22932"/>
    <w:rsid w:val="00A229EB"/>
    <w:rsid w:val="00A22A54"/>
    <w:rsid w:val="00A22C01"/>
    <w:rsid w:val="00A22D73"/>
    <w:rsid w:val="00A22D7B"/>
    <w:rsid w:val="00A22E2E"/>
    <w:rsid w:val="00A22E46"/>
    <w:rsid w:val="00A22E7D"/>
    <w:rsid w:val="00A22EA8"/>
    <w:rsid w:val="00A23042"/>
    <w:rsid w:val="00A23043"/>
    <w:rsid w:val="00A23163"/>
    <w:rsid w:val="00A231DF"/>
    <w:rsid w:val="00A23264"/>
    <w:rsid w:val="00A23292"/>
    <w:rsid w:val="00A232E2"/>
    <w:rsid w:val="00A23469"/>
    <w:rsid w:val="00A2349F"/>
    <w:rsid w:val="00A234D3"/>
    <w:rsid w:val="00A234E7"/>
    <w:rsid w:val="00A234F5"/>
    <w:rsid w:val="00A23559"/>
    <w:rsid w:val="00A236F5"/>
    <w:rsid w:val="00A23735"/>
    <w:rsid w:val="00A2374D"/>
    <w:rsid w:val="00A2381B"/>
    <w:rsid w:val="00A2381D"/>
    <w:rsid w:val="00A23849"/>
    <w:rsid w:val="00A238A7"/>
    <w:rsid w:val="00A238BB"/>
    <w:rsid w:val="00A238F8"/>
    <w:rsid w:val="00A2395A"/>
    <w:rsid w:val="00A2399A"/>
    <w:rsid w:val="00A239CB"/>
    <w:rsid w:val="00A239EF"/>
    <w:rsid w:val="00A23A2D"/>
    <w:rsid w:val="00A23A53"/>
    <w:rsid w:val="00A23A93"/>
    <w:rsid w:val="00A23AAC"/>
    <w:rsid w:val="00A23AE7"/>
    <w:rsid w:val="00A23AEF"/>
    <w:rsid w:val="00A23B15"/>
    <w:rsid w:val="00A23B8D"/>
    <w:rsid w:val="00A23CF0"/>
    <w:rsid w:val="00A23E26"/>
    <w:rsid w:val="00A23E8C"/>
    <w:rsid w:val="00A23E96"/>
    <w:rsid w:val="00A23FDA"/>
    <w:rsid w:val="00A24013"/>
    <w:rsid w:val="00A24030"/>
    <w:rsid w:val="00A24043"/>
    <w:rsid w:val="00A2408C"/>
    <w:rsid w:val="00A24218"/>
    <w:rsid w:val="00A24249"/>
    <w:rsid w:val="00A242A0"/>
    <w:rsid w:val="00A242B1"/>
    <w:rsid w:val="00A242B3"/>
    <w:rsid w:val="00A242D9"/>
    <w:rsid w:val="00A242E3"/>
    <w:rsid w:val="00A242EE"/>
    <w:rsid w:val="00A24301"/>
    <w:rsid w:val="00A2434F"/>
    <w:rsid w:val="00A24376"/>
    <w:rsid w:val="00A2438C"/>
    <w:rsid w:val="00A24482"/>
    <w:rsid w:val="00A2451D"/>
    <w:rsid w:val="00A2453C"/>
    <w:rsid w:val="00A24593"/>
    <w:rsid w:val="00A24675"/>
    <w:rsid w:val="00A246B1"/>
    <w:rsid w:val="00A24732"/>
    <w:rsid w:val="00A24802"/>
    <w:rsid w:val="00A248E9"/>
    <w:rsid w:val="00A249DB"/>
    <w:rsid w:val="00A249F8"/>
    <w:rsid w:val="00A24A78"/>
    <w:rsid w:val="00A24AA2"/>
    <w:rsid w:val="00A24B42"/>
    <w:rsid w:val="00A24C20"/>
    <w:rsid w:val="00A24D9E"/>
    <w:rsid w:val="00A24DB7"/>
    <w:rsid w:val="00A24E05"/>
    <w:rsid w:val="00A24E26"/>
    <w:rsid w:val="00A24EB9"/>
    <w:rsid w:val="00A24FE0"/>
    <w:rsid w:val="00A25043"/>
    <w:rsid w:val="00A2507F"/>
    <w:rsid w:val="00A250F5"/>
    <w:rsid w:val="00A2511C"/>
    <w:rsid w:val="00A2513D"/>
    <w:rsid w:val="00A25256"/>
    <w:rsid w:val="00A25409"/>
    <w:rsid w:val="00A2553D"/>
    <w:rsid w:val="00A255D4"/>
    <w:rsid w:val="00A255F6"/>
    <w:rsid w:val="00A2563D"/>
    <w:rsid w:val="00A25705"/>
    <w:rsid w:val="00A25725"/>
    <w:rsid w:val="00A25739"/>
    <w:rsid w:val="00A25779"/>
    <w:rsid w:val="00A25869"/>
    <w:rsid w:val="00A25894"/>
    <w:rsid w:val="00A258C2"/>
    <w:rsid w:val="00A259CE"/>
    <w:rsid w:val="00A25A78"/>
    <w:rsid w:val="00A25A8F"/>
    <w:rsid w:val="00A25AFC"/>
    <w:rsid w:val="00A25B83"/>
    <w:rsid w:val="00A25B9B"/>
    <w:rsid w:val="00A25BE6"/>
    <w:rsid w:val="00A25C24"/>
    <w:rsid w:val="00A25C53"/>
    <w:rsid w:val="00A25C62"/>
    <w:rsid w:val="00A25CBF"/>
    <w:rsid w:val="00A25D13"/>
    <w:rsid w:val="00A25DE1"/>
    <w:rsid w:val="00A25E44"/>
    <w:rsid w:val="00A25EEF"/>
    <w:rsid w:val="00A25F49"/>
    <w:rsid w:val="00A26057"/>
    <w:rsid w:val="00A260C9"/>
    <w:rsid w:val="00A261B7"/>
    <w:rsid w:val="00A26202"/>
    <w:rsid w:val="00A26255"/>
    <w:rsid w:val="00A26278"/>
    <w:rsid w:val="00A2635B"/>
    <w:rsid w:val="00A264EF"/>
    <w:rsid w:val="00A2650D"/>
    <w:rsid w:val="00A2653E"/>
    <w:rsid w:val="00A26577"/>
    <w:rsid w:val="00A26593"/>
    <w:rsid w:val="00A265AF"/>
    <w:rsid w:val="00A265DA"/>
    <w:rsid w:val="00A265E2"/>
    <w:rsid w:val="00A266C7"/>
    <w:rsid w:val="00A26791"/>
    <w:rsid w:val="00A267A7"/>
    <w:rsid w:val="00A26882"/>
    <w:rsid w:val="00A268AA"/>
    <w:rsid w:val="00A26904"/>
    <w:rsid w:val="00A26941"/>
    <w:rsid w:val="00A2695E"/>
    <w:rsid w:val="00A26A74"/>
    <w:rsid w:val="00A26ADA"/>
    <w:rsid w:val="00A26B0A"/>
    <w:rsid w:val="00A26B8A"/>
    <w:rsid w:val="00A26C02"/>
    <w:rsid w:val="00A26DB9"/>
    <w:rsid w:val="00A26F52"/>
    <w:rsid w:val="00A26F9E"/>
    <w:rsid w:val="00A26FA5"/>
    <w:rsid w:val="00A26FB5"/>
    <w:rsid w:val="00A27121"/>
    <w:rsid w:val="00A2715D"/>
    <w:rsid w:val="00A27288"/>
    <w:rsid w:val="00A27303"/>
    <w:rsid w:val="00A27537"/>
    <w:rsid w:val="00A27555"/>
    <w:rsid w:val="00A27600"/>
    <w:rsid w:val="00A27604"/>
    <w:rsid w:val="00A27634"/>
    <w:rsid w:val="00A2765C"/>
    <w:rsid w:val="00A2766E"/>
    <w:rsid w:val="00A27683"/>
    <w:rsid w:val="00A277BB"/>
    <w:rsid w:val="00A2784D"/>
    <w:rsid w:val="00A2787B"/>
    <w:rsid w:val="00A27960"/>
    <w:rsid w:val="00A27963"/>
    <w:rsid w:val="00A27A8B"/>
    <w:rsid w:val="00A27BDA"/>
    <w:rsid w:val="00A27BE0"/>
    <w:rsid w:val="00A27C8F"/>
    <w:rsid w:val="00A27CAB"/>
    <w:rsid w:val="00A27D50"/>
    <w:rsid w:val="00A27E09"/>
    <w:rsid w:val="00A27E17"/>
    <w:rsid w:val="00A27E7F"/>
    <w:rsid w:val="00A27EB7"/>
    <w:rsid w:val="00A27EF6"/>
    <w:rsid w:val="00A27F29"/>
    <w:rsid w:val="00A301BF"/>
    <w:rsid w:val="00A3020A"/>
    <w:rsid w:val="00A30225"/>
    <w:rsid w:val="00A3030D"/>
    <w:rsid w:val="00A303CD"/>
    <w:rsid w:val="00A303EA"/>
    <w:rsid w:val="00A303FA"/>
    <w:rsid w:val="00A3041F"/>
    <w:rsid w:val="00A3044F"/>
    <w:rsid w:val="00A30471"/>
    <w:rsid w:val="00A30473"/>
    <w:rsid w:val="00A3048B"/>
    <w:rsid w:val="00A3050B"/>
    <w:rsid w:val="00A30556"/>
    <w:rsid w:val="00A3058E"/>
    <w:rsid w:val="00A30679"/>
    <w:rsid w:val="00A306B5"/>
    <w:rsid w:val="00A306C0"/>
    <w:rsid w:val="00A306F8"/>
    <w:rsid w:val="00A30764"/>
    <w:rsid w:val="00A30892"/>
    <w:rsid w:val="00A3089C"/>
    <w:rsid w:val="00A308BE"/>
    <w:rsid w:val="00A308E7"/>
    <w:rsid w:val="00A3097D"/>
    <w:rsid w:val="00A309C6"/>
    <w:rsid w:val="00A309D9"/>
    <w:rsid w:val="00A30B43"/>
    <w:rsid w:val="00A30B77"/>
    <w:rsid w:val="00A30C9F"/>
    <w:rsid w:val="00A30CD0"/>
    <w:rsid w:val="00A30D0E"/>
    <w:rsid w:val="00A30DC3"/>
    <w:rsid w:val="00A30E0C"/>
    <w:rsid w:val="00A30EC6"/>
    <w:rsid w:val="00A30F06"/>
    <w:rsid w:val="00A30F09"/>
    <w:rsid w:val="00A30F29"/>
    <w:rsid w:val="00A312A3"/>
    <w:rsid w:val="00A313E8"/>
    <w:rsid w:val="00A313F2"/>
    <w:rsid w:val="00A31489"/>
    <w:rsid w:val="00A3150D"/>
    <w:rsid w:val="00A31563"/>
    <w:rsid w:val="00A31686"/>
    <w:rsid w:val="00A31698"/>
    <w:rsid w:val="00A316C0"/>
    <w:rsid w:val="00A317C9"/>
    <w:rsid w:val="00A31822"/>
    <w:rsid w:val="00A31868"/>
    <w:rsid w:val="00A318A7"/>
    <w:rsid w:val="00A31954"/>
    <w:rsid w:val="00A319A8"/>
    <w:rsid w:val="00A319E4"/>
    <w:rsid w:val="00A31A77"/>
    <w:rsid w:val="00A31AD4"/>
    <w:rsid w:val="00A31C00"/>
    <w:rsid w:val="00A31C25"/>
    <w:rsid w:val="00A31C59"/>
    <w:rsid w:val="00A31C64"/>
    <w:rsid w:val="00A31D48"/>
    <w:rsid w:val="00A31DDF"/>
    <w:rsid w:val="00A31E2C"/>
    <w:rsid w:val="00A31F0D"/>
    <w:rsid w:val="00A32053"/>
    <w:rsid w:val="00A32070"/>
    <w:rsid w:val="00A32081"/>
    <w:rsid w:val="00A320FE"/>
    <w:rsid w:val="00A321E0"/>
    <w:rsid w:val="00A323A3"/>
    <w:rsid w:val="00A3245B"/>
    <w:rsid w:val="00A324B0"/>
    <w:rsid w:val="00A3256E"/>
    <w:rsid w:val="00A325B5"/>
    <w:rsid w:val="00A326E4"/>
    <w:rsid w:val="00A32784"/>
    <w:rsid w:val="00A327AA"/>
    <w:rsid w:val="00A327FD"/>
    <w:rsid w:val="00A329CF"/>
    <w:rsid w:val="00A32B32"/>
    <w:rsid w:val="00A32B8C"/>
    <w:rsid w:val="00A32D17"/>
    <w:rsid w:val="00A32F2B"/>
    <w:rsid w:val="00A32F84"/>
    <w:rsid w:val="00A330D7"/>
    <w:rsid w:val="00A33124"/>
    <w:rsid w:val="00A33153"/>
    <w:rsid w:val="00A331AB"/>
    <w:rsid w:val="00A3323D"/>
    <w:rsid w:val="00A332D5"/>
    <w:rsid w:val="00A33318"/>
    <w:rsid w:val="00A3334E"/>
    <w:rsid w:val="00A3351D"/>
    <w:rsid w:val="00A33585"/>
    <w:rsid w:val="00A33714"/>
    <w:rsid w:val="00A33716"/>
    <w:rsid w:val="00A33730"/>
    <w:rsid w:val="00A33793"/>
    <w:rsid w:val="00A33800"/>
    <w:rsid w:val="00A338B8"/>
    <w:rsid w:val="00A3396E"/>
    <w:rsid w:val="00A33C3F"/>
    <w:rsid w:val="00A33CB7"/>
    <w:rsid w:val="00A33D30"/>
    <w:rsid w:val="00A33D4F"/>
    <w:rsid w:val="00A33DB4"/>
    <w:rsid w:val="00A33E85"/>
    <w:rsid w:val="00A33E94"/>
    <w:rsid w:val="00A33EA2"/>
    <w:rsid w:val="00A33FDD"/>
    <w:rsid w:val="00A34017"/>
    <w:rsid w:val="00A34034"/>
    <w:rsid w:val="00A34069"/>
    <w:rsid w:val="00A340E7"/>
    <w:rsid w:val="00A3439B"/>
    <w:rsid w:val="00A343D5"/>
    <w:rsid w:val="00A34457"/>
    <w:rsid w:val="00A34480"/>
    <w:rsid w:val="00A345EF"/>
    <w:rsid w:val="00A34649"/>
    <w:rsid w:val="00A3465A"/>
    <w:rsid w:val="00A34664"/>
    <w:rsid w:val="00A3470F"/>
    <w:rsid w:val="00A3474C"/>
    <w:rsid w:val="00A347B7"/>
    <w:rsid w:val="00A349C6"/>
    <w:rsid w:val="00A34A16"/>
    <w:rsid w:val="00A34A43"/>
    <w:rsid w:val="00A34A85"/>
    <w:rsid w:val="00A34AD0"/>
    <w:rsid w:val="00A34CBD"/>
    <w:rsid w:val="00A34D33"/>
    <w:rsid w:val="00A34D71"/>
    <w:rsid w:val="00A34DA7"/>
    <w:rsid w:val="00A34E1C"/>
    <w:rsid w:val="00A34E74"/>
    <w:rsid w:val="00A34EA4"/>
    <w:rsid w:val="00A34FB7"/>
    <w:rsid w:val="00A3501F"/>
    <w:rsid w:val="00A350CB"/>
    <w:rsid w:val="00A3515F"/>
    <w:rsid w:val="00A35224"/>
    <w:rsid w:val="00A3533F"/>
    <w:rsid w:val="00A35377"/>
    <w:rsid w:val="00A353B2"/>
    <w:rsid w:val="00A353C5"/>
    <w:rsid w:val="00A353CC"/>
    <w:rsid w:val="00A35427"/>
    <w:rsid w:val="00A35449"/>
    <w:rsid w:val="00A35494"/>
    <w:rsid w:val="00A3549B"/>
    <w:rsid w:val="00A35517"/>
    <w:rsid w:val="00A35526"/>
    <w:rsid w:val="00A355A3"/>
    <w:rsid w:val="00A355F3"/>
    <w:rsid w:val="00A35686"/>
    <w:rsid w:val="00A35751"/>
    <w:rsid w:val="00A35773"/>
    <w:rsid w:val="00A3581F"/>
    <w:rsid w:val="00A3583C"/>
    <w:rsid w:val="00A358D8"/>
    <w:rsid w:val="00A3598B"/>
    <w:rsid w:val="00A359AE"/>
    <w:rsid w:val="00A359E8"/>
    <w:rsid w:val="00A35CD5"/>
    <w:rsid w:val="00A35D33"/>
    <w:rsid w:val="00A35D83"/>
    <w:rsid w:val="00A35D8E"/>
    <w:rsid w:val="00A35E29"/>
    <w:rsid w:val="00A35F1D"/>
    <w:rsid w:val="00A35F6D"/>
    <w:rsid w:val="00A35FA8"/>
    <w:rsid w:val="00A35FC6"/>
    <w:rsid w:val="00A35FD3"/>
    <w:rsid w:val="00A360DD"/>
    <w:rsid w:val="00A361EC"/>
    <w:rsid w:val="00A3620D"/>
    <w:rsid w:val="00A36273"/>
    <w:rsid w:val="00A3628E"/>
    <w:rsid w:val="00A362C9"/>
    <w:rsid w:val="00A3634B"/>
    <w:rsid w:val="00A36492"/>
    <w:rsid w:val="00A364CF"/>
    <w:rsid w:val="00A365C3"/>
    <w:rsid w:val="00A365DF"/>
    <w:rsid w:val="00A36655"/>
    <w:rsid w:val="00A3673A"/>
    <w:rsid w:val="00A36768"/>
    <w:rsid w:val="00A3678C"/>
    <w:rsid w:val="00A367D5"/>
    <w:rsid w:val="00A369CE"/>
    <w:rsid w:val="00A369DD"/>
    <w:rsid w:val="00A369E9"/>
    <w:rsid w:val="00A36A47"/>
    <w:rsid w:val="00A36AD7"/>
    <w:rsid w:val="00A36B13"/>
    <w:rsid w:val="00A36B5F"/>
    <w:rsid w:val="00A36BE8"/>
    <w:rsid w:val="00A36C12"/>
    <w:rsid w:val="00A36E91"/>
    <w:rsid w:val="00A36F41"/>
    <w:rsid w:val="00A36FB0"/>
    <w:rsid w:val="00A36FEA"/>
    <w:rsid w:val="00A370D5"/>
    <w:rsid w:val="00A370F1"/>
    <w:rsid w:val="00A3721E"/>
    <w:rsid w:val="00A372A2"/>
    <w:rsid w:val="00A372BA"/>
    <w:rsid w:val="00A373E1"/>
    <w:rsid w:val="00A37406"/>
    <w:rsid w:val="00A3749B"/>
    <w:rsid w:val="00A375AE"/>
    <w:rsid w:val="00A3770C"/>
    <w:rsid w:val="00A37710"/>
    <w:rsid w:val="00A378A8"/>
    <w:rsid w:val="00A3797D"/>
    <w:rsid w:val="00A37A0B"/>
    <w:rsid w:val="00A37A6A"/>
    <w:rsid w:val="00A37B45"/>
    <w:rsid w:val="00A37BD7"/>
    <w:rsid w:val="00A37C51"/>
    <w:rsid w:val="00A37C5D"/>
    <w:rsid w:val="00A37CDD"/>
    <w:rsid w:val="00A37D3D"/>
    <w:rsid w:val="00A37D40"/>
    <w:rsid w:val="00A37D87"/>
    <w:rsid w:val="00A37DD3"/>
    <w:rsid w:val="00A37DDA"/>
    <w:rsid w:val="00A37E66"/>
    <w:rsid w:val="00A37E7F"/>
    <w:rsid w:val="00A37E86"/>
    <w:rsid w:val="00A37EE7"/>
    <w:rsid w:val="00A37EF0"/>
    <w:rsid w:val="00A37EFA"/>
    <w:rsid w:val="00A37EFF"/>
    <w:rsid w:val="00A37F6D"/>
    <w:rsid w:val="00A40009"/>
    <w:rsid w:val="00A40012"/>
    <w:rsid w:val="00A40056"/>
    <w:rsid w:val="00A400F6"/>
    <w:rsid w:val="00A40103"/>
    <w:rsid w:val="00A402BF"/>
    <w:rsid w:val="00A402F2"/>
    <w:rsid w:val="00A4034E"/>
    <w:rsid w:val="00A40513"/>
    <w:rsid w:val="00A40606"/>
    <w:rsid w:val="00A4060B"/>
    <w:rsid w:val="00A406CB"/>
    <w:rsid w:val="00A406DB"/>
    <w:rsid w:val="00A406E9"/>
    <w:rsid w:val="00A40720"/>
    <w:rsid w:val="00A40736"/>
    <w:rsid w:val="00A4073E"/>
    <w:rsid w:val="00A40762"/>
    <w:rsid w:val="00A407E0"/>
    <w:rsid w:val="00A40814"/>
    <w:rsid w:val="00A4081C"/>
    <w:rsid w:val="00A408BD"/>
    <w:rsid w:val="00A409B1"/>
    <w:rsid w:val="00A409C1"/>
    <w:rsid w:val="00A409D4"/>
    <w:rsid w:val="00A40A78"/>
    <w:rsid w:val="00A40AA5"/>
    <w:rsid w:val="00A40B54"/>
    <w:rsid w:val="00A40C13"/>
    <w:rsid w:val="00A40C35"/>
    <w:rsid w:val="00A40C4B"/>
    <w:rsid w:val="00A40E1E"/>
    <w:rsid w:val="00A40E87"/>
    <w:rsid w:val="00A40EC6"/>
    <w:rsid w:val="00A40EEC"/>
    <w:rsid w:val="00A40FB4"/>
    <w:rsid w:val="00A40FFC"/>
    <w:rsid w:val="00A41046"/>
    <w:rsid w:val="00A41079"/>
    <w:rsid w:val="00A410F5"/>
    <w:rsid w:val="00A41117"/>
    <w:rsid w:val="00A411E5"/>
    <w:rsid w:val="00A4121E"/>
    <w:rsid w:val="00A412D4"/>
    <w:rsid w:val="00A41331"/>
    <w:rsid w:val="00A41338"/>
    <w:rsid w:val="00A41407"/>
    <w:rsid w:val="00A41548"/>
    <w:rsid w:val="00A4157A"/>
    <w:rsid w:val="00A41670"/>
    <w:rsid w:val="00A41782"/>
    <w:rsid w:val="00A417F7"/>
    <w:rsid w:val="00A41875"/>
    <w:rsid w:val="00A418B6"/>
    <w:rsid w:val="00A418CD"/>
    <w:rsid w:val="00A4198C"/>
    <w:rsid w:val="00A41A44"/>
    <w:rsid w:val="00A41A87"/>
    <w:rsid w:val="00A41B71"/>
    <w:rsid w:val="00A41B84"/>
    <w:rsid w:val="00A41C41"/>
    <w:rsid w:val="00A41C4E"/>
    <w:rsid w:val="00A41C7C"/>
    <w:rsid w:val="00A41CF1"/>
    <w:rsid w:val="00A41E14"/>
    <w:rsid w:val="00A41F65"/>
    <w:rsid w:val="00A41F85"/>
    <w:rsid w:val="00A41F92"/>
    <w:rsid w:val="00A41FE0"/>
    <w:rsid w:val="00A4202E"/>
    <w:rsid w:val="00A4205B"/>
    <w:rsid w:val="00A42217"/>
    <w:rsid w:val="00A423CB"/>
    <w:rsid w:val="00A42405"/>
    <w:rsid w:val="00A4248F"/>
    <w:rsid w:val="00A4263A"/>
    <w:rsid w:val="00A426DD"/>
    <w:rsid w:val="00A426E1"/>
    <w:rsid w:val="00A4275C"/>
    <w:rsid w:val="00A427C1"/>
    <w:rsid w:val="00A4281F"/>
    <w:rsid w:val="00A42A66"/>
    <w:rsid w:val="00A42A69"/>
    <w:rsid w:val="00A42A78"/>
    <w:rsid w:val="00A42A9D"/>
    <w:rsid w:val="00A42B14"/>
    <w:rsid w:val="00A42B45"/>
    <w:rsid w:val="00A42B6E"/>
    <w:rsid w:val="00A42C00"/>
    <w:rsid w:val="00A42C9F"/>
    <w:rsid w:val="00A42D8F"/>
    <w:rsid w:val="00A42DBE"/>
    <w:rsid w:val="00A42DF1"/>
    <w:rsid w:val="00A42F28"/>
    <w:rsid w:val="00A4302F"/>
    <w:rsid w:val="00A430E1"/>
    <w:rsid w:val="00A430FB"/>
    <w:rsid w:val="00A431B9"/>
    <w:rsid w:val="00A431BF"/>
    <w:rsid w:val="00A43226"/>
    <w:rsid w:val="00A43248"/>
    <w:rsid w:val="00A432AB"/>
    <w:rsid w:val="00A43351"/>
    <w:rsid w:val="00A43560"/>
    <w:rsid w:val="00A4360A"/>
    <w:rsid w:val="00A436A6"/>
    <w:rsid w:val="00A436E4"/>
    <w:rsid w:val="00A43874"/>
    <w:rsid w:val="00A43943"/>
    <w:rsid w:val="00A4396E"/>
    <w:rsid w:val="00A43A15"/>
    <w:rsid w:val="00A43A59"/>
    <w:rsid w:val="00A43B32"/>
    <w:rsid w:val="00A43C2B"/>
    <w:rsid w:val="00A43CF6"/>
    <w:rsid w:val="00A43E2A"/>
    <w:rsid w:val="00A43FC5"/>
    <w:rsid w:val="00A4400F"/>
    <w:rsid w:val="00A44035"/>
    <w:rsid w:val="00A44060"/>
    <w:rsid w:val="00A440A8"/>
    <w:rsid w:val="00A4439A"/>
    <w:rsid w:val="00A44459"/>
    <w:rsid w:val="00A4445F"/>
    <w:rsid w:val="00A444A2"/>
    <w:rsid w:val="00A444F1"/>
    <w:rsid w:val="00A44511"/>
    <w:rsid w:val="00A4456A"/>
    <w:rsid w:val="00A44648"/>
    <w:rsid w:val="00A446E9"/>
    <w:rsid w:val="00A44755"/>
    <w:rsid w:val="00A44768"/>
    <w:rsid w:val="00A4476E"/>
    <w:rsid w:val="00A447F6"/>
    <w:rsid w:val="00A44838"/>
    <w:rsid w:val="00A44840"/>
    <w:rsid w:val="00A44859"/>
    <w:rsid w:val="00A44880"/>
    <w:rsid w:val="00A448D7"/>
    <w:rsid w:val="00A449AE"/>
    <w:rsid w:val="00A44A41"/>
    <w:rsid w:val="00A44AAB"/>
    <w:rsid w:val="00A44B65"/>
    <w:rsid w:val="00A44BC5"/>
    <w:rsid w:val="00A44BFF"/>
    <w:rsid w:val="00A44C8F"/>
    <w:rsid w:val="00A44D0E"/>
    <w:rsid w:val="00A44EDC"/>
    <w:rsid w:val="00A45114"/>
    <w:rsid w:val="00A4534D"/>
    <w:rsid w:val="00A45369"/>
    <w:rsid w:val="00A454BB"/>
    <w:rsid w:val="00A454BD"/>
    <w:rsid w:val="00A4550A"/>
    <w:rsid w:val="00A455E3"/>
    <w:rsid w:val="00A4561F"/>
    <w:rsid w:val="00A4566A"/>
    <w:rsid w:val="00A4568C"/>
    <w:rsid w:val="00A4574C"/>
    <w:rsid w:val="00A4599E"/>
    <w:rsid w:val="00A459F4"/>
    <w:rsid w:val="00A45A0D"/>
    <w:rsid w:val="00A45A13"/>
    <w:rsid w:val="00A45A33"/>
    <w:rsid w:val="00A45ACB"/>
    <w:rsid w:val="00A45ACD"/>
    <w:rsid w:val="00A45B05"/>
    <w:rsid w:val="00A45B96"/>
    <w:rsid w:val="00A45CA4"/>
    <w:rsid w:val="00A45CEA"/>
    <w:rsid w:val="00A45D5B"/>
    <w:rsid w:val="00A45D7C"/>
    <w:rsid w:val="00A45DD5"/>
    <w:rsid w:val="00A45DF5"/>
    <w:rsid w:val="00A45E13"/>
    <w:rsid w:val="00A45F27"/>
    <w:rsid w:val="00A45F3B"/>
    <w:rsid w:val="00A45F8F"/>
    <w:rsid w:val="00A45FA2"/>
    <w:rsid w:val="00A46008"/>
    <w:rsid w:val="00A46039"/>
    <w:rsid w:val="00A460CB"/>
    <w:rsid w:val="00A46123"/>
    <w:rsid w:val="00A461FA"/>
    <w:rsid w:val="00A46212"/>
    <w:rsid w:val="00A46244"/>
    <w:rsid w:val="00A46398"/>
    <w:rsid w:val="00A464D0"/>
    <w:rsid w:val="00A4650C"/>
    <w:rsid w:val="00A4658E"/>
    <w:rsid w:val="00A46675"/>
    <w:rsid w:val="00A4668F"/>
    <w:rsid w:val="00A46779"/>
    <w:rsid w:val="00A46811"/>
    <w:rsid w:val="00A46864"/>
    <w:rsid w:val="00A4696C"/>
    <w:rsid w:val="00A46A87"/>
    <w:rsid w:val="00A46AAD"/>
    <w:rsid w:val="00A46B69"/>
    <w:rsid w:val="00A46BDF"/>
    <w:rsid w:val="00A46C60"/>
    <w:rsid w:val="00A46CEB"/>
    <w:rsid w:val="00A46CF5"/>
    <w:rsid w:val="00A46DB3"/>
    <w:rsid w:val="00A46DD9"/>
    <w:rsid w:val="00A46F65"/>
    <w:rsid w:val="00A46FE7"/>
    <w:rsid w:val="00A47087"/>
    <w:rsid w:val="00A470FC"/>
    <w:rsid w:val="00A47134"/>
    <w:rsid w:val="00A47136"/>
    <w:rsid w:val="00A4718B"/>
    <w:rsid w:val="00A47291"/>
    <w:rsid w:val="00A47320"/>
    <w:rsid w:val="00A47386"/>
    <w:rsid w:val="00A473D5"/>
    <w:rsid w:val="00A4740C"/>
    <w:rsid w:val="00A4741C"/>
    <w:rsid w:val="00A4743E"/>
    <w:rsid w:val="00A47573"/>
    <w:rsid w:val="00A476C7"/>
    <w:rsid w:val="00A4778C"/>
    <w:rsid w:val="00A477E6"/>
    <w:rsid w:val="00A478E5"/>
    <w:rsid w:val="00A47952"/>
    <w:rsid w:val="00A47961"/>
    <w:rsid w:val="00A47A3D"/>
    <w:rsid w:val="00A47A42"/>
    <w:rsid w:val="00A47A83"/>
    <w:rsid w:val="00A47A90"/>
    <w:rsid w:val="00A47A9A"/>
    <w:rsid w:val="00A47ABF"/>
    <w:rsid w:val="00A47B09"/>
    <w:rsid w:val="00A47C82"/>
    <w:rsid w:val="00A47C9D"/>
    <w:rsid w:val="00A47CF0"/>
    <w:rsid w:val="00A47D7C"/>
    <w:rsid w:val="00A47DA4"/>
    <w:rsid w:val="00A47DEE"/>
    <w:rsid w:val="00A47E14"/>
    <w:rsid w:val="00A47EBE"/>
    <w:rsid w:val="00A47EE9"/>
    <w:rsid w:val="00A47FB5"/>
    <w:rsid w:val="00A50112"/>
    <w:rsid w:val="00A501A4"/>
    <w:rsid w:val="00A501A9"/>
    <w:rsid w:val="00A501C2"/>
    <w:rsid w:val="00A5031B"/>
    <w:rsid w:val="00A5036D"/>
    <w:rsid w:val="00A503BE"/>
    <w:rsid w:val="00A5041B"/>
    <w:rsid w:val="00A5054F"/>
    <w:rsid w:val="00A5055D"/>
    <w:rsid w:val="00A5056F"/>
    <w:rsid w:val="00A50593"/>
    <w:rsid w:val="00A50612"/>
    <w:rsid w:val="00A50693"/>
    <w:rsid w:val="00A506C1"/>
    <w:rsid w:val="00A506D4"/>
    <w:rsid w:val="00A50800"/>
    <w:rsid w:val="00A5090F"/>
    <w:rsid w:val="00A50979"/>
    <w:rsid w:val="00A50A5B"/>
    <w:rsid w:val="00A50AB4"/>
    <w:rsid w:val="00A50B1E"/>
    <w:rsid w:val="00A50B66"/>
    <w:rsid w:val="00A50C75"/>
    <w:rsid w:val="00A50D23"/>
    <w:rsid w:val="00A50D3F"/>
    <w:rsid w:val="00A50D88"/>
    <w:rsid w:val="00A50E05"/>
    <w:rsid w:val="00A50E1C"/>
    <w:rsid w:val="00A50E4E"/>
    <w:rsid w:val="00A50E72"/>
    <w:rsid w:val="00A50F4C"/>
    <w:rsid w:val="00A50F7D"/>
    <w:rsid w:val="00A50FF2"/>
    <w:rsid w:val="00A50FF5"/>
    <w:rsid w:val="00A510C8"/>
    <w:rsid w:val="00A5116C"/>
    <w:rsid w:val="00A51208"/>
    <w:rsid w:val="00A512C9"/>
    <w:rsid w:val="00A512DD"/>
    <w:rsid w:val="00A512E7"/>
    <w:rsid w:val="00A513A6"/>
    <w:rsid w:val="00A513B2"/>
    <w:rsid w:val="00A51436"/>
    <w:rsid w:val="00A51439"/>
    <w:rsid w:val="00A514E1"/>
    <w:rsid w:val="00A5153A"/>
    <w:rsid w:val="00A5164E"/>
    <w:rsid w:val="00A51717"/>
    <w:rsid w:val="00A517DA"/>
    <w:rsid w:val="00A51822"/>
    <w:rsid w:val="00A51834"/>
    <w:rsid w:val="00A51935"/>
    <w:rsid w:val="00A51943"/>
    <w:rsid w:val="00A5195B"/>
    <w:rsid w:val="00A5198C"/>
    <w:rsid w:val="00A51B48"/>
    <w:rsid w:val="00A51B80"/>
    <w:rsid w:val="00A51B9E"/>
    <w:rsid w:val="00A51BB8"/>
    <w:rsid w:val="00A51BBF"/>
    <w:rsid w:val="00A51E26"/>
    <w:rsid w:val="00A51E8D"/>
    <w:rsid w:val="00A51E90"/>
    <w:rsid w:val="00A51EB1"/>
    <w:rsid w:val="00A51EF8"/>
    <w:rsid w:val="00A51F01"/>
    <w:rsid w:val="00A51F57"/>
    <w:rsid w:val="00A51F6B"/>
    <w:rsid w:val="00A52005"/>
    <w:rsid w:val="00A52190"/>
    <w:rsid w:val="00A5247C"/>
    <w:rsid w:val="00A524C5"/>
    <w:rsid w:val="00A524EC"/>
    <w:rsid w:val="00A52513"/>
    <w:rsid w:val="00A52544"/>
    <w:rsid w:val="00A5272C"/>
    <w:rsid w:val="00A527D0"/>
    <w:rsid w:val="00A52842"/>
    <w:rsid w:val="00A52859"/>
    <w:rsid w:val="00A5287E"/>
    <w:rsid w:val="00A52937"/>
    <w:rsid w:val="00A5296F"/>
    <w:rsid w:val="00A52A47"/>
    <w:rsid w:val="00A52AA1"/>
    <w:rsid w:val="00A52ACF"/>
    <w:rsid w:val="00A52AF8"/>
    <w:rsid w:val="00A52BCB"/>
    <w:rsid w:val="00A52D05"/>
    <w:rsid w:val="00A52DDE"/>
    <w:rsid w:val="00A52FC6"/>
    <w:rsid w:val="00A5302D"/>
    <w:rsid w:val="00A53107"/>
    <w:rsid w:val="00A5315B"/>
    <w:rsid w:val="00A5317D"/>
    <w:rsid w:val="00A53252"/>
    <w:rsid w:val="00A53292"/>
    <w:rsid w:val="00A5335C"/>
    <w:rsid w:val="00A53372"/>
    <w:rsid w:val="00A5338C"/>
    <w:rsid w:val="00A53449"/>
    <w:rsid w:val="00A534EE"/>
    <w:rsid w:val="00A53579"/>
    <w:rsid w:val="00A535E9"/>
    <w:rsid w:val="00A53641"/>
    <w:rsid w:val="00A53655"/>
    <w:rsid w:val="00A536DF"/>
    <w:rsid w:val="00A536FA"/>
    <w:rsid w:val="00A53706"/>
    <w:rsid w:val="00A5383F"/>
    <w:rsid w:val="00A53859"/>
    <w:rsid w:val="00A53890"/>
    <w:rsid w:val="00A538FD"/>
    <w:rsid w:val="00A53930"/>
    <w:rsid w:val="00A539BE"/>
    <w:rsid w:val="00A539C5"/>
    <w:rsid w:val="00A53AE5"/>
    <w:rsid w:val="00A53AF3"/>
    <w:rsid w:val="00A53B3B"/>
    <w:rsid w:val="00A53B98"/>
    <w:rsid w:val="00A53D54"/>
    <w:rsid w:val="00A53D79"/>
    <w:rsid w:val="00A53DDA"/>
    <w:rsid w:val="00A53E1C"/>
    <w:rsid w:val="00A53E36"/>
    <w:rsid w:val="00A53F80"/>
    <w:rsid w:val="00A53F8F"/>
    <w:rsid w:val="00A53FDD"/>
    <w:rsid w:val="00A53FDE"/>
    <w:rsid w:val="00A54023"/>
    <w:rsid w:val="00A5402C"/>
    <w:rsid w:val="00A540BA"/>
    <w:rsid w:val="00A541C4"/>
    <w:rsid w:val="00A54235"/>
    <w:rsid w:val="00A54261"/>
    <w:rsid w:val="00A5428C"/>
    <w:rsid w:val="00A54337"/>
    <w:rsid w:val="00A5447F"/>
    <w:rsid w:val="00A544D6"/>
    <w:rsid w:val="00A5452C"/>
    <w:rsid w:val="00A54574"/>
    <w:rsid w:val="00A54654"/>
    <w:rsid w:val="00A54658"/>
    <w:rsid w:val="00A54670"/>
    <w:rsid w:val="00A54698"/>
    <w:rsid w:val="00A54716"/>
    <w:rsid w:val="00A5472E"/>
    <w:rsid w:val="00A54747"/>
    <w:rsid w:val="00A54806"/>
    <w:rsid w:val="00A54843"/>
    <w:rsid w:val="00A548A7"/>
    <w:rsid w:val="00A549A4"/>
    <w:rsid w:val="00A54A2C"/>
    <w:rsid w:val="00A54AD1"/>
    <w:rsid w:val="00A54C98"/>
    <w:rsid w:val="00A54CF6"/>
    <w:rsid w:val="00A54E3B"/>
    <w:rsid w:val="00A54E83"/>
    <w:rsid w:val="00A54F96"/>
    <w:rsid w:val="00A54FD8"/>
    <w:rsid w:val="00A5502A"/>
    <w:rsid w:val="00A550ED"/>
    <w:rsid w:val="00A55155"/>
    <w:rsid w:val="00A551AE"/>
    <w:rsid w:val="00A551C3"/>
    <w:rsid w:val="00A551CA"/>
    <w:rsid w:val="00A551D4"/>
    <w:rsid w:val="00A5521E"/>
    <w:rsid w:val="00A552D7"/>
    <w:rsid w:val="00A552EF"/>
    <w:rsid w:val="00A55352"/>
    <w:rsid w:val="00A55384"/>
    <w:rsid w:val="00A553A1"/>
    <w:rsid w:val="00A553AA"/>
    <w:rsid w:val="00A553CD"/>
    <w:rsid w:val="00A55422"/>
    <w:rsid w:val="00A5543F"/>
    <w:rsid w:val="00A5545C"/>
    <w:rsid w:val="00A55462"/>
    <w:rsid w:val="00A55574"/>
    <w:rsid w:val="00A5569C"/>
    <w:rsid w:val="00A5572E"/>
    <w:rsid w:val="00A5577F"/>
    <w:rsid w:val="00A5579E"/>
    <w:rsid w:val="00A557FD"/>
    <w:rsid w:val="00A55894"/>
    <w:rsid w:val="00A55951"/>
    <w:rsid w:val="00A55964"/>
    <w:rsid w:val="00A5597A"/>
    <w:rsid w:val="00A559CE"/>
    <w:rsid w:val="00A55A35"/>
    <w:rsid w:val="00A55B22"/>
    <w:rsid w:val="00A55CA3"/>
    <w:rsid w:val="00A55D23"/>
    <w:rsid w:val="00A55DFE"/>
    <w:rsid w:val="00A55F1C"/>
    <w:rsid w:val="00A55F29"/>
    <w:rsid w:val="00A55F3A"/>
    <w:rsid w:val="00A55F40"/>
    <w:rsid w:val="00A55FB2"/>
    <w:rsid w:val="00A55FC9"/>
    <w:rsid w:val="00A56001"/>
    <w:rsid w:val="00A5600F"/>
    <w:rsid w:val="00A5610B"/>
    <w:rsid w:val="00A5614A"/>
    <w:rsid w:val="00A561A7"/>
    <w:rsid w:val="00A562A0"/>
    <w:rsid w:val="00A56368"/>
    <w:rsid w:val="00A5637A"/>
    <w:rsid w:val="00A56436"/>
    <w:rsid w:val="00A564A2"/>
    <w:rsid w:val="00A564B2"/>
    <w:rsid w:val="00A564CE"/>
    <w:rsid w:val="00A56651"/>
    <w:rsid w:val="00A56656"/>
    <w:rsid w:val="00A566C4"/>
    <w:rsid w:val="00A56790"/>
    <w:rsid w:val="00A567A4"/>
    <w:rsid w:val="00A567D5"/>
    <w:rsid w:val="00A568AE"/>
    <w:rsid w:val="00A5691A"/>
    <w:rsid w:val="00A56923"/>
    <w:rsid w:val="00A5695A"/>
    <w:rsid w:val="00A5697F"/>
    <w:rsid w:val="00A569E7"/>
    <w:rsid w:val="00A56AEB"/>
    <w:rsid w:val="00A56B27"/>
    <w:rsid w:val="00A56CF6"/>
    <w:rsid w:val="00A56D33"/>
    <w:rsid w:val="00A56D7F"/>
    <w:rsid w:val="00A56D83"/>
    <w:rsid w:val="00A56DDC"/>
    <w:rsid w:val="00A56E0A"/>
    <w:rsid w:val="00A56E23"/>
    <w:rsid w:val="00A56E4C"/>
    <w:rsid w:val="00A570CC"/>
    <w:rsid w:val="00A570DE"/>
    <w:rsid w:val="00A571A7"/>
    <w:rsid w:val="00A5730F"/>
    <w:rsid w:val="00A57319"/>
    <w:rsid w:val="00A57326"/>
    <w:rsid w:val="00A573A7"/>
    <w:rsid w:val="00A57404"/>
    <w:rsid w:val="00A57406"/>
    <w:rsid w:val="00A57429"/>
    <w:rsid w:val="00A5756E"/>
    <w:rsid w:val="00A57626"/>
    <w:rsid w:val="00A57683"/>
    <w:rsid w:val="00A5776B"/>
    <w:rsid w:val="00A57801"/>
    <w:rsid w:val="00A5783E"/>
    <w:rsid w:val="00A57869"/>
    <w:rsid w:val="00A57873"/>
    <w:rsid w:val="00A5789E"/>
    <w:rsid w:val="00A578DB"/>
    <w:rsid w:val="00A578DC"/>
    <w:rsid w:val="00A578E6"/>
    <w:rsid w:val="00A57A1E"/>
    <w:rsid w:val="00A57A4D"/>
    <w:rsid w:val="00A57AF2"/>
    <w:rsid w:val="00A57C30"/>
    <w:rsid w:val="00A57CEE"/>
    <w:rsid w:val="00A57E13"/>
    <w:rsid w:val="00A57F16"/>
    <w:rsid w:val="00A57F7E"/>
    <w:rsid w:val="00A57FDD"/>
    <w:rsid w:val="00A6010E"/>
    <w:rsid w:val="00A6011B"/>
    <w:rsid w:val="00A60152"/>
    <w:rsid w:val="00A60213"/>
    <w:rsid w:val="00A602E6"/>
    <w:rsid w:val="00A603E8"/>
    <w:rsid w:val="00A60506"/>
    <w:rsid w:val="00A6057D"/>
    <w:rsid w:val="00A60595"/>
    <w:rsid w:val="00A605D5"/>
    <w:rsid w:val="00A607B8"/>
    <w:rsid w:val="00A6082D"/>
    <w:rsid w:val="00A6083A"/>
    <w:rsid w:val="00A60880"/>
    <w:rsid w:val="00A6098A"/>
    <w:rsid w:val="00A609B1"/>
    <w:rsid w:val="00A609F0"/>
    <w:rsid w:val="00A60ACC"/>
    <w:rsid w:val="00A60B63"/>
    <w:rsid w:val="00A60B98"/>
    <w:rsid w:val="00A60BBE"/>
    <w:rsid w:val="00A60CE6"/>
    <w:rsid w:val="00A60F17"/>
    <w:rsid w:val="00A60F47"/>
    <w:rsid w:val="00A60F74"/>
    <w:rsid w:val="00A61007"/>
    <w:rsid w:val="00A610FC"/>
    <w:rsid w:val="00A61109"/>
    <w:rsid w:val="00A61150"/>
    <w:rsid w:val="00A61170"/>
    <w:rsid w:val="00A6124C"/>
    <w:rsid w:val="00A6136D"/>
    <w:rsid w:val="00A6139F"/>
    <w:rsid w:val="00A6146F"/>
    <w:rsid w:val="00A614E3"/>
    <w:rsid w:val="00A616CF"/>
    <w:rsid w:val="00A61798"/>
    <w:rsid w:val="00A617DF"/>
    <w:rsid w:val="00A617F5"/>
    <w:rsid w:val="00A6181D"/>
    <w:rsid w:val="00A6182B"/>
    <w:rsid w:val="00A618DB"/>
    <w:rsid w:val="00A61936"/>
    <w:rsid w:val="00A619A5"/>
    <w:rsid w:val="00A619C7"/>
    <w:rsid w:val="00A619CA"/>
    <w:rsid w:val="00A619D7"/>
    <w:rsid w:val="00A619E7"/>
    <w:rsid w:val="00A619EE"/>
    <w:rsid w:val="00A61A15"/>
    <w:rsid w:val="00A61AC3"/>
    <w:rsid w:val="00A61BCC"/>
    <w:rsid w:val="00A61BE0"/>
    <w:rsid w:val="00A61CA9"/>
    <w:rsid w:val="00A61CD3"/>
    <w:rsid w:val="00A61D04"/>
    <w:rsid w:val="00A61D87"/>
    <w:rsid w:val="00A61D8B"/>
    <w:rsid w:val="00A61DE7"/>
    <w:rsid w:val="00A61E0B"/>
    <w:rsid w:val="00A61E23"/>
    <w:rsid w:val="00A61F14"/>
    <w:rsid w:val="00A61F75"/>
    <w:rsid w:val="00A61FAE"/>
    <w:rsid w:val="00A62162"/>
    <w:rsid w:val="00A62191"/>
    <w:rsid w:val="00A6225A"/>
    <w:rsid w:val="00A62265"/>
    <w:rsid w:val="00A6229D"/>
    <w:rsid w:val="00A622BA"/>
    <w:rsid w:val="00A622FF"/>
    <w:rsid w:val="00A62359"/>
    <w:rsid w:val="00A62382"/>
    <w:rsid w:val="00A6243A"/>
    <w:rsid w:val="00A6245B"/>
    <w:rsid w:val="00A62468"/>
    <w:rsid w:val="00A6246C"/>
    <w:rsid w:val="00A625B0"/>
    <w:rsid w:val="00A625EA"/>
    <w:rsid w:val="00A625F3"/>
    <w:rsid w:val="00A62639"/>
    <w:rsid w:val="00A62693"/>
    <w:rsid w:val="00A62705"/>
    <w:rsid w:val="00A62737"/>
    <w:rsid w:val="00A6274B"/>
    <w:rsid w:val="00A62973"/>
    <w:rsid w:val="00A62977"/>
    <w:rsid w:val="00A62A31"/>
    <w:rsid w:val="00A62A4C"/>
    <w:rsid w:val="00A62B1B"/>
    <w:rsid w:val="00A62B9E"/>
    <w:rsid w:val="00A62BD0"/>
    <w:rsid w:val="00A62C01"/>
    <w:rsid w:val="00A62CB4"/>
    <w:rsid w:val="00A62CCB"/>
    <w:rsid w:val="00A62DAC"/>
    <w:rsid w:val="00A62DF3"/>
    <w:rsid w:val="00A62E42"/>
    <w:rsid w:val="00A62EFA"/>
    <w:rsid w:val="00A62F2A"/>
    <w:rsid w:val="00A62F6E"/>
    <w:rsid w:val="00A63002"/>
    <w:rsid w:val="00A63031"/>
    <w:rsid w:val="00A6307F"/>
    <w:rsid w:val="00A63090"/>
    <w:rsid w:val="00A630C9"/>
    <w:rsid w:val="00A631AE"/>
    <w:rsid w:val="00A63282"/>
    <w:rsid w:val="00A632D0"/>
    <w:rsid w:val="00A63397"/>
    <w:rsid w:val="00A634A1"/>
    <w:rsid w:val="00A634A5"/>
    <w:rsid w:val="00A6352D"/>
    <w:rsid w:val="00A6354F"/>
    <w:rsid w:val="00A63675"/>
    <w:rsid w:val="00A63707"/>
    <w:rsid w:val="00A6387F"/>
    <w:rsid w:val="00A638A5"/>
    <w:rsid w:val="00A638B3"/>
    <w:rsid w:val="00A638DF"/>
    <w:rsid w:val="00A6396D"/>
    <w:rsid w:val="00A639EB"/>
    <w:rsid w:val="00A63A18"/>
    <w:rsid w:val="00A63A4A"/>
    <w:rsid w:val="00A63A51"/>
    <w:rsid w:val="00A63BE0"/>
    <w:rsid w:val="00A63D7E"/>
    <w:rsid w:val="00A63DBD"/>
    <w:rsid w:val="00A63DD7"/>
    <w:rsid w:val="00A63E37"/>
    <w:rsid w:val="00A63E8E"/>
    <w:rsid w:val="00A63E8F"/>
    <w:rsid w:val="00A63ED3"/>
    <w:rsid w:val="00A64019"/>
    <w:rsid w:val="00A6407A"/>
    <w:rsid w:val="00A640D9"/>
    <w:rsid w:val="00A640DC"/>
    <w:rsid w:val="00A64124"/>
    <w:rsid w:val="00A64129"/>
    <w:rsid w:val="00A64171"/>
    <w:rsid w:val="00A641A6"/>
    <w:rsid w:val="00A64261"/>
    <w:rsid w:val="00A642CC"/>
    <w:rsid w:val="00A642E1"/>
    <w:rsid w:val="00A6438D"/>
    <w:rsid w:val="00A643EF"/>
    <w:rsid w:val="00A6446F"/>
    <w:rsid w:val="00A64504"/>
    <w:rsid w:val="00A64559"/>
    <w:rsid w:val="00A645B0"/>
    <w:rsid w:val="00A646D8"/>
    <w:rsid w:val="00A64803"/>
    <w:rsid w:val="00A64866"/>
    <w:rsid w:val="00A64A08"/>
    <w:rsid w:val="00A64A4A"/>
    <w:rsid w:val="00A64A71"/>
    <w:rsid w:val="00A64AC2"/>
    <w:rsid w:val="00A64B32"/>
    <w:rsid w:val="00A64B5B"/>
    <w:rsid w:val="00A64B81"/>
    <w:rsid w:val="00A64BD2"/>
    <w:rsid w:val="00A64D54"/>
    <w:rsid w:val="00A64D8C"/>
    <w:rsid w:val="00A64E9C"/>
    <w:rsid w:val="00A64F4C"/>
    <w:rsid w:val="00A64F84"/>
    <w:rsid w:val="00A64FC9"/>
    <w:rsid w:val="00A64FE7"/>
    <w:rsid w:val="00A65089"/>
    <w:rsid w:val="00A650D0"/>
    <w:rsid w:val="00A6518A"/>
    <w:rsid w:val="00A651FB"/>
    <w:rsid w:val="00A65279"/>
    <w:rsid w:val="00A652B8"/>
    <w:rsid w:val="00A652CB"/>
    <w:rsid w:val="00A652F2"/>
    <w:rsid w:val="00A65308"/>
    <w:rsid w:val="00A65355"/>
    <w:rsid w:val="00A6545B"/>
    <w:rsid w:val="00A655B1"/>
    <w:rsid w:val="00A656F7"/>
    <w:rsid w:val="00A65769"/>
    <w:rsid w:val="00A65798"/>
    <w:rsid w:val="00A657ED"/>
    <w:rsid w:val="00A658C7"/>
    <w:rsid w:val="00A65AAE"/>
    <w:rsid w:val="00A65B02"/>
    <w:rsid w:val="00A65B0B"/>
    <w:rsid w:val="00A65D4C"/>
    <w:rsid w:val="00A65D92"/>
    <w:rsid w:val="00A65E5C"/>
    <w:rsid w:val="00A65E70"/>
    <w:rsid w:val="00A65F21"/>
    <w:rsid w:val="00A65F3D"/>
    <w:rsid w:val="00A65FED"/>
    <w:rsid w:val="00A66140"/>
    <w:rsid w:val="00A66234"/>
    <w:rsid w:val="00A6625C"/>
    <w:rsid w:val="00A662AA"/>
    <w:rsid w:val="00A663AD"/>
    <w:rsid w:val="00A663F0"/>
    <w:rsid w:val="00A66522"/>
    <w:rsid w:val="00A665A4"/>
    <w:rsid w:val="00A66658"/>
    <w:rsid w:val="00A666F8"/>
    <w:rsid w:val="00A6674B"/>
    <w:rsid w:val="00A66899"/>
    <w:rsid w:val="00A668AA"/>
    <w:rsid w:val="00A668E7"/>
    <w:rsid w:val="00A66919"/>
    <w:rsid w:val="00A66951"/>
    <w:rsid w:val="00A6696F"/>
    <w:rsid w:val="00A669DA"/>
    <w:rsid w:val="00A66A21"/>
    <w:rsid w:val="00A66A5F"/>
    <w:rsid w:val="00A66AC4"/>
    <w:rsid w:val="00A66B21"/>
    <w:rsid w:val="00A66B5F"/>
    <w:rsid w:val="00A66D3E"/>
    <w:rsid w:val="00A66F10"/>
    <w:rsid w:val="00A66F1A"/>
    <w:rsid w:val="00A66F35"/>
    <w:rsid w:val="00A66F5C"/>
    <w:rsid w:val="00A66FB7"/>
    <w:rsid w:val="00A66FE9"/>
    <w:rsid w:val="00A6703C"/>
    <w:rsid w:val="00A67091"/>
    <w:rsid w:val="00A670F5"/>
    <w:rsid w:val="00A671B1"/>
    <w:rsid w:val="00A671DE"/>
    <w:rsid w:val="00A6730F"/>
    <w:rsid w:val="00A67358"/>
    <w:rsid w:val="00A674B3"/>
    <w:rsid w:val="00A6753C"/>
    <w:rsid w:val="00A6758B"/>
    <w:rsid w:val="00A67592"/>
    <w:rsid w:val="00A6766D"/>
    <w:rsid w:val="00A676E8"/>
    <w:rsid w:val="00A6772A"/>
    <w:rsid w:val="00A67740"/>
    <w:rsid w:val="00A6775F"/>
    <w:rsid w:val="00A67848"/>
    <w:rsid w:val="00A6797E"/>
    <w:rsid w:val="00A679D8"/>
    <w:rsid w:val="00A679D9"/>
    <w:rsid w:val="00A67A6C"/>
    <w:rsid w:val="00A67A81"/>
    <w:rsid w:val="00A67BED"/>
    <w:rsid w:val="00A67BF0"/>
    <w:rsid w:val="00A67C85"/>
    <w:rsid w:val="00A67D5B"/>
    <w:rsid w:val="00A67E72"/>
    <w:rsid w:val="00A67F14"/>
    <w:rsid w:val="00A67F44"/>
    <w:rsid w:val="00A67F83"/>
    <w:rsid w:val="00A70059"/>
    <w:rsid w:val="00A70068"/>
    <w:rsid w:val="00A70091"/>
    <w:rsid w:val="00A7013C"/>
    <w:rsid w:val="00A7017A"/>
    <w:rsid w:val="00A70181"/>
    <w:rsid w:val="00A70185"/>
    <w:rsid w:val="00A70196"/>
    <w:rsid w:val="00A701A5"/>
    <w:rsid w:val="00A701B8"/>
    <w:rsid w:val="00A70292"/>
    <w:rsid w:val="00A703B8"/>
    <w:rsid w:val="00A70594"/>
    <w:rsid w:val="00A705BD"/>
    <w:rsid w:val="00A706E5"/>
    <w:rsid w:val="00A7072C"/>
    <w:rsid w:val="00A70755"/>
    <w:rsid w:val="00A70769"/>
    <w:rsid w:val="00A70788"/>
    <w:rsid w:val="00A7094F"/>
    <w:rsid w:val="00A70A34"/>
    <w:rsid w:val="00A70A66"/>
    <w:rsid w:val="00A70AD6"/>
    <w:rsid w:val="00A70C45"/>
    <w:rsid w:val="00A70C4D"/>
    <w:rsid w:val="00A70CE1"/>
    <w:rsid w:val="00A70CF1"/>
    <w:rsid w:val="00A70DE1"/>
    <w:rsid w:val="00A70E22"/>
    <w:rsid w:val="00A70E44"/>
    <w:rsid w:val="00A70F8E"/>
    <w:rsid w:val="00A70FA4"/>
    <w:rsid w:val="00A71036"/>
    <w:rsid w:val="00A71047"/>
    <w:rsid w:val="00A710D1"/>
    <w:rsid w:val="00A7119C"/>
    <w:rsid w:val="00A711CB"/>
    <w:rsid w:val="00A7124C"/>
    <w:rsid w:val="00A71400"/>
    <w:rsid w:val="00A71419"/>
    <w:rsid w:val="00A71483"/>
    <w:rsid w:val="00A714E7"/>
    <w:rsid w:val="00A71642"/>
    <w:rsid w:val="00A716B6"/>
    <w:rsid w:val="00A716E9"/>
    <w:rsid w:val="00A7171B"/>
    <w:rsid w:val="00A71764"/>
    <w:rsid w:val="00A71770"/>
    <w:rsid w:val="00A717BC"/>
    <w:rsid w:val="00A718DE"/>
    <w:rsid w:val="00A7199E"/>
    <w:rsid w:val="00A71A5F"/>
    <w:rsid w:val="00A71B01"/>
    <w:rsid w:val="00A71B3B"/>
    <w:rsid w:val="00A71BAD"/>
    <w:rsid w:val="00A71C2F"/>
    <w:rsid w:val="00A71C7A"/>
    <w:rsid w:val="00A71CC9"/>
    <w:rsid w:val="00A71EA8"/>
    <w:rsid w:val="00A71EC9"/>
    <w:rsid w:val="00A71ECD"/>
    <w:rsid w:val="00A71F0F"/>
    <w:rsid w:val="00A71F51"/>
    <w:rsid w:val="00A71F66"/>
    <w:rsid w:val="00A7203E"/>
    <w:rsid w:val="00A721FF"/>
    <w:rsid w:val="00A7223D"/>
    <w:rsid w:val="00A722B7"/>
    <w:rsid w:val="00A722ED"/>
    <w:rsid w:val="00A7236C"/>
    <w:rsid w:val="00A7237A"/>
    <w:rsid w:val="00A72440"/>
    <w:rsid w:val="00A724A3"/>
    <w:rsid w:val="00A7267F"/>
    <w:rsid w:val="00A7268C"/>
    <w:rsid w:val="00A726F4"/>
    <w:rsid w:val="00A72739"/>
    <w:rsid w:val="00A72754"/>
    <w:rsid w:val="00A728BA"/>
    <w:rsid w:val="00A728C1"/>
    <w:rsid w:val="00A72924"/>
    <w:rsid w:val="00A72960"/>
    <w:rsid w:val="00A72AF2"/>
    <w:rsid w:val="00A72B57"/>
    <w:rsid w:val="00A72D08"/>
    <w:rsid w:val="00A72D1A"/>
    <w:rsid w:val="00A72D4E"/>
    <w:rsid w:val="00A72D6F"/>
    <w:rsid w:val="00A72D8F"/>
    <w:rsid w:val="00A72DF1"/>
    <w:rsid w:val="00A72E5B"/>
    <w:rsid w:val="00A72F05"/>
    <w:rsid w:val="00A7309F"/>
    <w:rsid w:val="00A73114"/>
    <w:rsid w:val="00A7328A"/>
    <w:rsid w:val="00A7332D"/>
    <w:rsid w:val="00A73424"/>
    <w:rsid w:val="00A73614"/>
    <w:rsid w:val="00A73623"/>
    <w:rsid w:val="00A736D0"/>
    <w:rsid w:val="00A73707"/>
    <w:rsid w:val="00A7371F"/>
    <w:rsid w:val="00A73853"/>
    <w:rsid w:val="00A7388E"/>
    <w:rsid w:val="00A738E3"/>
    <w:rsid w:val="00A73909"/>
    <w:rsid w:val="00A7392B"/>
    <w:rsid w:val="00A73A36"/>
    <w:rsid w:val="00A73B25"/>
    <w:rsid w:val="00A73BB9"/>
    <w:rsid w:val="00A73BDC"/>
    <w:rsid w:val="00A73C58"/>
    <w:rsid w:val="00A73D07"/>
    <w:rsid w:val="00A73D4B"/>
    <w:rsid w:val="00A73DA8"/>
    <w:rsid w:val="00A73DBA"/>
    <w:rsid w:val="00A73E2E"/>
    <w:rsid w:val="00A73EED"/>
    <w:rsid w:val="00A73FD2"/>
    <w:rsid w:val="00A74011"/>
    <w:rsid w:val="00A74058"/>
    <w:rsid w:val="00A740AD"/>
    <w:rsid w:val="00A7411A"/>
    <w:rsid w:val="00A74146"/>
    <w:rsid w:val="00A74158"/>
    <w:rsid w:val="00A74162"/>
    <w:rsid w:val="00A74328"/>
    <w:rsid w:val="00A74341"/>
    <w:rsid w:val="00A74523"/>
    <w:rsid w:val="00A74578"/>
    <w:rsid w:val="00A745E9"/>
    <w:rsid w:val="00A7463A"/>
    <w:rsid w:val="00A74663"/>
    <w:rsid w:val="00A74815"/>
    <w:rsid w:val="00A748B9"/>
    <w:rsid w:val="00A74990"/>
    <w:rsid w:val="00A749B1"/>
    <w:rsid w:val="00A74A33"/>
    <w:rsid w:val="00A74A6E"/>
    <w:rsid w:val="00A74AB6"/>
    <w:rsid w:val="00A74AFE"/>
    <w:rsid w:val="00A74B35"/>
    <w:rsid w:val="00A74C43"/>
    <w:rsid w:val="00A74DB5"/>
    <w:rsid w:val="00A74DBF"/>
    <w:rsid w:val="00A74E54"/>
    <w:rsid w:val="00A75029"/>
    <w:rsid w:val="00A75149"/>
    <w:rsid w:val="00A7518F"/>
    <w:rsid w:val="00A752B4"/>
    <w:rsid w:val="00A752BF"/>
    <w:rsid w:val="00A7534D"/>
    <w:rsid w:val="00A753A0"/>
    <w:rsid w:val="00A75491"/>
    <w:rsid w:val="00A754CB"/>
    <w:rsid w:val="00A754E4"/>
    <w:rsid w:val="00A755B0"/>
    <w:rsid w:val="00A755FF"/>
    <w:rsid w:val="00A75637"/>
    <w:rsid w:val="00A75656"/>
    <w:rsid w:val="00A75691"/>
    <w:rsid w:val="00A756C1"/>
    <w:rsid w:val="00A756CE"/>
    <w:rsid w:val="00A7573B"/>
    <w:rsid w:val="00A7574B"/>
    <w:rsid w:val="00A75788"/>
    <w:rsid w:val="00A757C9"/>
    <w:rsid w:val="00A75821"/>
    <w:rsid w:val="00A75875"/>
    <w:rsid w:val="00A758B9"/>
    <w:rsid w:val="00A758D2"/>
    <w:rsid w:val="00A758D6"/>
    <w:rsid w:val="00A75914"/>
    <w:rsid w:val="00A7594B"/>
    <w:rsid w:val="00A75AD5"/>
    <w:rsid w:val="00A75B19"/>
    <w:rsid w:val="00A75B31"/>
    <w:rsid w:val="00A75B56"/>
    <w:rsid w:val="00A75C28"/>
    <w:rsid w:val="00A75C64"/>
    <w:rsid w:val="00A75CF9"/>
    <w:rsid w:val="00A75D5C"/>
    <w:rsid w:val="00A75D5E"/>
    <w:rsid w:val="00A75DC4"/>
    <w:rsid w:val="00A75F07"/>
    <w:rsid w:val="00A75F5C"/>
    <w:rsid w:val="00A75FC3"/>
    <w:rsid w:val="00A76083"/>
    <w:rsid w:val="00A7609E"/>
    <w:rsid w:val="00A760D6"/>
    <w:rsid w:val="00A76100"/>
    <w:rsid w:val="00A76155"/>
    <w:rsid w:val="00A761EA"/>
    <w:rsid w:val="00A761EB"/>
    <w:rsid w:val="00A76211"/>
    <w:rsid w:val="00A762EA"/>
    <w:rsid w:val="00A76460"/>
    <w:rsid w:val="00A76491"/>
    <w:rsid w:val="00A764F3"/>
    <w:rsid w:val="00A76594"/>
    <w:rsid w:val="00A76662"/>
    <w:rsid w:val="00A76702"/>
    <w:rsid w:val="00A768FD"/>
    <w:rsid w:val="00A769C7"/>
    <w:rsid w:val="00A76A5E"/>
    <w:rsid w:val="00A76A90"/>
    <w:rsid w:val="00A76AA0"/>
    <w:rsid w:val="00A76B4F"/>
    <w:rsid w:val="00A76BA1"/>
    <w:rsid w:val="00A76BA6"/>
    <w:rsid w:val="00A76CE6"/>
    <w:rsid w:val="00A76D2D"/>
    <w:rsid w:val="00A76D80"/>
    <w:rsid w:val="00A76E00"/>
    <w:rsid w:val="00A76E34"/>
    <w:rsid w:val="00A76E60"/>
    <w:rsid w:val="00A76EBC"/>
    <w:rsid w:val="00A76EDD"/>
    <w:rsid w:val="00A76EE7"/>
    <w:rsid w:val="00A76F49"/>
    <w:rsid w:val="00A76F55"/>
    <w:rsid w:val="00A76FF9"/>
    <w:rsid w:val="00A77098"/>
    <w:rsid w:val="00A771FA"/>
    <w:rsid w:val="00A772C7"/>
    <w:rsid w:val="00A7736A"/>
    <w:rsid w:val="00A773A1"/>
    <w:rsid w:val="00A7745E"/>
    <w:rsid w:val="00A774B7"/>
    <w:rsid w:val="00A774F7"/>
    <w:rsid w:val="00A77542"/>
    <w:rsid w:val="00A775F2"/>
    <w:rsid w:val="00A777A8"/>
    <w:rsid w:val="00A777C3"/>
    <w:rsid w:val="00A777F0"/>
    <w:rsid w:val="00A77885"/>
    <w:rsid w:val="00A778AC"/>
    <w:rsid w:val="00A778B7"/>
    <w:rsid w:val="00A778DA"/>
    <w:rsid w:val="00A77AD0"/>
    <w:rsid w:val="00A77B34"/>
    <w:rsid w:val="00A77C3F"/>
    <w:rsid w:val="00A77C53"/>
    <w:rsid w:val="00A77CFA"/>
    <w:rsid w:val="00A77D40"/>
    <w:rsid w:val="00A77D89"/>
    <w:rsid w:val="00A77E0A"/>
    <w:rsid w:val="00A77E1A"/>
    <w:rsid w:val="00A77EAE"/>
    <w:rsid w:val="00A77EF5"/>
    <w:rsid w:val="00A77F10"/>
    <w:rsid w:val="00A77FFD"/>
    <w:rsid w:val="00A80007"/>
    <w:rsid w:val="00A800C1"/>
    <w:rsid w:val="00A80173"/>
    <w:rsid w:val="00A801A9"/>
    <w:rsid w:val="00A801FB"/>
    <w:rsid w:val="00A80254"/>
    <w:rsid w:val="00A802B5"/>
    <w:rsid w:val="00A8032A"/>
    <w:rsid w:val="00A8035B"/>
    <w:rsid w:val="00A8045C"/>
    <w:rsid w:val="00A804AD"/>
    <w:rsid w:val="00A80598"/>
    <w:rsid w:val="00A80612"/>
    <w:rsid w:val="00A80728"/>
    <w:rsid w:val="00A8072D"/>
    <w:rsid w:val="00A807A7"/>
    <w:rsid w:val="00A807AD"/>
    <w:rsid w:val="00A80804"/>
    <w:rsid w:val="00A808EE"/>
    <w:rsid w:val="00A809E9"/>
    <w:rsid w:val="00A80A0A"/>
    <w:rsid w:val="00A80A19"/>
    <w:rsid w:val="00A80B48"/>
    <w:rsid w:val="00A80C3E"/>
    <w:rsid w:val="00A80C8E"/>
    <w:rsid w:val="00A80C9A"/>
    <w:rsid w:val="00A80CA7"/>
    <w:rsid w:val="00A80D19"/>
    <w:rsid w:val="00A80E16"/>
    <w:rsid w:val="00A80EDC"/>
    <w:rsid w:val="00A80F0E"/>
    <w:rsid w:val="00A80F7D"/>
    <w:rsid w:val="00A8107D"/>
    <w:rsid w:val="00A811B1"/>
    <w:rsid w:val="00A811C2"/>
    <w:rsid w:val="00A812BE"/>
    <w:rsid w:val="00A812D9"/>
    <w:rsid w:val="00A812F9"/>
    <w:rsid w:val="00A81353"/>
    <w:rsid w:val="00A81366"/>
    <w:rsid w:val="00A813E1"/>
    <w:rsid w:val="00A81496"/>
    <w:rsid w:val="00A814F2"/>
    <w:rsid w:val="00A815D8"/>
    <w:rsid w:val="00A81670"/>
    <w:rsid w:val="00A816CF"/>
    <w:rsid w:val="00A8176E"/>
    <w:rsid w:val="00A81798"/>
    <w:rsid w:val="00A817CC"/>
    <w:rsid w:val="00A81808"/>
    <w:rsid w:val="00A81882"/>
    <w:rsid w:val="00A818AD"/>
    <w:rsid w:val="00A8193E"/>
    <w:rsid w:val="00A81977"/>
    <w:rsid w:val="00A819DC"/>
    <w:rsid w:val="00A81A5C"/>
    <w:rsid w:val="00A81ACD"/>
    <w:rsid w:val="00A81ADB"/>
    <w:rsid w:val="00A81AE3"/>
    <w:rsid w:val="00A81AEE"/>
    <w:rsid w:val="00A81BE5"/>
    <w:rsid w:val="00A81C36"/>
    <w:rsid w:val="00A81CEF"/>
    <w:rsid w:val="00A81DB2"/>
    <w:rsid w:val="00A81DF1"/>
    <w:rsid w:val="00A81E7C"/>
    <w:rsid w:val="00A81E84"/>
    <w:rsid w:val="00A81EFA"/>
    <w:rsid w:val="00A81F59"/>
    <w:rsid w:val="00A821CA"/>
    <w:rsid w:val="00A821F5"/>
    <w:rsid w:val="00A82234"/>
    <w:rsid w:val="00A822B9"/>
    <w:rsid w:val="00A822F8"/>
    <w:rsid w:val="00A8233C"/>
    <w:rsid w:val="00A8237D"/>
    <w:rsid w:val="00A82380"/>
    <w:rsid w:val="00A82429"/>
    <w:rsid w:val="00A82440"/>
    <w:rsid w:val="00A82531"/>
    <w:rsid w:val="00A82581"/>
    <w:rsid w:val="00A8264B"/>
    <w:rsid w:val="00A826A8"/>
    <w:rsid w:val="00A826B9"/>
    <w:rsid w:val="00A82727"/>
    <w:rsid w:val="00A82772"/>
    <w:rsid w:val="00A82817"/>
    <w:rsid w:val="00A82A69"/>
    <w:rsid w:val="00A82C22"/>
    <w:rsid w:val="00A82CAA"/>
    <w:rsid w:val="00A82CAF"/>
    <w:rsid w:val="00A82CC8"/>
    <w:rsid w:val="00A82CFA"/>
    <w:rsid w:val="00A82D70"/>
    <w:rsid w:val="00A82D7B"/>
    <w:rsid w:val="00A82D95"/>
    <w:rsid w:val="00A82E32"/>
    <w:rsid w:val="00A82EA9"/>
    <w:rsid w:val="00A82EBA"/>
    <w:rsid w:val="00A82F5A"/>
    <w:rsid w:val="00A82F6F"/>
    <w:rsid w:val="00A82FE0"/>
    <w:rsid w:val="00A83092"/>
    <w:rsid w:val="00A830B8"/>
    <w:rsid w:val="00A83175"/>
    <w:rsid w:val="00A831F5"/>
    <w:rsid w:val="00A83211"/>
    <w:rsid w:val="00A833C9"/>
    <w:rsid w:val="00A83496"/>
    <w:rsid w:val="00A83499"/>
    <w:rsid w:val="00A834E6"/>
    <w:rsid w:val="00A8360E"/>
    <w:rsid w:val="00A8384B"/>
    <w:rsid w:val="00A83896"/>
    <w:rsid w:val="00A83A3A"/>
    <w:rsid w:val="00A83AAE"/>
    <w:rsid w:val="00A83B60"/>
    <w:rsid w:val="00A83E74"/>
    <w:rsid w:val="00A83E86"/>
    <w:rsid w:val="00A83F0A"/>
    <w:rsid w:val="00A84058"/>
    <w:rsid w:val="00A84060"/>
    <w:rsid w:val="00A84110"/>
    <w:rsid w:val="00A84153"/>
    <w:rsid w:val="00A84185"/>
    <w:rsid w:val="00A84246"/>
    <w:rsid w:val="00A84386"/>
    <w:rsid w:val="00A8440A"/>
    <w:rsid w:val="00A84451"/>
    <w:rsid w:val="00A84549"/>
    <w:rsid w:val="00A845FD"/>
    <w:rsid w:val="00A84746"/>
    <w:rsid w:val="00A84785"/>
    <w:rsid w:val="00A84788"/>
    <w:rsid w:val="00A8481F"/>
    <w:rsid w:val="00A84887"/>
    <w:rsid w:val="00A849AE"/>
    <w:rsid w:val="00A84AF0"/>
    <w:rsid w:val="00A84B37"/>
    <w:rsid w:val="00A84C06"/>
    <w:rsid w:val="00A84C30"/>
    <w:rsid w:val="00A84C5D"/>
    <w:rsid w:val="00A84CB3"/>
    <w:rsid w:val="00A84D6F"/>
    <w:rsid w:val="00A84D78"/>
    <w:rsid w:val="00A84D80"/>
    <w:rsid w:val="00A84D82"/>
    <w:rsid w:val="00A84E6E"/>
    <w:rsid w:val="00A84EC7"/>
    <w:rsid w:val="00A84EFF"/>
    <w:rsid w:val="00A84F28"/>
    <w:rsid w:val="00A84F60"/>
    <w:rsid w:val="00A8500C"/>
    <w:rsid w:val="00A8509A"/>
    <w:rsid w:val="00A850C0"/>
    <w:rsid w:val="00A850DB"/>
    <w:rsid w:val="00A850E3"/>
    <w:rsid w:val="00A8512F"/>
    <w:rsid w:val="00A851D0"/>
    <w:rsid w:val="00A8525A"/>
    <w:rsid w:val="00A85314"/>
    <w:rsid w:val="00A85317"/>
    <w:rsid w:val="00A85347"/>
    <w:rsid w:val="00A85365"/>
    <w:rsid w:val="00A853BD"/>
    <w:rsid w:val="00A85525"/>
    <w:rsid w:val="00A8552C"/>
    <w:rsid w:val="00A85653"/>
    <w:rsid w:val="00A8577E"/>
    <w:rsid w:val="00A857FC"/>
    <w:rsid w:val="00A858C5"/>
    <w:rsid w:val="00A85978"/>
    <w:rsid w:val="00A859E1"/>
    <w:rsid w:val="00A85A27"/>
    <w:rsid w:val="00A85BA2"/>
    <w:rsid w:val="00A85C5F"/>
    <w:rsid w:val="00A85CAC"/>
    <w:rsid w:val="00A85CBC"/>
    <w:rsid w:val="00A85EB2"/>
    <w:rsid w:val="00A85EBD"/>
    <w:rsid w:val="00A85EDF"/>
    <w:rsid w:val="00A85EE9"/>
    <w:rsid w:val="00A85FC1"/>
    <w:rsid w:val="00A86012"/>
    <w:rsid w:val="00A860CF"/>
    <w:rsid w:val="00A860D0"/>
    <w:rsid w:val="00A8616B"/>
    <w:rsid w:val="00A862F0"/>
    <w:rsid w:val="00A86314"/>
    <w:rsid w:val="00A8639B"/>
    <w:rsid w:val="00A863F6"/>
    <w:rsid w:val="00A865D0"/>
    <w:rsid w:val="00A8661D"/>
    <w:rsid w:val="00A8664F"/>
    <w:rsid w:val="00A8673F"/>
    <w:rsid w:val="00A86762"/>
    <w:rsid w:val="00A86777"/>
    <w:rsid w:val="00A867CF"/>
    <w:rsid w:val="00A86806"/>
    <w:rsid w:val="00A86856"/>
    <w:rsid w:val="00A86868"/>
    <w:rsid w:val="00A86893"/>
    <w:rsid w:val="00A8694F"/>
    <w:rsid w:val="00A86950"/>
    <w:rsid w:val="00A8695B"/>
    <w:rsid w:val="00A86982"/>
    <w:rsid w:val="00A86A7C"/>
    <w:rsid w:val="00A86C12"/>
    <w:rsid w:val="00A86D0B"/>
    <w:rsid w:val="00A87097"/>
    <w:rsid w:val="00A870CB"/>
    <w:rsid w:val="00A8710B"/>
    <w:rsid w:val="00A8718C"/>
    <w:rsid w:val="00A871F0"/>
    <w:rsid w:val="00A8722C"/>
    <w:rsid w:val="00A872B0"/>
    <w:rsid w:val="00A87326"/>
    <w:rsid w:val="00A87495"/>
    <w:rsid w:val="00A8752F"/>
    <w:rsid w:val="00A8756A"/>
    <w:rsid w:val="00A87675"/>
    <w:rsid w:val="00A87750"/>
    <w:rsid w:val="00A8775A"/>
    <w:rsid w:val="00A87796"/>
    <w:rsid w:val="00A8783F"/>
    <w:rsid w:val="00A87873"/>
    <w:rsid w:val="00A87933"/>
    <w:rsid w:val="00A879C8"/>
    <w:rsid w:val="00A87ACF"/>
    <w:rsid w:val="00A87C44"/>
    <w:rsid w:val="00A87CDC"/>
    <w:rsid w:val="00A87E0A"/>
    <w:rsid w:val="00A87EFB"/>
    <w:rsid w:val="00A87F87"/>
    <w:rsid w:val="00A87FE7"/>
    <w:rsid w:val="00A90074"/>
    <w:rsid w:val="00A900B4"/>
    <w:rsid w:val="00A90181"/>
    <w:rsid w:val="00A901AC"/>
    <w:rsid w:val="00A901D4"/>
    <w:rsid w:val="00A9023C"/>
    <w:rsid w:val="00A902D8"/>
    <w:rsid w:val="00A902FD"/>
    <w:rsid w:val="00A90316"/>
    <w:rsid w:val="00A90379"/>
    <w:rsid w:val="00A903B0"/>
    <w:rsid w:val="00A903D5"/>
    <w:rsid w:val="00A90475"/>
    <w:rsid w:val="00A904B8"/>
    <w:rsid w:val="00A905D5"/>
    <w:rsid w:val="00A9060D"/>
    <w:rsid w:val="00A906A5"/>
    <w:rsid w:val="00A906C1"/>
    <w:rsid w:val="00A906CC"/>
    <w:rsid w:val="00A9071E"/>
    <w:rsid w:val="00A9073D"/>
    <w:rsid w:val="00A907A3"/>
    <w:rsid w:val="00A90886"/>
    <w:rsid w:val="00A908B1"/>
    <w:rsid w:val="00A908E7"/>
    <w:rsid w:val="00A9095D"/>
    <w:rsid w:val="00A9096B"/>
    <w:rsid w:val="00A90A08"/>
    <w:rsid w:val="00A90B5E"/>
    <w:rsid w:val="00A90C83"/>
    <w:rsid w:val="00A90C98"/>
    <w:rsid w:val="00A90D21"/>
    <w:rsid w:val="00A90EA4"/>
    <w:rsid w:val="00A90F09"/>
    <w:rsid w:val="00A90F1D"/>
    <w:rsid w:val="00A90F1F"/>
    <w:rsid w:val="00A91133"/>
    <w:rsid w:val="00A9113E"/>
    <w:rsid w:val="00A91169"/>
    <w:rsid w:val="00A91334"/>
    <w:rsid w:val="00A9133B"/>
    <w:rsid w:val="00A9147C"/>
    <w:rsid w:val="00A914FA"/>
    <w:rsid w:val="00A91599"/>
    <w:rsid w:val="00A915F5"/>
    <w:rsid w:val="00A916D0"/>
    <w:rsid w:val="00A9181F"/>
    <w:rsid w:val="00A9195B"/>
    <w:rsid w:val="00A91998"/>
    <w:rsid w:val="00A91A26"/>
    <w:rsid w:val="00A91BF8"/>
    <w:rsid w:val="00A91C5A"/>
    <w:rsid w:val="00A91D4B"/>
    <w:rsid w:val="00A91D8D"/>
    <w:rsid w:val="00A91DA7"/>
    <w:rsid w:val="00A91E64"/>
    <w:rsid w:val="00A91EAF"/>
    <w:rsid w:val="00A91EC2"/>
    <w:rsid w:val="00A92073"/>
    <w:rsid w:val="00A92285"/>
    <w:rsid w:val="00A92419"/>
    <w:rsid w:val="00A9243E"/>
    <w:rsid w:val="00A924F8"/>
    <w:rsid w:val="00A92657"/>
    <w:rsid w:val="00A92706"/>
    <w:rsid w:val="00A9278D"/>
    <w:rsid w:val="00A927D6"/>
    <w:rsid w:val="00A928A6"/>
    <w:rsid w:val="00A928C7"/>
    <w:rsid w:val="00A9294A"/>
    <w:rsid w:val="00A92A2A"/>
    <w:rsid w:val="00A92A50"/>
    <w:rsid w:val="00A92B30"/>
    <w:rsid w:val="00A92C08"/>
    <w:rsid w:val="00A92C3D"/>
    <w:rsid w:val="00A92D2A"/>
    <w:rsid w:val="00A92E54"/>
    <w:rsid w:val="00A92E85"/>
    <w:rsid w:val="00A92F66"/>
    <w:rsid w:val="00A92FD4"/>
    <w:rsid w:val="00A930CB"/>
    <w:rsid w:val="00A931A4"/>
    <w:rsid w:val="00A93243"/>
    <w:rsid w:val="00A932F0"/>
    <w:rsid w:val="00A93373"/>
    <w:rsid w:val="00A933D3"/>
    <w:rsid w:val="00A93401"/>
    <w:rsid w:val="00A9347A"/>
    <w:rsid w:val="00A934C8"/>
    <w:rsid w:val="00A93504"/>
    <w:rsid w:val="00A9353A"/>
    <w:rsid w:val="00A93570"/>
    <w:rsid w:val="00A93577"/>
    <w:rsid w:val="00A9366F"/>
    <w:rsid w:val="00A93747"/>
    <w:rsid w:val="00A93806"/>
    <w:rsid w:val="00A93817"/>
    <w:rsid w:val="00A93921"/>
    <w:rsid w:val="00A93937"/>
    <w:rsid w:val="00A9397F"/>
    <w:rsid w:val="00A939C0"/>
    <w:rsid w:val="00A939F3"/>
    <w:rsid w:val="00A93A56"/>
    <w:rsid w:val="00A93A6C"/>
    <w:rsid w:val="00A93AE8"/>
    <w:rsid w:val="00A93B0C"/>
    <w:rsid w:val="00A93BD3"/>
    <w:rsid w:val="00A93D3E"/>
    <w:rsid w:val="00A93D41"/>
    <w:rsid w:val="00A93F45"/>
    <w:rsid w:val="00A93F62"/>
    <w:rsid w:val="00A9400A"/>
    <w:rsid w:val="00A9417B"/>
    <w:rsid w:val="00A941C5"/>
    <w:rsid w:val="00A942D4"/>
    <w:rsid w:val="00A942EA"/>
    <w:rsid w:val="00A94320"/>
    <w:rsid w:val="00A943D3"/>
    <w:rsid w:val="00A94531"/>
    <w:rsid w:val="00A9460B"/>
    <w:rsid w:val="00A94653"/>
    <w:rsid w:val="00A946A8"/>
    <w:rsid w:val="00A946D1"/>
    <w:rsid w:val="00A946D3"/>
    <w:rsid w:val="00A94717"/>
    <w:rsid w:val="00A9494A"/>
    <w:rsid w:val="00A94985"/>
    <w:rsid w:val="00A949C2"/>
    <w:rsid w:val="00A94B1A"/>
    <w:rsid w:val="00A94BC3"/>
    <w:rsid w:val="00A94C41"/>
    <w:rsid w:val="00A94C82"/>
    <w:rsid w:val="00A94CFD"/>
    <w:rsid w:val="00A94D01"/>
    <w:rsid w:val="00A94D8D"/>
    <w:rsid w:val="00A94D99"/>
    <w:rsid w:val="00A94DA1"/>
    <w:rsid w:val="00A94DAF"/>
    <w:rsid w:val="00A94DD1"/>
    <w:rsid w:val="00A94E35"/>
    <w:rsid w:val="00A94E3B"/>
    <w:rsid w:val="00A950FF"/>
    <w:rsid w:val="00A9526D"/>
    <w:rsid w:val="00A952ED"/>
    <w:rsid w:val="00A95343"/>
    <w:rsid w:val="00A9534B"/>
    <w:rsid w:val="00A9534F"/>
    <w:rsid w:val="00A953B9"/>
    <w:rsid w:val="00A95419"/>
    <w:rsid w:val="00A95484"/>
    <w:rsid w:val="00A95491"/>
    <w:rsid w:val="00A954A5"/>
    <w:rsid w:val="00A954B7"/>
    <w:rsid w:val="00A954F4"/>
    <w:rsid w:val="00A95526"/>
    <w:rsid w:val="00A957A4"/>
    <w:rsid w:val="00A95885"/>
    <w:rsid w:val="00A95936"/>
    <w:rsid w:val="00A95B17"/>
    <w:rsid w:val="00A95B89"/>
    <w:rsid w:val="00A95CBA"/>
    <w:rsid w:val="00A95CFB"/>
    <w:rsid w:val="00A95D1C"/>
    <w:rsid w:val="00A95D6B"/>
    <w:rsid w:val="00A95DB6"/>
    <w:rsid w:val="00A95E06"/>
    <w:rsid w:val="00A95EA8"/>
    <w:rsid w:val="00A95F27"/>
    <w:rsid w:val="00A95F3F"/>
    <w:rsid w:val="00A95F54"/>
    <w:rsid w:val="00A95F74"/>
    <w:rsid w:val="00A96040"/>
    <w:rsid w:val="00A960B8"/>
    <w:rsid w:val="00A960DF"/>
    <w:rsid w:val="00A96165"/>
    <w:rsid w:val="00A962C0"/>
    <w:rsid w:val="00A962EA"/>
    <w:rsid w:val="00A963B6"/>
    <w:rsid w:val="00A963D5"/>
    <w:rsid w:val="00A963DE"/>
    <w:rsid w:val="00A9640D"/>
    <w:rsid w:val="00A9647A"/>
    <w:rsid w:val="00A9648B"/>
    <w:rsid w:val="00A9649F"/>
    <w:rsid w:val="00A964C2"/>
    <w:rsid w:val="00A964D6"/>
    <w:rsid w:val="00A964FE"/>
    <w:rsid w:val="00A965BF"/>
    <w:rsid w:val="00A965F9"/>
    <w:rsid w:val="00A96668"/>
    <w:rsid w:val="00A9674D"/>
    <w:rsid w:val="00A967D9"/>
    <w:rsid w:val="00A9685E"/>
    <w:rsid w:val="00A96905"/>
    <w:rsid w:val="00A9694C"/>
    <w:rsid w:val="00A9698B"/>
    <w:rsid w:val="00A96A36"/>
    <w:rsid w:val="00A96A43"/>
    <w:rsid w:val="00A96A97"/>
    <w:rsid w:val="00A96B2E"/>
    <w:rsid w:val="00A96C83"/>
    <w:rsid w:val="00A96D2A"/>
    <w:rsid w:val="00A96D56"/>
    <w:rsid w:val="00A96DAD"/>
    <w:rsid w:val="00A96EB2"/>
    <w:rsid w:val="00A96EFF"/>
    <w:rsid w:val="00A96F34"/>
    <w:rsid w:val="00A9707A"/>
    <w:rsid w:val="00A970AA"/>
    <w:rsid w:val="00A970CB"/>
    <w:rsid w:val="00A970CF"/>
    <w:rsid w:val="00A970E7"/>
    <w:rsid w:val="00A97160"/>
    <w:rsid w:val="00A97171"/>
    <w:rsid w:val="00A972EB"/>
    <w:rsid w:val="00A97346"/>
    <w:rsid w:val="00A9735D"/>
    <w:rsid w:val="00A973F8"/>
    <w:rsid w:val="00A97410"/>
    <w:rsid w:val="00A9747F"/>
    <w:rsid w:val="00A97515"/>
    <w:rsid w:val="00A97516"/>
    <w:rsid w:val="00A9754B"/>
    <w:rsid w:val="00A975AF"/>
    <w:rsid w:val="00A9762B"/>
    <w:rsid w:val="00A976AE"/>
    <w:rsid w:val="00A976B8"/>
    <w:rsid w:val="00A97878"/>
    <w:rsid w:val="00A978F7"/>
    <w:rsid w:val="00A97955"/>
    <w:rsid w:val="00A9797B"/>
    <w:rsid w:val="00A979A7"/>
    <w:rsid w:val="00A979B4"/>
    <w:rsid w:val="00A97A94"/>
    <w:rsid w:val="00A97AE9"/>
    <w:rsid w:val="00A97B00"/>
    <w:rsid w:val="00A97B8A"/>
    <w:rsid w:val="00A97BDB"/>
    <w:rsid w:val="00A97C42"/>
    <w:rsid w:val="00A97C97"/>
    <w:rsid w:val="00A97EB8"/>
    <w:rsid w:val="00A97F18"/>
    <w:rsid w:val="00A97FCC"/>
    <w:rsid w:val="00A97FCD"/>
    <w:rsid w:val="00A97FD7"/>
    <w:rsid w:val="00AA010F"/>
    <w:rsid w:val="00AA0174"/>
    <w:rsid w:val="00AA0185"/>
    <w:rsid w:val="00AA030F"/>
    <w:rsid w:val="00AA0351"/>
    <w:rsid w:val="00AA036C"/>
    <w:rsid w:val="00AA03D4"/>
    <w:rsid w:val="00AA0457"/>
    <w:rsid w:val="00AA0489"/>
    <w:rsid w:val="00AA04FE"/>
    <w:rsid w:val="00AA0504"/>
    <w:rsid w:val="00AA0533"/>
    <w:rsid w:val="00AA05FE"/>
    <w:rsid w:val="00AA0644"/>
    <w:rsid w:val="00AA0659"/>
    <w:rsid w:val="00AA074D"/>
    <w:rsid w:val="00AA0753"/>
    <w:rsid w:val="00AA08D4"/>
    <w:rsid w:val="00AA08D7"/>
    <w:rsid w:val="00AA0948"/>
    <w:rsid w:val="00AA0988"/>
    <w:rsid w:val="00AA09F4"/>
    <w:rsid w:val="00AA0AD0"/>
    <w:rsid w:val="00AA0ADD"/>
    <w:rsid w:val="00AA0AF1"/>
    <w:rsid w:val="00AA0B16"/>
    <w:rsid w:val="00AA0B49"/>
    <w:rsid w:val="00AA0B6F"/>
    <w:rsid w:val="00AA0B9F"/>
    <w:rsid w:val="00AA0BD0"/>
    <w:rsid w:val="00AA0C04"/>
    <w:rsid w:val="00AA0C52"/>
    <w:rsid w:val="00AA0D46"/>
    <w:rsid w:val="00AA0DA2"/>
    <w:rsid w:val="00AA0DED"/>
    <w:rsid w:val="00AA0E05"/>
    <w:rsid w:val="00AA0E5A"/>
    <w:rsid w:val="00AA0EA9"/>
    <w:rsid w:val="00AA0F0A"/>
    <w:rsid w:val="00AA0F9E"/>
    <w:rsid w:val="00AA109A"/>
    <w:rsid w:val="00AA111C"/>
    <w:rsid w:val="00AA11D5"/>
    <w:rsid w:val="00AA126E"/>
    <w:rsid w:val="00AA12D2"/>
    <w:rsid w:val="00AA14A3"/>
    <w:rsid w:val="00AA14DF"/>
    <w:rsid w:val="00AA1615"/>
    <w:rsid w:val="00AA16F0"/>
    <w:rsid w:val="00AA16FA"/>
    <w:rsid w:val="00AA1715"/>
    <w:rsid w:val="00AA17E8"/>
    <w:rsid w:val="00AA18F9"/>
    <w:rsid w:val="00AA1988"/>
    <w:rsid w:val="00AA19A4"/>
    <w:rsid w:val="00AA19D1"/>
    <w:rsid w:val="00AA1A4D"/>
    <w:rsid w:val="00AA1A8C"/>
    <w:rsid w:val="00AA1AE5"/>
    <w:rsid w:val="00AA1C63"/>
    <w:rsid w:val="00AA1D44"/>
    <w:rsid w:val="00AA1DF3"/>
    <w:rsid w:val="00AA1E60"/>
    <w:rsid w:val="00AA1EB4"/>
    <w:rsid w:val="00AA1F4D"/>
    <w:rsid w:val="00AA1F64"/>
    <w:rsid w:val="00AA20E5"/>
    <w:rsid w:val="00AA2291"/>
    <w:rsid w:val="00AA23D1"/>
    <w:rsid w:val="00AA23F5"/>
    <w:rsid w:val="00AA24A4"/>
    <w:rsid w:val="00AA24B0"/>
    <w:rsid w:val="00AA24CC"/>
    <w:rsid w:val="00AA2557"/>
    <w:rsid w:val="00AA2598"/>
    <w:rsid w:val="00AA2758"/>
    <w:rsid w:val="00AA2846"/>
    <w:rsid w:val="00AA28B5"/>
    <w:rsid w:val="00AA28D4"/>
    <w:rsid w:val="00AA28EF"/>
    <w:rsid w:val="00AA28FC"/>
    <w:rsid w:val="00AA2946"/>
    <w:rsid w:val="00AA29B1"/>
    <w:rsid w:val="00AA2A8C"/>
    <w:rsid w:val="00AA2B71"/>
    <w:rsid w:val="00AA2C18"/>
    <w:rsid w:val="00AA2C8A"/>
    <w:rsid w:val="00AA2D36"/>
    <w:rsid w:val="00AA2D8F"/>
    <w:rsid w:val="00AA2E88"/>
    <w:rsid w:val="00AA2EA9"/>
    <w:rsid w:val="00AA2EDF"/>
    <w:rsid w:val="00AA2FFA"/>
    <w:rsid w:val="00AA302E"/>
    <w:rsid w:val="00AA30D2"/>
    <w:rsid w:val="00AA34B8"/>
    <w:rsid w:val="00AA3542"/>
    <w:rsid w:val="00AA356E"/>
    <w:rsid w:val="00AA35D0"/>
    <w:rsid w:val="00AA374F"/>
    <w:rsid w:val="00AA3765"/>
    <w:rsid w:val="00AA3829"/>
    <w:rsid w:val="00AA3853"/>
    <w:rsid w:val="00AA38A2"/>
    <w:rsid w:val="00AA38B0"/>
    <w:rsid w:val="00AA3995"/>
    <w:rsid w:val="00AA3A51"/>
    <w:rsid w:val="00AA3A71"/>
    <w:rsid w:val="00AA3A97"/>
    <w:rsid w:val="00AA3ADB"/>
    <w:rsid w:val="00AA3D6F"/>
    <w:rsid w:val="00AA3DD8"/>
    <w:rsid w:val="00AA3EBA"/>
    <w:rsid w:val="00AA3F89"/>
    <w:rsid w:val="00AA3FE3"/>
    <w:rsid w:val="00AA4010"/>
    <w:rsid w:val="00AA401F"/>
    <w:rsid w:val="00AA4082"/>
    <w:rsid w:val="00AA409A"/>
    <w:rsid w:val="00AA40C4"/>
    <w:rsid w:val="00AA42B2"/>
    <w:rsid w:val="00AA42C7"/>
    <w:rsid w:val="00AA42F2"/>
    <w:rsid w:val="00AA4350"/>
    <w:rsid w:val="00AA43C3"/>
    <w:rsid w:val="00AA43C8"/>
    <w:rsid w:val="00AA4419"/>
    <w:rsid w:val="00AA4569"/>
    <w:rsid w:val="00AA45A9"/>
    <w:rsid w:val="00AA45C8"/>
    <w:rsid w:val="00AA4624"/>
    <w:rsid w:val="00AA4723"/>
    <w:rsid w:val="00AA479C"/>
    <w:rsid w:val="00AA485D"/>
    <w:rsid w:val="00AA496A"/>
    <w:rsid w:val="00AA49A1"/>
    <w:rsid w:val="00AA4A24"/>
    <w:rsid w:val="00AA4BDA"/>
    <w:rsid w:val="00AA4C09"/>
    <w:rsid w:val="00AA4C60"/>
    <w:rsid w:val="00AA4C87"/>
    <w:rsid w:val="00AA4CCA"/>
    <w:rsid w:val="00AA4CD9"/>
    <w:rsid w:val="00AA4E21"/>
    <w:rsid w:val="00AA4E92"/>
    <w:rsid w:val="00AA5152"/>
    <w:rsid w:val="00AA517D"/>
    <w:rsid w:val="00AA5198"/>
    <w:rsid w:val="00AA5230"/>
    <w:rsid w:val="00AA5397"/>
    <w:rsid w:val="00AA539C"/>
    <w:rsid w:val="00AA5421"/>
    <w:rsid w:val="00AA5441"/>
    <w:rsid w:val="00AA54E8"/>
    <w:rsid w:val="00AA5580"/>
    <w:rsid w:val="00AA559A"/>
    <w:rsid w:val="00AA55A8"/>
    <w:rsid w:val="00AA55B9"/>
    <w:rsid w:val="00AA55E8"/>
    <w:rsid w:val="00AA55F8"/>
    <w:rsid w:val="00AA586B"/>
    <w:rsid w:val="00AA5977"/>
    <w:rsid w:val="00AA5AC4"/>
    <w:rsid w:val="00AA5ACC"/>
    <w:rsid w:val="00AA5B12"/>
    <w:rsid w:val="00AA5CE9"/>
    <w:rsid w:val="00AA5D94"/>
    <w:rsid w:val="00AA5E00"/>
    <w:rsid w:val="00AA5E44"/>
    <w:rsid w:val="00AA5F2C"/>
    <w:rsid w:val="00AA5F2D"/>
    <w:rsid w:val="00AA5F2E"/>
    <w:rsid w:val="00AA603E"/>
    <w:rsid w:val="00AA606D"/>
    <w:rsid w:val="00AA612C"/>
    <w:rsid w:val="00AA612E"/>
    <w:rsid w:val="00AA6146"/>
    <w:rsid w:val="00AA617A"/>
    <w:rsid w:val="00AA61AC"/>
    <w:rsid w:val="00AA6336"/>
    <w:rsid w:val="00AA6398"/>
    <w:rsid w:val="00AA63B6"/>
    <w:rsid w:val="00AA6442"/>
    <w:rsid w:val="00AA644E"/>
    <w:rsid w:val="00AA645A"/>
    <w:rsid w:val="00AA653D"/>
    <w:rsid w:val="00AA6615"/>
    <w:rsid w:val="00AA666F"/>
    <w:rsid w:val="00AA6696"/>
    <w:rsid w:val="00AA6719"/>
    <w:rsid w:val="00AA6766"/>
    <w:rsid w:val="00AA67F5"/>
    <w:rsid w:val="00AA67F6"/>
    <w:rsid w:val="00AA684D"/>
    <w:rsid w:val="00AA68EC"/>
    <w:rsid w:val="00AA690C"/>
    <w:rsid w:val="00AA69C9"/>
    <w:rsid w:val="00AA6B1B"/>
    <w:rsid w:val="00AA6C2E"/>
    <w:rsid w:val="00AA6C4C"/>
    <w:rsid w:val="00AA6C59"/>
    <w:rsid w:val="00AA6C80"/>
    <w:rsid w:val="00AA6D6D"/>
    <w:rsid w:val="00AA6D78"/>
    <w:rsid w:val="00AA6DB6"/>
    <w:rsid w:val="00AA6DC7"/>
    <w:rsid w:val="00AA6F11"/>
    <w:rsid w:val="00AA6FA6"/>
    <w:rsid w:val="00AA7012"/>
    <w:rsid w:val="00AA705E"/>
    <w:rsid w:val="00AA7155"/>
    <w:rsid w:val="00AA7255"/>
    <w:rsid w:val="00AA7281"/>
    <w:rsid w:val="00AA729E"/>
    <w:rsid w:val="00AA72FB"/>
    <w:rsid w:val="00AA7387"/>
    <w:rsid w:val="00AA73D4"/>
    <w:rsid w:val="00AA73D8"/>
    <w:rsid w:val="00AA74DA"/>
    <w:rsid w:val="00AA7502"/>
    <w:rsid w:val="00AA753A"/>
    <w:rsid w:val="00AA759C"/>
    <w:rsid w:val="00AA75A3"/>
    <w:rsid w:val="00AA7610"/>
    <w:rsid w:val="00AA77D9"/>
    <w:rsid w:val="00AA77F0"/>
    <w:rsid w:val="00AA781A"/>
    <w:rsid w:val="00AA7882"/>
    <w:rsid w:val="00AA7953"/>
    <w:rsid w:val="00AA7C4F"/>
    <w:rsid w:val="00AA7CDB"/>
    <w:rsid w:val="00AA7E32"/>
    <w:rsid w:val="00AA7E8D"/>
    <w:rsid w:val="00AA7EAE"/>
    <w:rsid w:val="00AA7EFD"/>
    <w:rsid w:val="00AA7F3E"/>
    <w:rsid w:val="00AA7F82"/>
    <w:rsid w:val="00AB0055"/>
    <w:rsid w:val="00AB00A6"/>
    <w:rsid w:val="00AB010F"/>
    <w:rsid w:val="00AB0158"/>
    <w:rsid w:val="00AB017D"/>
    <w:rsid w:val="00AB0197"/>
    <w:rsid w:val="00AB01E2"/>
    <w:rsid w:val="00AB0225"/>
    <w:rsid w:val="00AB02BF"/>
    <w:rsid w:val="00AB04F5"/>
    <w:rsid w:val="00AB053D"/>
    <w:rsid w:val="00AB054D"/>
    <w:rsid w:val="00AB05A2"/>
    <w:rsid w:val="00AB069C"/>
    <w:rsid w:val="00AB06A4"/>
    <w:rsid w:val="00AB06F6"/>
    <w:rsid w:val="00AB0730"/>
    <w:rsid w:val="00AB0884"/>
    <w:rsid w:val="00AB088F"/>
    <w:rsid w:val="00AB08C9"/>
    <w:rsid w:val="00AB099C"/>
    <w:rsid w:val="00AB0A49"/>
    <w:rsid w:val="00AB0A7F"/>
    <w:rsid w:val="00AB0AA0"/>
    <w:rsid w:val="00AB0B50"/>
    <w:rsid w:val="00AB0C56"/>
    <w:rsid w:val="00AB0CC9"/>
    <w:rsid w:val="00AB0D49"/>
    <w:rsid w:val="00AB0D8D"/>
    <w:rsid w:val="00AB0E3D"/>
    <w:rsid w:val="00AB0E57"/>
    <w:rsid w:val="00AB0ED4"/>
    <w:rsid w:val="00AB0ED9"/>
    <w:rsid w:val="00AB0EE6"/>
    <w:rsid w:val="00AB0FC2"/>
    <w:rsid w:val="00AB1012"/>
    <w:rsid w:val="00AB1155"/>
    <w:rsid w:val="00AB13A4"/>
    <w:rsid w:val="00AB149B"/>
    <w:rsid w:val="00AB1689"/>
    <w:rsid w:val="00AB169F"/>
    <w:rsid w:val="00AB16B6"/>
    <w:rsid w:val="00AB1740"/>
    <w:rsid w:val="00AB1795"/>
    <w:rsid w:val="00AB17B1"/>
    <w:rsid w:val="00AB1826"/>
    <w:rsid w:val="00AB1AEC"/>
    <w:rsid w:val="00AB1AED"/>
    <w:rsid w:val="00AB1B15"/>
    <w:rsid w:val="00AB1B90"/>
    <w:rsid w:val="00AB1CC7"/>
    <w:rsid w:val="00AB1CEF"/>
    <w:rsid w:val="00AB1CF7"/>
    <w:rsid w:val="00AB1D1A"/>
    <w:rsid w:val="00AB1D6C"/>
    <w:rsid w:val="00AB1D6F"/>
    <w:rsid w:val="00AB1DC1"/>
    <w:rsid w:val="00AB1E0A"/>
    <w:rsid w:val="00AB1E77"/>
    <w:rsid w:val="00AB1EB4"/>
    <w:rsid w:val="00AB1ED7"/>
    <w:rsid w:val="00AB205E"/>
    <w:rsid w:val="00AB2065"/>
    <w:rsid w:val="00AB20A7"/>
    <w:rsid w:val="00AB20D8"/>
    <w:rsid w:val="00AB2123"/>
    <w:rsid w:val="00AB2148"/>
    <w:rsid w:val="00AB22E3"/>
    <w:rsid w:val="00AB22F3"/>
    <w:rsid w:val="00AB234F"/>
    <w:rsid w:val="00AB235A"/>
    <w:rsid w:val="00AB236A"/>
    <w:rsid w:val="00AB2386"/>
    <w:rsid w:val="00AB2388"/>
    <w:rsid w:val="00AB245F"/>
    <w:rsid w:val="00AB2541"/>
    <w:rsid w:val="00AB2554"/>
    <w:rsid w:val="00AB2573"/>
    <w:rsid w:val="00AB2574"/>
    <w:rsid w:val="00AB2593"/>
    <w:rsid w:val="00AB26C6"/>
    <w:rsid w:val="00AB2723"/>
    <w:rsid w:val="00AB27C5"/>
    <w:rsid w:val="00AB280C"/>
    <w:rsid w:val="00AB28DC"/>
    <w:rsid w:val="00AB2A76"/>
    <w:rsid w:val="00AB2AD7"/>
    <w:rsid w:val="00AB2C30"/>
    <w:rsid w:val="00AB2C46"/>
    <w:rsid w:val="00AB2C81"/>
    <w:rsid w:val="00AB2CBE"/>
    <w:rsid w:val="00AB2CE1"/>
    <w:rsid w:val="00AB2D44"/>
    <w:rsid w:val="00AB2DAB"/>
    <w:rsid w:val="00AB2DE0"/>
    <w:rsid w:val="00AB2E1C"/>
    <w:rsid w:val="00AB2E2F"/>
    <w:rsid w:val="00AB2FD6"/>
    <w:rsid w:val="00AB306F"/>
    <w:rsid w:val="00AB3171"/>
    <w:rsid w:val="00AB319C"/>
    <w:rsid w:val="00AB31A3"/>
    <w:rsid w:val="00AB322E"/>
    <w:rsid w:val="00AB3257"/>
    <w:rsid w:val="00AB32FF"/>
    <w:rsid w:val="00AB3361"/>
    <w:rsid w:val="00AB34C7"/>
    <w:rsid w:val="00AB3538"/>
    <w:rsid w:val="00AB3543"/>
    <w:rsid w:val="00AB3549"/>
    <w:rsid w:val="00AB35F6"/>
    <w:rsid w:val="00AB363B"/>
    <w:rsid w:val="00AB3644"/>
    <w:rsid w:val="00AB379C"/>
    <w:rsid w:val="00AB3A38"/>
    <w:rsid w:val="00AB3A5D"/>
    <w:rsid w:val="00AB3A86"/>
    <w:rsid w:val="00AB3BC4"/>
    <w:rsid w:val="00AB3BDB"/>
    <w:rsid w:val="00AB3C4C"/>
    <w:rsid w:val="00AB3CBA"/>
    <w:rsid w:val="00AB3D1F"/>
    <w:rsid w:val="00AB3D8A"/>
    <w:rsid w:val="00AB3E20"/>
    <w:rsid w:val="00AB3EDC"/>
    <w:rsid w:val="00AB3EE1"/>
    <w:rsid w:val="00AB3F16"/>
    <w:rsid w:val="00AB40E7"/>
    <w:rsid w:val="00AB4135"/>
    <w:rsid w:val="00AB41B6"/>
    <w:rsid w:val="00AB425E"/>
    <w:rsid w:val="00AB426B"/>
    <w:rsid w:val="00AB427B"/>
    <w:rsid w:val="00AB42EA"/>
    <w:rsid w:val="00AB42F6"/>
    <w:rsid w:val="00AB4302"/>
    <w:rsid w:val="00AB4316"/>
    <w:rsid w:val="00AB43EF"/>
    <w:rsid w:val="00AB4535"/>
    <w:rsid w:val="00AB4547"/>
    <w:rsid w:val="00AB4548"/>
    <w:rsid w:val="00AB4564"/>
    <w:rsid w:val="00AB462E"/>
    <w:rsid w:val="00AB46E9"/>
    <w:rsid w:val="00AB4865"/>
    <w:rsid w:val="00AB48E5"/>
    <w:rsid w:val="00AB4917"/>
    <w:rsid w:val="00AB4963"/>
    <w:rsid w:val="00AB4994"/>
    <w:rsid w:val="00AB4A0C"/>
    <w:rsid w:val="00AB4BC2"/>
    <w:rsid w:val="00AB4CB0"/>
    <w:rsid w:val="00AB4CF9"/>
    <w:rsid w:val="00AB4E64"/>
    <w:rsid w:val="00AB4E8A"/>
    <w:rsid w:val="00AB4EC8"/>
    <w:rsid w:val="00AB5067"/>
    <w:rsid w:val="00AB5068"/>
    <w:rsid w:val="00AB523C"/>
    <w:rsid w:val="00AB5283"/>
    <w:rsid w:val="00AB529D"/>
    <w:rsid w:val="00AB53C3"/>
    <w:rsid w:val="00AB559B"/>
    <w:rsid w:val="00AB5631"/>
    <w:rsid w:val="00AB5635"/>
    <w:rsid w:val="00AB569B"/>
    <w:rsid w:val="00AB56A5"/>
    <w:rsid w:val="00AB56C5"/>
    <w:rsid w:val="00AB57AE"/>
    <w:rsid w:val="00AB57BE"/>
    <w:rsid w:val="00AB57C9"/>
    <w:rsid w:val="00AB57EC"/>
    <w:rsid w:val="00AB582E"/>
    <w:rsid w:val="00AB5883"/>
    <w:rsid w:val="00AB588E"/>
    <w:rsid w:val="00AB589C"/>
    <w:rsid w:val="00AB58AE"/>
    <w:rsid w:val="00AB58E9"/>
    <w:rsid w:val="00AB5915"/>
    <w:rsid w:val="00AB59D2"/>
    <w:rsid w:val="00AB59F3"/>
    <w:rsid w:val="00AB5A0A"/>
    <w:rsid w:val="00AB5ACC"/>
    <w:rsid w:val="00AB5B18"/>
    <w:rsid w:val="00AB5BE9"/>
    <w:rsid w:val="00AB5C18"/>
    <w:rsid w:val="00AB5D83"/>
    <w:rsid w:val="00AB5E33"/>
    <w:rsid w:val="00AB5E4C"/>
    <w:rsid w:val="00AB5E91"/>
    <w:rsid w:val="00AB5ED2"/>
    <w:rsid w:val="00AB5F58"/>
    <w:rsid w:val="00AB612B"/>
    <w:rsid w:val="00AB6165"/>
    <w:rsid w:val="00AB61C1"/>
    <w:rsid w:val="00AB61E2"/>
    <w:rsid w:val="00AB6211"/>
    <w:rsid w:val="00AB6235"/>
    <w:rsid w:val="00AB6339"/>
    <w:rsid w:val="00AB6365"/>
    <w:rsid w:val="00AB641F"/>
    <w:rsid w:val="00AB6475"/>
    <w:rsid w:val="00AB65CA"/>
    <w:rsid w:val="00AB66B9"/>
    <w:rsid w:val="00AB6774"/>
    <w:rsid w:val="00AB689F"/>
    <w:rsid w:val="00AB690B"/>
    <w:rsid w:val="00AB698E"/>
    <w:rsid w:val="00AB6A7F"/>
    <w:rsid w:val="00AB6AB2"/>
    <w:rsid w:val="00AB6AD3"/>
    <w:rsid w:val="00AB6B23"/>
    <w:rsid w:val="00AB6B25"/>
    <w:rsid w:val="00AB6B61"/>
    <w:rsid w:val="00AB6B85"/>
    <w:rsid w:val="00AB6BEE"/>
    <w:rsid w:val="00AB6D19"/>
    <w:rsid w:val="00AB6D4B"/>
    <w:rsid w:val="00AB6E8E"/>
    <w:rsid w:val="00AB7063"/>
    <w:rsid w:val="00AB70C3"/>
    <w:rsid w:val="00AB712E"/>
    <w:rsid w:val="00AB715E"/>
    <w:rsid w:val="00AB71B1"/>
    <w:rsid w:val="00AB721F"/>
    <w:rsid w:val="00AB72A3"/>
    <w:rsid w:val="00AB72D9"/>
    <w:rsid w:val="00AB7369"/>
    <w:rsid w:val="00AB7407"/>
    <w:rsid w:val="00AB742D"/>
    <w:rsid w:val="00AB7467"/>
    <w:rsid w:val="00AB746E"/>
    <w:rsid w:val="00AB7540"/>
    <w:rsid w:val="00AB7584"/>
    <w:rsid w:val="00AB75A7"/>
    <w:rsid w:val="00AB75EB"/>
    <w:rsid w:val="00AB7674"/>
    <w:rsid w:val="00AB76C9"/>
    <w:rsid w:val="00AB773C"/>
    <w:rsid w:val="00AB7778"/>
    <w:rsid w:val="00AB77D0"/>
    <w:rsid w:val="00AB7918"/>
    <w:rsid w:val="00AB7955"/>
    <w:rsid w:val="00AB79FC"/>
    <w:rsid w:val="00AB7A9A"/>
    <w:rsid w:val="00AB7C45"/>
    <w:rsid w:val="00AB7D6B"/>
    <w:rsid w:val="00AB7DE2"/>
    <w:rsid w:val="00AB7F45"/>
    <w:rsid w:val="00AB7FA8"/>
    <w:rsid w:val="00AC0005"/>
    <w:rsid w:val="00AC007E"/>
    <w:rsid w:val="00AC00C7"/>
    <w:rsid w:val="00AC022C"/>
    <w:rsid w:val="00AC0289"/>
    <w:rsid w:val="00AC02DB"/>
    <w:rsid w:val="00AC0364"/>
    <w:rsid w:val="00AC03D4"/>
    <w:rsid w:val="00AC03E6"/>
    <w:rsid w:val="00AC04E1"/>
    <w:rsid w:val="00AC04E9"/>
    <w:rsid w:val="00AC04F5"/>
    <w:rsid w:val="00AC051B"/>
    <w:rsid w:val="00AC0546"/>
    <w:rsid w:val="00AC0565"/>
    <w:rsid w:val="00AC058B"/>
    <w:rsid w:val="00AC05B3"/>
    <w:rsid w:val="00AC0610"/>
    <w:rsid w:val="00AC0650"/>
    <w:rsid w:val="00AC0804"/>
    <w:rsid w:val="00AC0877"/>
    <w:rsid w:val="00AC0969"/>
    <w:rsid w:val="00AC09E6"/>
    <w:rsid w:val="00AC0B13"/>
    <w:rsid w:val="00AC0B62"/>
    <w:rsid w:val="00AC0B8A"/>
    <w:rsid w:val="00AC0BBF"/>
    <w:rsid w:val="00AC0BCB"/>
    <w:rsid w:val="00AC0DCA"/>
    <w:rsid w:val="00AC0E68"/>
    <w:rsid w:val="00AC0EE7"/>
    <w:rsid w:val="00AC0F8A"/>
    <w:rsid w:val="00AC10AC"/>
    <w:rsid w:val="00AC1146"/>
    <w:rsid w:val="00AC1171"/>
    <w:rsid w:val="00AC1378"/>
    <w:rsid w:val="00AC137F"/>
    <w:rsid w:val="00AC152F"/>
    <w:rsid w:val="00AC1702"/>
    <w:rsid w:val="00AC180F"/>
    <w:rsid w:val="00AC185D"/>
    <w:rsid w:val="00AC189E"/>
    <w:rsid w:val="00AC1A74"/>
    <w:rsid w:val="00AC1AB3"/>
    <w:rsid w:val="00AC1AC0"/>
    <w:rsid w:val="00AC1AC3"/>
    <w:rsid w:val="00AC1C3F"/>
    <w:rsid w:val="00AC1C77"/>
    <w:rsid w:val="00AC1CBC"/>
    <w:rsid w:val="00AC1D1A"/>
    <w:rsid w:val="00AC1D4D"/>
    <w:rsid w:val="00AC1D76"/>
    <w:rsid w:val="00AC1E0A"/>
    <w:rsid w:val="00AC1E33"/>
    <w:rsid w:val="00AC1EA9"/>
    <w:rsid w:val="00AC1EAA"/>
    <w:rsid w:val="00AC1EB4"/>
    <w:rsid w:val="00AC1EC2"/>
    <w:rsid w:val="00AC1EF3"/>
    <w:rsid w:val="00AC1F4C"/>
    <w:rsid w:val="00AC1F85"/>
    <w:rsid w:val="00AC2016"/>
    <w:rsid w:val="00AC205D"/>
    <w:rsid w:val="00AC20C6"/>
    <w:rsid w:val="00AC20F3"/>
    <w:rsid w:val="00AC210F"/>
    <w:rsid w:val="00AC21E9"/>
    <w:rsid w:val="00AC21EF"/>
    <w:rsid w:val="00AC2306"/>
    <w:rsid w:val="00AC2410"/>
    <w:rsid w:val="00AC243C"/>
    <w:rsid w:val="00AC24B8"/>
    <w:rsid w:val="00AC2505"/>
    <w:rsid w:val="00AC2527"/>
    <w:rsid w:val="00AC2572"/>
    <w:rsid w:val="00AC259B"/>
    <w:rsid w:val="00AC25CF"/>
    <w:rsid w:val="00AC26D8"/>
    <w:rsid w:val="00AC26DB"/>
    <w:rsid w:val="00AC2767"/>
    <w:rsid w:val="00AC27B0"/>
    <w:rsid w:val="00AC2807"/>
    <w:rsid w:val="00AC28C7"/>
    <w:rsid w:val="00AC291F"/>
    <w:rsid w:val="00AC299D"/>
    <w:rsid w:val="00AC2AFC"/>
    <w:rsid w:val="00AC2B24"/>
    <w:rsid w:val="00AC2B58"/>
    <w:rsid w:val="00AC2C12"/>
    <w:rsid w:val="00AC2C1F"/>
    <w:rsid w:val="00AC2F2B"/>
    <w:rsid w:val="00AC2F40"/>
    <w:rsid w:val="00AC2F9C"/>
    <w:rsid w:val="00AC306F"/>
    <w:rsid w:val="00AC3071"/>
    <w:rsid w:val="00AC3196"/>
    <w:rsid w:val="00AC32D7"/>
    <w:rsid w:val="00AC336E"/>
    <w:rsid w:val="00AC342F"/>
    <w:rsid w:val="00AC347B"/>
    <w:rsid w:val="00AC34D4"/>
    <w:rsid w:val="00AC35C2"/>
    <w:rsid w:val="00AC3720"/>
    <w:rsid w:val="00AC3729"/>
    <w:rsid w:val="00AC3749"/>
    <w:rsid w:val="00AC3795"/>
    <w:rsid w:val="00AC3833"/>
    <w:rsid w:val="00AC3865"/>
    <w:rsid w:val="00AC389E"/>
    <w:rsid w:val="00AC38B5"/>
    <w:rsid w:val="00AC3934"/>
    <w:rsid w:val="00AC39E1"/>
    <w:rsid w:val="00AC3A05"/>
    <w:rsid w:val="00AC3A7E"/>
    <w:rsid w:val="00AC3A98"/>
    <w:rsid w:val="00AC3AC0"/>
    <w:rsid w:val="00AC3BE9"/>
    <w:rsid w:val="00AC3C88"/>
    <w:rsid w:val="00AC3C92"/>
    <w:rsid w:val="00AC3CAC"/>
    <w:rsid w:val="00AC3D41"/>
    <w:rsid w:val="00AC3D4C"/>
    <w:rsid w:val="00AC3D85"/>
    <w:rsid w:val="00AC3DA5"/>
    <w:rsid w:val="00AC3DF0"/>
    <w:rsid w:val="00AC3E6C"/>
    <w:rsid w:val="00AC3EE1"/>
    <w:rsid w:val="00AC3EEA"/>
    <w:rsid w:val="00AC3F04"/>
    <w:rsid w:val="00AC3FDB"/>
    <w:rsid w:val="00AC4065"/>
    <w:rsid w:val="00AC40B4"/>
    <w:rsid w:val="00AC40CE"/>
    <w:rsid w:val="00AC40DC"/>
    <w:rsid w:val="00AC418E"/>
    <w:rsid w:val="00AC41F0"/>
    <w:rsid w:val="00AC4207"/>
    <w:rsid w:val="00AC4370"/>
    <w:rsid w:val="00AC43C1"/>
    <w:rsid w:val="00AC43D0"/>
    <w:rsid w:val="00AC458A"/>
    <w:rsid w:val="00AC4597"/>
    <w:rsid w:val="00AC45BC"/>
    <w:rsid w:val="00AC46A5"/>
    <w:rsid w:val="00AC476A"/>
    <w:rsid w:val="00AC48A5"/>
    <w:rsid w:val="00AC4912"/>
    <w:rsid w:val="00AC4931"/>
    <w:rsid w:val="00AC49C8"/>
    <w:rsid w:val="00AC4A69"/>
    <w:rsid w:val="00AC4A8B"/>
    <w:rsid w:val="00AC4D2B"/>
    <w:rsid w:val="00AC4E01"/>
    <w:rsid w:val="00AC4E1C"/>
    <w:rsid w:val="00AC4E32"/>
    <w:rsid w:val="00AC4E4B"/>
    <w:rsid w:val="00AC4EAC"/>
    <w:rsid w:val="00AC5193"/>
    <w:rsid w:val="00AC51AB"/>
    <w:rsid w:val="00AC51CC"/>
    <w:rsid w:val="00AC522B"/>
    <w:rsid w:val="00AC523A"/>
    <w:rsid w:val="00AC5269"/>
    <w:rsid w:val="00AC5313"/>
    <w:rsid w:val="00AC537C"/>
    <w:rsid w:val="00AC5421"/>
    <w:rsid w:val="00AC542E"/>
    <w:rsid w:val="00AC549E"/>
    <w:rsid w:val="00AC55F4"/>
    <w:rsid w:val="00AC561D"/>
    <w:rsid w:val="00AC5621"/>
    <w:rsid w:val="00AC5665"/>
    <w:rsid w:val="00AC571B"/>
    <w:rsid w:val="00AC5743"/>
    <w:rsid w:val="00AC5765"/>
    <w:rsid w:val="00AC5782"/>
    <w:rsid w:val="00AC57A3"/>
    <w:rsid w:val="00AC589D"/>
    <w:rsid w:val="00AC5914"/>
    <w:rsid w:val="00AC5A94"/>
    <w:rsid w:val="00AC5AA6"/>
    <w:rsid w:val="00AC5AF2"/>
    <w:rsid w:val="00AC5B38"/>
    <w:rsid w:val="00AC5B51"/>
    <w:rsid w:val="00AC5BA7"/>
    <w:rsid w:val="00AC5BDB"/>
    <w:rsid w:val="00AC5BDC"/>
    <w:rsid w:val="00AC5CB0"/>
    <w:rsid w:val="00AC5CFD"/>
    <w:rsid w:val="00AC5D3E"/>
    <w:rsid w:val="00AC5DC3"/>
    <w:rsid w:val="00AC5DCE"/>
    <w:rsid w:val="00AC5F37"/>
    <w:rsid w:val="00AC5F64"/>
    <w:rsid w:val="00AC5F73"/>
    <w:rsid w:val="00AC5F8D"/>
    <w:rsid w:val="00AC5FE7"/>
    <w:rsid w:val="00AC6043"/>
    <w:rsid w:val="00AC610A"/>
    <w:rsid w:val="00AC6183"/>
    <w:rsid w:val="00AC61D1"/>
    <w:rsid w:val="00AC61EA"/>
    <w:rsid w:val="00AC620C"/>
    <w:rsid w:val="00AC637C"/>
    <w:rsid w:val="00AC650D"/>
    <w:rsid w:val="00AC65B6"/>
    <w:rsid w:val="00AC66A4"/>
    <w:rsid w:val="00AC6819"/>
    <w:rsid w:val="00AC68B5"/>
    <w:rsid w:val="00AC68C2"/>
    <w:rsid w:val="00AC6913"/>
    <w:rsid w:val="00AC698A"/>
    <w:rsid w:val="00AC69AC"/>
    <w:rsid w:val="00AC6A24"/>
    <w:rsid w:val="00AC6A8A"/>
    <w:rsid w:val="00AC6ABE"/>
    <w:rsid w:val="00AC6C0F"/>
    <w:rsid w:val="00AC6C45"/>
    <w:rsid w:val="00AC6DA4"/>
    <w:rsid w:val="00AC6DE5"/>
    <w:rsid w:val="00AC6E11"/>
    <w:rsid w:val="00AC6E19"/>
    <w:rsid w:val="00AC6E4F"/>
    <w:rsid w:val="00AC70F4"/>
    <w:rsid w:val="00AC7346"/>
    <w:rsid w:val="00AC73AB"/>
    <w:rsid w:val="00AC7439"/>
    <w:rsid w:val="00AC752A"/>
    <w:rsid w:val="00AC75E2"/>
    <w:rsid w:val="00AC7672"/>
    <w:rsid w:val="00AC771E"/>
    <w:rsid w:val="00AC7775"/>
    <w:rsid w:val="00AC7793"/>
    <w:rsid w:val="00AC79BC"/>
    <w:rsid w:val="00AC7A05"/>
    <w:rsid w:val="00AC7A1C"/>
    <w:rsid w:val="00AC7A69"/>
    <w:rsid w:val="00AC7ADF"/>
    <w:rsid w:val="00AC7AEA"/>
    <w:rsid w:val="00AC7B08"/>
    <w:rsid w:val="00AC7B62"/>
    <w:rsid w:val="00AC7BB4"/>
    <w:rsid w:val="00AC7BBB"/>
    <w:rsid w:val="00AC7C32"/>
    <w:rsid w:val="00AC7EB7"/>
    <w:rsid w:val="00AC7F95"/>
    <w:rsid w:val="00AD0018"/>
    <w:rsid w:val="00AD00F7"/>
    <w:rsid w:val="00AD0104"/>
    <w:rsid w:val="00AD0216"/>
    <w:rsid w:val="00AD0256"/>
    <w:rsid w:val="00AD0349"/>
    <w:rsid w:val="00AD0369"/>
    <w:rsid w:val="00AD0460"/>
    <w:rsid w:val="00AD0466"/>
    <w:rsid w:val="00AD04D1"/>
    <w:rsid w:val="00AD04D2"/>
    <w:rsid w:val="00AD053B"/>
    <w:rsid w:val="00AD0540"/>
    <w:rsid w:val="00AD059A"/>
    <w:rsid w:val="00AD05B9"/>
    <w:rsid w:val="00AD05F1"/>
    <w:rsid w:val="00AD06F6"/>
    <w:rsid w:val="00AD070A"/>
    <w:rsid w:val="00AD0713"/>
    <w:rsid w:val="00AD07FF"/>
    <w:rsid w:val="00AD0828"/>
    <w:rsid w:val="00AD0927"/>
    <w:rsid w:val="00AD0A6F"/>
    <w:rsid w:val="00AD0B02"/>
    <w:rsid w:val="00AD0B4E"/>
    <w:rsid w:val="00AD0B75"/>
    <w:rsid w:val="00AD0BB3"/>
    <w:rsid w:val="00AD0BF4"/>
    <w:rsid w:val="00AD0C19"/>
    <w:rsid w:val="00AD0C4B"/>
    <w:rsid w:val="00AD0CC4"/>
    <w:rsid w:val="00AD0D18"/>
    <w:rsid w:val="00AD0D21"/>
    <w:rsid w:val="00AD0D36"/>
    <w:rsid w:val="00AD0E46"/>
    <w:rsid w:val="00AD0E7E"/>
    <w:rsid w:val="00AD0FA5"/>
    <w:rsid w:val="00AD1059"/>
    <w:rsid w:val="00AD106D"/>
    <w:rsid w:val="00AD10B5"/>
    <w:rsid w:val="00AD1149"/>
    <w:rsid w:val="00AD1165"/>
    <w:rsid w:val="00AD122C"/>
    <w:rsid w:val="00AD1356"/>
    <w:rsid w:val="00AD1367"/>
    <w:rsid w:val="00AD1466"/>
    <w:rsid w:val="00AD1469"/>
    <w:rsid w:val="00AD1630"/>
    <w:rsid w:val="00AD1715"/>
    <w:rsid w:val="00AD1769"/>
    <w:rsid w:val="00AD1775"/>
    <w:rsid w:val="00AD192F"/>
    <w:rsid w:val="00AD19B0"/>
    <w:rsid w:val="00AD19F9"/>
    <w:rsid w:val="00AD1A1F"/>
    <w:rsid w:val="00AD1ACC"/>
    <w:rsid w:val="00AD1B50"/>
    <w:rsid w:val="00AD1BA9"/>
    <w:rsid w:val="00AD1BF0"/>
    <w:rsid w:val="00AD1BF3"/>
    <w:rsid w:val="00AD1C1C"/>
    <w:rsid w:val="00AD1C5E"/>
    <w:rsid w:val="00AD1C74"/>
    <w:rsid w:val="00AD1D2A"/>
    <w:rsid w:val="00AD1D76"/>
    <w:rsid w:val="00AD1F65"/>
    <w:rsid w:val="00AD201C"/>
    <w:rsid w:val="00AD2042"/>
    <w:rsid w:val="00AD2114"/>
    <w:rsid w:val="00AD216F"/>
    <w:rsid w:val="00AD2266"/>
    <w:rsid w:val="00AD2374"/>
    <w:rsid w:val="00AD23F1"/>
    <w:rsid w:val="00AD24A5"/>
    <w:rsid w:val="00AD250B"/>
    <w:rsid w:val="00AD258E"/>
    <w:rsid w:val="00AD25CE"/>
    <w:rsid w:val="00AD2605"/>
    <w:rsid w:val="00AD26B6"/>
    <w:rsid w:val="00AD26CD"/>
    <w:rsid w:val="00AD26F6"/>
    <w:rsid w:val="00AD276A"/>
    <w:rsid w:val="00AD2804"/>
    <w:rsid w:val="00AD289F"/>
    <w:rsid w:val="00AD28DB"/>
    <w:rsid w:val="00AD28E3"/>
    <w:rsid w:val="00AD2A43"/>
    <w:rsid w:val="00AD2A59"/>
    <w:rsid w:val="00AD2A8A"/>
    <w:rsid w:val="00AD2B67"/>
    <w:rsid w:val="00AD2B8D"/>
    <w:rsid w:val="00AD2C4A"/>
    <w:rsid w:val="00AD2C99"/>
    <w:rsid w:val="00AD2C9B"/>
    <w:rsid w:val="00AD2D10"/>
    <w:rsid w:val="00AD2D92"/>
    <w:rsid w:val="00AD2E37"/>
    <w:rsid w:val="00AD2E63"/>
    <w:rsid w:val="00AD2EA0"/>
    <w:rsid w:val="00AD2EA1"/>
    <w:rsid w:val="00AD2EB0"/>
    <w:rsid w:val="00AD2EBB"/>
    <w:rsid w:val="00AD2F3C"/>
    <w:rsid w:val="00AD3017"/>
    <w:rsid w:val="00AD30D9"/>
    <w:rsid w:val="00AD30DE"/>
    <w:rsid w:val="00AD3235"/>
    <w:rsid w:val="00AD32C4"/>
    <w:rsid w:val="00AD3329"/>
    <w:rsid w:val="00AD334E"/>
    <w:rsid w:val="00AD3374"/>
    <w:rsid w:val="00AD3378"/>
    <w:rsid w:val="00AD33B9"/>
    <w:rsid w:val="00AD3412"/>
    <w:rsid w:val="00AD3440"/>
    <w:rsid w:val="00AD3577"/>
    <w:rsid w:val="00AD363B"/>
    <w:rsid w:val="00AD3692"/>
    <w:rsid w:val="00AD36EC"/>
    <w:rsid w:val="00AD37A8"/>
    <w:rsid w:val="00AD37E3"/>
    <w:rsid w:val="00AD384A"/>
    <w:rsid w:val="00AD38B5"/>
    <w:rsid w:val="00AD38D1"/>
    <w:rsid w:val="00AD38EE"/>
    <w:rsid w:val="00AD3A3F"/>
    <w:rsid w:val="00AD3AA6"/>
    <w:rsid w:val="00AD3AB9"/>
    <w:rsid w:val="00AD3C3E"/>
    <w:rsid w:val="00AD3D05"/>
    <w:rsid w:val="00AD3E72"/>
    <w:rsid w:val="00AD3EBC"/>
    <w:rsid w:val="00AD3ECF"/>
    <w:rsid w:val="00AD3F8F"/>
    <w:rsid w:val="00AD3FBD"/>
    <w:rsid w:val="00AD4016"/>
    <w:rsid w:val="00AD405B"/>
    <w:rsid w:val="00AD4095"/>
    <w:rsid w:val="00AD40CD"/>
    <w:rsid w:val="00AD412B"/>
    <w:rsid w:val="00AD4233"/>
    <w:rsid w:val="00AD4286"/>
    <w:rsid w:val="00AD43E8"/>
    <w:rsid w:val="00AD440B"/>
    <w:rsid w:val="00AD4426"/>
    <w:rsid w:val="00AD44C3"/>
    <w:rsid w:val="00AD45BE"/>
    <w:rsid w:val="00AD45DB"/>
    <w:rsid w:val="00AD45F4"/>
    <w:rsid w:val="00AD465B"/>
    <w:rsid w:val="00AD4698"/>
    <w:rsid w:val="00AD46C2"/>
    <w:rsid w:val="00AD46E3"/>
    <w:rsid w:val="00AD47F6"/>
    <w:rsid w:val="00AD4800"/>
    <w:rsid w:val="00AD488A"/>
    <w:rsid w:val="00AD4938"/>
    <w:rsid w:val="00AD495E"/>
    <w:rsid w:val="00AD4986"/>
    <w:rsid w:val="00AD4ADC"/>
    <w:rsid w:val="00AD4B28"/>
    <w:rsid w:val="00AD4B8B"/>
    <w:rsid w:val="00AD4C5E"/>
    <w:rsid w:val="00AD4C74"/>
    <w:rsid w:val="00AD4D59"/>
    <w:rsid w:val="00AD4D5E"/>
    <w:rsid w:val="00AD4E3E"/>
    <w:rsid w:val="00AD4E54"/>
    <w:rsid w:val="00AD4E55"/>
    <w:rsid w:val="00AD4E89"/>
    <w:rsid w:val="00AD4EBF"/>
    <w:rsid w:val="00AD4FC3"/>
    <w:rsid w:val="00AD50E1"/>
    <w:rsid w:val="00AD5214"/>
    <w:rsid w:val="00AD5231"/>
    <w:rsid w:val="00AD526D"/>
    <w:rsid w:val="00AD537F"/>
    <w:rsid w:val="00AD541B"/>
    <w:rsid w:val="00AD54C6"/>
    <w:rsid w:val="00AD54E5"/>
    <w:rsid w:val="00AD558E"/>
    <w:rsid w:val="00AD55C8"/>
    <w:rsid w:val="00AD5675"/>
    <w:rsid w:val="00AD572E"/>
    <w:rsid w:val="00AD5830"/>
    <w:rsid w:val="00AD58C9"/>
    <w:rsid w:val="00AD58E5"/>
    <w:rsid w:val="00AD58F0"/>
    <w:rsid w:val="00AD5973"/>
    <w:rsid w:val="00AD5A2B"/>
    <w:rsid w:val="00AD5B46"/>
    <w:rsid w:val="00AD5BA3"/>
    <w:rsid w:val="00AD5BCF"/>
    <w:rsid w:val="00AD5C58"/>
    <w:rsid w:val="00AD5C78"/>
    <w:rsid w:val="00AD5ED1"/>
    <w:rsid w:val="00AD604D"/>
    <w:rsid w:val="00AD604E"/>
    <w:rsid w:val="00AD605F"/>
    <w:rsid w:val="00AD6113"/>
    <w:rsid w:val="00AD6238"/>
    <w:rsid w:val="00AD623D"/>
    <w:rsid w:val="00AD624A"/>
    <w:rsid w:val="00AD6259"/>
    <w:rsid w:val="00AD6331"/>
    <w:rsid w:val="00AD640E"/>
    <w:rsid w:val="00AD6477"/>
    <w:rsid w:val="00AD64B5"/>
    <w:rsid w:val="00AD65DB"/>
    <w:rsid w:val="00AD663C"/>
    <w:rsid w:val="00AD6751"/>
    <w:rsid w:val="00AD67B1"/>
    <w:rsid w:val="00AD67B2"/>
    <w:rsid w:val="00AD67C3"/>
    <w:rsid w:val="00AD680C"/>
    <w:rsid w:val="00AD680F"/>
    <w:rsid w:val="00AD6896"/>
    <w:rsid w:val="00AD68CE"/>
    <w:rsid w:val="00AD699F"/>
    <w:rsid w:val="00AD6A38"/>
    <w:rsid w:val="00AD6A85"/>
    <w:rsid w:val="00AD6AE0"/>
    <w:rsid w:val="00AD6B35"/>
    <w:rsid w:val="00AD6B55"/>
    <w:rsid w:val="00AD6B6B"/>
    <w:rsid w:val="00AD6C99"/>
    <w:rsid w:val="00AD6DE2"/>
    <w:rsid w:val="00AD6F2E"/>
    <w:rsid w:val="00AD6FF6"/>
    <w:rsid w:val="00AD706D"/>
    <w:rsid w:val="00AD70C0"/>
    <w:rsid w:val="00AD712D"/>
    <w:rsid w:val="00AD7188"/>
    <w:rsid w:val="00AD71B3"/>
    <w:rsid w:val="00AD71D2"/>
    <w:rsid w:val="00AD71F3"/>
    <w:rsid w:val="00AD7206"/>
    <w:rsid w:val="00AD7240"/>
    <w:rsid w:val="00AD72B0"/>
    <w:rsid w:val="00AD72B6"/>
    <w:rsid w:val="00AD72FA"/>
    <w:rsid w:val="00AD745B"/>
    <w:rsid w:val="00AD746F"/>
    <w:rsid w:val="00AD7510"/>
    <w:rsid w:val="00AD75ED"/>
    <w:rsid w:val="00AD7655"/>
    <w:rsid w:val="00AD76CB"/>
    <w:rsid w:val="00AD774A"/>
    <w:rsid w:val="00AD78BD"/>
    <w:rsid w:val="00AD79DD"/>
    <w:rsid w:val="00AD7AA0"/>
    <w:rsid w:val="00AD7BD1"/>
    <w:rsid w:val="00AD7BF0"/>
    <w:rsid w:val="00AD7C87"/>
    <w:rsid w:val="00AD7E23"/>
    <w:rsid w:val="00AD7E47"/>
    <w:rsid w:val="00AD7E7D"/>
    <w:rsid w:val="00AD7EA0"/>
    <w:rsid w:val="00AD7EAB"/>
    <w:rsid w:val="00AD7F64"/>
    <w:rsid w:val="00AE0008"/>
    <w:rsid w:val="00AE0241"/>
    <w:rsid w:val="00AE034C"/>
    <w:rsid w:val="00AE03E4"/>
    <w:rsid w:val="00AE03FB"/>
    <w:rsid w:val="00AE04F6"/>
    <w:rsid w:val="00AE0545"/>
    <w:rsid w:val="00AE0630"/>
    <w:rsid w:val="00AE0671"/>
    <w:rsid w:val="00AE07F3"/>
    <w:rsid w:val="00AE0840"/>
    <w:rsid w:val="00AE0851"/>
    <w:rsid w:val="00AE0A5C"/>
    <w:rsid w:val="00AE0A9E"/>
    <w:rsid w:val="00AE0B13"/>
    <w:rsid w:val="00AE0B39"/>
    <w:rsid w:val="00AE0B5E"/>
    <w:rsid w:val="00AE0B75"/>
    <w:rsid w:val="00AE0BB3"/>
    <w:rsid w:val="00AE0C02"/>
    <w:rsid w:val="00AE0C49"/>
    <w:rsid w:val="00AE0CB7"/>
    <w:rsid w:val="00AE0D3A"/>
    <w:rsid w:val="00AE0D6C"/>
    <w:rsid w:val="00AE0D73"/>
    <w:rsid w:val="00AE0E3D"/>
    <w:rsid w:val="00AE0E63"/>
    <w:rsid w:val="00AE0EA4"/>
    <w:rsid w:val="00AE0EB3"/>
    <w:rsid w:val="00AE0F2F"/>
    <w:rsid w:val="00AE0FE2"/>
    <w:rsid w:val="00AE10E4"/>
    <w:rsid w:val="00AE10F2"/>
    <w:rsid w:val="00AE11A5"/>
    <w:rsid w:val="00AE1256"/>
    <w:rsid w:val="00AE1370"/>
    <w:rsid w:val="00AE13B0"/>
    <w:rsid w:val="00AE1483"/>
    <w:rsid w:val="00AE14A8"/>
    <w:rsid w:val="00AE1631"/>
    <w:rsid w:val="00AE163D"/>
    <w:rsid w:val="00AE1655"/>
    <w:rsid w:val="00AE1673"/>
    <w:rsid w:val="00AE16B9"/>
    <w:rsid w:val="00AE17A7"/>
    <w:rsid w:val="00AE17F9"/>
    <w:rsid w:val="00AE1891"/>
    <w:rsid w:val="00AE1A5A"/>
    <w:rsid w:val="00AE1A8C"/>
    <w:rsid w:val="00AE1A99"/>
    <w:rsid w:val="00AE1B1A"/>
    <w:rsid w:val="00AE1C98"/>
    <w:rsid w:val="00AE1DB7"/>
    <w:rsid w:val="00AE1DD5"/>
    <w:rsid w:val="00AE1DDB"/>
    <w:rsid w:val="00AE1E1E"/>
    <w:rsid w:val="00AE1E64"/>
    <w:rsid w:val="00AE1F02"/>
    <w:rsid w:val="00AE1F58"/>
    <w:rsid w:val="00AE1F96"/>
    <w:rsid w:val="00AE2021"/>
    <w:rsid w:val="00AE20EB"/>
    <w:rsid w:val="00AE211B"/>
    <w:rsid w:val="00AE21A5"/>
    <w:rsid w:val="00AE21C9"/>
    <w:rsid w:val="00AE2256"/>
    <w:rsid w:val="00AE22E8"/>
    <w:rsid w:val="00AE23C4"/>
    <w:rsid w:val="00AE2403"/>
    <w:rsid w:val="00AE2436"/>
    <w:rsid w:val="00AE24C7"/>
    <w:rsid w:val="00AE2565"/>
    <w:rsid w:val="00AE27B2"/>
    <w:rsid w:val="00AE27D3"/>
    <w:rsid w:val="00AE28C1"/>
    <w:rsid w:val="00AE28C3"/>
    <w:rsid w:val="00AE29BF"/>
    <w:rsid w:val="00AE2A20"/>
    <w:rsid w:val="00AE2A7D"/>
    <w:rsid w:val="00AE2A9D"/>
    <w:rsid w:val="00AE2B6D"/>
    <w:rsid w:val="00AE2BAB"/>
    <w:rsid w:val="00AE2C16"/>
    <w:rsid w:val="00AE2D56"/>
    <w:rsid w:val="00AE2DB3"/>
    <w:rsid w:val="00AE2DCE"/>
    <w:rsid w:val="00AE2E36"/>
    <w:rsid w:val="00AE2E55"/>
    <w:rsid w:val="00AE2E9F"/>
    <w:rsid w:val="00AE2F90"/>
    <w:rsid w:val="00AE2F9A"/>
    <w:rsid w:val="00AE315E"/>
    <w:rsid w:val="00AE31DB"/>
    <w:rsid w:val="00AE3226"/>
    <w:rsid w:val="00AE3227"/>
    <w:rsid w:val="00AE323A"/>
    <w:rsid w:val="00AE3243"/>
    <w:rsid w:val="00AE32A6"/>
    <w:rsid w:val="00AE32BE"/>
    <w:rsid w:val="00AE3317"/>
    <w:rsid w:val="00AE3351"/>
    <w:rsid w:val="00AE3363"/>
    <w:rsid w:val="00AE3397"/>
    <w:rsid w:val="00AE33AC"/>
    <w:rsid w:val="00AE33BC"/>
    <w:rsid w:val="00AE33EE"/>
    <w:rsid w:val="00AE3565"/>
    <w:rsid w:val="00AE35DE"/>
    <w:rsid w:val="00AE373E"/>
    <w:rsid w:val="00AE374C"/>
    <w:rsid w:val="00AE377F"/>
    <w:rsid w:val="00AE37D1"/>
    <w:rsid w:val="00AE37FE"/>
    <w:rsid w:val="00AE38E8"/>
    <w:rsid w:val="00AE398B"/>
    <w:rsid w:val="00AE3A24"/>
    <w:rsid w:val="00AE3A7B"/>
    <w:rsid w:val="00AE3A8A"/>
    <w:rsid w:val="00AE3AC2"/>
    <w:rsid w:val="00AE3B09"/>
    <w:rsid w:val="00AE3B18"/>
    <w:rsid w:val="00AE3B2A"/>
    <w:rsid w:val="00AE3B5F"/>
    <w:rsid w:val="00AE3B70"/>
    <w:rsid w:val="00AE3B91"/>
    <w:rsid w:val="00AE3B99"/>
    <w:rsid w:val="00AE3C3E"/>
    <w:rsid w:val="00AE3D36"/>
    <w:rsid w:val="00AE3D3E"/>
    <w:rsid w:val="00AE3D40"/>
    <w:rsid w:val="00AE3EC8"/>
    <w:rsid w:val="00AE3F2A"/>
    <w:rsid w:val="00AE3F2C"/>
    <w:rsid w:val="00AE4032"/>
    <w:rsid w:val="00AE4038"/>
    <w:rsid w:val="00AE40DF"/>
    <w:rsid w:val="00AE4206"/>
    <w:rsid w:val="00AE4224"/>
    <w:rsid w:val="00AE42C9"/>
    <w:rsid w:val="00AE42E5"/>
    <w:rsid w:val="00AE431C"/>
    <w:rsid w:val="00AE4374"/>
    <w:rsid w:val="00AE43A1"/>
    <w:rsid w:val="00AE44D1"/>
    <w:rsid w:val="00AE4509"/>
    <w:rsid w:val="00AE4621"/>
    <w:rsid w:val="00AE46D0"/>
    <w:rsid w:val="00AE4769"/>
    <w:rsid w:val="00AE488F"/>
    <w:rsid w:val="00AE489E"/>
    <w:rsid w:val="00AE48E0"/>
    <w:rsid w:val="00AE4924"/>
    <w:rsid w:val="00AE4942"/>
    <w:rsid w:val="00AE4A67"/>
    <w:rsid w:val="00AE4AD6"/>
    <w:rsid w:val="00AE4C4E"/>
    <w:rsid w:val="00AE4D41"/>
    <w:rsid w:val="00AE4D8D"/>
    <w:rsid w:val="00AE4F6F"/>
    <w:rsid w:val="00AE4F8C"/>
    <w:rsid w:val="00AE5037"/>
    <w:rsid w:val="00AE5062"/>
    <w:rsid w:val="00AE50D3"/>
    <w:rsid w:val="00AE50FB"/>
    <w:rsid w:val="00AE517E"/>
    <w:rsid w:val="00AE51E6"/>
    <w:rsid w:val="00AE522B"/>
    <w:rsid w:val="00AE5232"/>
    <w:rsid w:val="00AE52C0"/>
    <w:rsid w:val="00AE52FF"/>
    <w:rsid w:val="00AE530F"/>
    <w:rsid w:val="00AE538F"/>
    <w:rsid w:val="00AE53C3"/>
    <w:rsid w:val="00AE5413"/>
    <w:rsid w:val="00AE54A5"/>
    <w:rsid w:val="00AE552A"/>
    <w:rsid w:val="00AE5547"/>
    <w:rsid w:val="00AE557A"/>
    <w:rsid w:val="00AE576D"/>
    <w:rsid w:val="00AE5820"/>
    <w:rsid w:val="00AE5858"/>
    <w:rsid w:val="00AE58AF"/>
    <w:rsid w:val="00AE5952"/>
    <w:rsid w:val="00AE5A83"/>
    <w:rsid w:val="00AE5B00"/>
    <w:rsid w:val="00AE5B6B"/>
    <w:rsid w:val="00AE5B9E"/>
    <w:rsid w:val="00AE5BB2"/>
    <w:rsid w:val="00AE5BBF"/>
    <w:rsid w:val="00AE5CAE"/>
    <w:rsid w:val="00AE5CDC"/>
    <w:rsid w:val="00AE5CE0"/>
    <w:rsid w:val="00AE5CE4"/>
    <w:rsid w:val="00AE5D40"/>
    <w:rsid w:val="00AE5DB7"/>
    <w:rsid w:val="00AE5DE0"/>
    <w:rsid w:val="00AE5DE5"/>
    <w:rsid w:val="00AE5E3B"/>
    <w:rsid w:val="00AE5E70"/>
    <w:rsid w:val="00AE5F0C"/>
    <w:rsid w:val="00AE6029"/>
    <w:rsid w:val="00AE60D0"/>
    <w:rsid w:val="00AE616B"/>
    <w:rsid w:val="00AE61B2"/>
    <w:rsid w:val="00AE61F9"/>
    <w:rsid w:val="00AE62D5"/>
    <w:rsid w:val="00AE6394"/>
    <w:rsid w:val="00AE64D2"/>
    <w:rsid w:val="00AE64F1"/>
    <w:rsid w:val="00AE656D"/>
    <w:rsid w:val="00AE6627"/>
    <w:rsid w:val="00AE66C2"/>
    <w:rsid w:val="00AE66CE"/>
    <w:rsid w:val="00AE66F6"/>
    <w:rsid w:val="00AE670F"/>
    <w:rsid w:val="00AE67BA"/>
    <w:rsid w:val="00AE68AA"/>
    <w:rsid w:val="00AE695E"/>
    <w:rsid w:val="00AE69A9"/>
    <w:rsid w:val="00AE6B10"/>
    <w:rsid w:val="00AE6BE7"/>
    <w:rsid w:val="00AE6BE9"/>
    <w:rsid w:val="00AE6C45"/>
    <w:rsid w:val="00AE6CE0"/>
    <w:rsid w:val="00AE6D37"/>
    <w:rsid w:val="00AE6D69"/>
    <w:rsid w:val="00AE6DDC"/>
    <w:rsid w:val="00AE6E5B"/>
    <w:rsid w:val="00AE6EBD"/>
    <w:rsid w:val="00AE6EEC"/>
    <w:rsid w:val="00AE70E9"/>
    <w:rsid w:val="00AE7277"/>
    <w:rsid w:val="00AE72A5"/>
    <w:rsid w:val="00AE72EA"/>
    <w:rsid w:val="00AE7454"/>
    <w:rsid w:val="00AE748F"/>
    <w:rsid w:val="00AE7533"/>
    <w:rsid w:val="00AE75B8"/>
    <w:rsid w:val="00AE75E5"/>
    <w:rsid w:val="00AE7659"/>
    <w:rsid w:val="00AE76F4"/>
    <w:rsid w:val="00AE773C"/>
    <w:rsid w:val="00AE77DA"/>
    <w:rsid w:val="00AE77E1"/>
    <w:rsid w:val="00AE77F0"/>
    <w:rsid w:val="00AE781D"/>
    <w:rsid w:val="00AE7903"/>
    <w:rsid w:val="00AE79A8"/>
    <w:rsid w:val="00AE79C3"/>
    <w:rsid w:val="00AE79F2"/>
    <w:rsid w:val="00AE7A5C"/>
    <w:rsid w:val="00AE7A70"/>
    <w:rsid w:val="00AE7C0A"/>
    <w:rsid w:val="00AE7C72"/>
    <w:rsid w:val="00AE7E29"/>
    <w:rsid w:val="00AE7E91"/>
    <w:rsid w:val="00AE7EAA"/>
    <w:rsid w:val="00AE7ECA"/>
    <w:rsid w:val="00AE7EE3"/>
    <w:rsid w:val="00AE7F03"/>
    <w:rsid w:val="00AE7F42"/>
    <w:rsid w:val="00AF007C"/>
    <w:rsid w:val="00AF0382"/>
    <w:rsid w:val="00AF0439"/>
    <w:rsid w:val="00AF04C7"/>
    <w:rsid w:val="00AF051A"/>
    <w:rsid w:val="00AF0557"/>
    <w:rsid w:val="00AF0574"/>
    <w:rsid w:val="00AF059D"/>
    <w:rsid w:val="00AF05C1"/>
    <w:rsid w:val="00AF062C"/>
    <w:rsid w:val="00AF064A"/>
    <w:rsid w:val="00AF06BC"/>
    <w:rsid w:val="00AF0891"/>
    <w:rsid w:val="00AF0A10"/>
    <w:rsid w:val="00AF0A80"/>
    <w:rsid w:val="00AF0C40"/>
    <w:rsid w:val="00AF0CAC"/>
    <w:rsid w:val="00AF0D5F"/>
    <w:rsid w:val="00AF0D9B"/>
    <w:rsid w:val="00AF0DBD"/>
    <w:rsid w:val="00AF0E33"/>
    <w:rsid w:val="00AF0ECF"/>
    <w:rsid w:val="00AF0FAD"/>
    <w:rsid w:val="00AF0FB9"/>
    <w:rsid w:val="00AF10B4"/>
    <w:rsid w:val="00AF10F4"/>
    <w:rsid w:val="00AF1103"/>
    <w:rsid w:val="00AF1196"/>
    <w:rsid w:val="00AF11A8"/>
    <w:rsid w:val="00AF12D5"/>
    <w:rsid w:val="00AF13D1"/>
    <w:rsid w:val="00AF1531"/>
    <w:rsid w:val="00AF1569"/>
    <w:rsid w:val="00AF15A9"/>
    <w:rsid w:val="00AF162E"/>
    <w:rsid w:val="00AF1676"/>
    <w:rsid w:val="00AF1688"/>
    <w:rsid w:val="00AF17DF"/>
    <w:rsid w:val="00AF1851"/>
    <w:rsid w:val="00AF18B1"/>
    <w:rsid w:val="00AF1933"/>
    <w:rsid w:val="00AF194A"/>
    <w:rsid w:val="00AF1A05"/>
    <w:rsid w:val="00AF1A9F"/>
    <w:rsid w:val="00AF1ADE"/>
    <w:rsid w:val="00AF1B28"/>
    <w:rsid w:val="00AF1B5A"/>
    <w:rsid w:val="00AF1D06"/>
    <w:rsid w:val="00AF1DA4"/>
    <w:rsid w:val="00AF1E1E"/>
    <w:rsid w:val="00AF1E2F"/>
    <w:rsid w:val="00AF1EA5"/>
    <w:rsid w:val="00AF1F71"/>
    <w:rsid w:val="00AF1F87"/>
    <w:rsid w:val="00AF1F9F"/>
    <w:rsid w:val="00AF1FEF"/>
    <w:rsid w:val="00AF2043"/>
    <w:rsid w:val="00AF2097"/>
    <w:rsid w:val="00AF21D1"/>
    <w:rsid w:val="00AF2219"/>
    <w:rsid w:val="00AF22FF"/>
    <w:rsid w:val="00AF2315"/>
    <w:rsid w:val="00AF238E"/>
    <w:rsid w:val="00AF240A"/>
    <w:rsid w:val="00AF2450"/>
    <w:rsid w:val="00AF24DE"/>
    <w:rsid w:val="00AF24EA"/>
    <w:rsid w:val="00AF2573"/>
    <w:rsid w:val="00AF262B"/>
    <w:rsid w:val="00AF2686"/>
    <w:rsid w:val="00AF279C"/>
    <w:rsid w:val="00AF2819"/>
    <w:rsid w:val="00AF28F5"/>
    <w:rsid w:val="00AF2900"/>
    <w:rsid w:val="00AF2937"/>
    <w:rsid w:val="00AF2949"/>
    <w:rsid w:val="00AF296A"/>
    <w:rsid w:val="00AF2B3C"/>
    <w:rsid w:val="00AF2BC1"/>
    <w:rsid w:val="00AF2C39"/>
    <w:rsid w:val="00AF2C4F"/>
    <w:rsid w:val="00AF2CE6"/>
    <w:rsid w:val="00AF2D41"/>
    <w:rsid w:val="00AF2DA6"/>
    <w:rsid w:val="00AF2F33"/>
    <w:rsid w:val="00AF307D"/>
    <w:rsid w:val="00AF3111"/>
    <w:rsid w:val="00AF311C"/>
    <w:rsid w:val="00AF3129"/>
    <w:rsid w:val="00AF3150"/>
    <w:rsid w:val="00AF3194"/>
    <w:rsid w:val="00AF31E7"/>
    <w:rsid w:val="00AF31ED"/>
    <w:rsid w:val="00AF333A"/>
    <w:rsid w:val="00AF336B"/>
    <w:rsid w:val="00AF3408"/>
    <w:rsid w:val="00AF3417"/>
    <w:rsid w:val="00AF34BC"/>
    <w:rsid w:val="00AF34DF"/>
    <w:rsid w:val="00AF3561"/>
    <w:rsid w:val="00AF35A0"/>
    <w:rsid w:val="00AF363C"/>
    <w:rsid w:val="00AF3952"/>
    <w:rsid w:val="00AF3967"/>
    <w:rsid w:val="00AF3AA5"/>
    <w:rsid w:val="00AF3D98"/>
    <w:rsid w:val="00AF3DF5"/>
    <w:rsid w:val="00AF3E18"/>
    <w:rsid w:val="00AF3E22"/>
    <w:rsid w:val="00AF3E56"/>
    <w:rsid w:val="00AF3E7F"/>
    <w:rsid w:val="00AF3FAE"/>
    <w:rsid w:val="00AF3FB1"/>
    <w:rsid w:val="00AF408D"/>
    <w:rsid w:val="00AF40C0"/>
    <w:rsid w:val="00AF40E2"/>
    <w:rsid w:val="00AF4107"/>
    <w:rsid w:val="00AF414A"/>
    <w:rsid w:val="00AF4215"/>
    <w:rsid w:val="00AF4251"/>
    <w:rsid w:val="00AF4378"/>
    <w:rsid w:val="00AF4412"/>
    <w:rsid w:val="00AF444C"/>
    <w:rsid w:val="00AF450B"/>
    <w:rsid w:val="00AF45B2"/>
    <w:rsid w:val="00AF45EC"/>
    <w:rsid w:val="00AF4684"/>
    <w:rsid w:val="00AF46D7"/>
    <w:rsid w:val="00AF4751"/>
    <w:rsid w:val="00AF49B6"/>
    <w:rsid w:val="00AF4A7C"/>
    <w:rsid w:val="00AF4A85"/>
    <w:rsid w:val="00AF4DCC"/>
    <w:rsid w:val="00AF4E0A"/>
    <w:rsid w:val="00AF4F5A"/>
    <w:rsid w:val="00AF4F84"/>
    <w:rsid w:val="00AF5068"/>
    <w:rsid w:val="00AF5146"/>
    <w:rsid w:val="00AF5147"/>
    <w:rsid w:val="00AF51FA"/>
    <w:rsid w:val="00AF5214"/>
    <w:rsid w:val="00AF527E"/>
    <w:rsid w:val="00AF52AD"/>
    <w:rsid w:val="00AF52B8"/>
    <w:rsid w:val="00AF5308"/>
    <w:rsid w:val="00AF5325"/>
    <w:rsid w:val="00AF535D"/>
    <w:rsid w:val="00AF53D0"/>
    <w:rsid w:val="00AF5439"/>
    <w:rsid w:val="00AF5518"/>
    <w:rsid w:val="00AF55AE"/>
    <w:rsid w:val="00AF5606"/>
    <w:rsid w:val="00AF5645"/>
    <w:rsid w:val="00AF5652"/>
    <w:rsid w:val="00AF5722"/>
    <w:rsid w:val="00AF57FA"/>
    <w:rsid w:val="00AF58A6"/>
    <w:rsid w:val="00AF5975"/>
    <w:rsid w:val="00AF598B"/>
    <w:rsid w:val="00AF5A84"/>
    <w:rsid w:val="00AF5C08"/>
    <w:rsid w:val="00AF5C75"/>
    <w:rsid w:val="00AF5CC8"/>
    <w:rsid w:val="00AF5CF2"/>
    <w:rsid w:val="00AF5CFA"/>
    <w:rsid w:val="00AF5D98"/>
    <w:rsid w:val="00AF5DB7"/>
    <w:rsid w:val="00AF5F0D"/>
    <w:rsid w:val="00AF5FB2"/>
    <w:rsid w:val="00AF5FD4"/>
    <w:rsid w:val="00AF600F"/>
    <w:rsid w:val="00AF6038"/>
    <w:rsid w:val="00AF60AF"/>
    <w:rsid w:val="00AF60CE"/>
    <w:rsid w:val="00AF6173"/>
    <w:rsid w:val="00AF627C"/>
    <w:rsid w:val="00AF6348"/>
    <w:rsid w:val="00AF638F"/>
    <w:rsid w:val="00AF63F2"/>
    <w:rsid w:val="00AF6622"/>
    <w:rsid w:val="00AF667C"/>
    <w:rsid w:val="00AF688D"/>
    <w:rsid w:val="00AF699A"/>
    <w:rsid w:val="00AF69CE"/>
    <w:rsid w:val="00AF6AC7"/>
    <w:rsid w:val="00AF6B18"/>
    <w:rsid w:val="00AF6BA8"/>
    <w:rsid w:val="00AF6D01"/>
    <w:rsid w:val="00AF6E09"/>
    <w:rsid w:val="00AF6EA6"/>
    <w:rsid w:val="00AF6F2E"/>
    <w:rsid w:val="00AF6F5E"/>
    <w:rsid w:val="00AF6FCD"/>
    <w:rsid w:val="00AF7036"/>
    <w:rsid w:val="00AF7087"/>
    <w:rsid w:val="00AF70BE"/>
    <w:rsid w:val="00AF70E2"/>
    <w:rsid w:val="00AF7118"/>
    <w:rsid w:val="00AF72B4"/>
    <w:rsid w:val="00AF733C"/>
    <w:rsid w:val="00AF7380"/>
    <w:rsid w:val="00AF7438"/>
    <w:rsid w:val="00AF7455"/>
    <w:rsid w:val="00AF7491"/>
    <w:rsid w:val="00AF7563"/>
    <w:rsid w:val="00AF7614"/>
    <w:rsid w:val="00AF7664"/>
    <w:rsid w:val="00AF766C"/>
    <w:rsid w:val="00AF76D2"/>
    <w:rsid w:val="00AF76F9"/>
    <w:rsid w:val="00AF774B"/>
    <w:rsid w:val="00AF7800"/>
    <w:rsid w:val="00AF7868"/>
    <w:rsid w:val="00AF78B2"/>
    <w:rsid w:val="00AF794B"/>
    <w:rsid w:val="00AF7A11"/>
    <w:rsid w:val="00AF7A87"/>
    <w:rsid w:val="00AF7A8A"/>
    <w:rsid w:val="00AF7AD1"/>
    <w:rsid w:val="00AF7C91"/>
    <w:rsid w:val="00AF7D36"/>
    <w:rsid w:val="00AF7DA4"/>
    <w:rsid w:val="00AF7DD9"/>
    <w:rsid w:val="00AF7DE0"/>
    <w:rsid w:val="00AF7E30"/>
    <w:rsid w:val="00AF7EC3"/>
    <w:rsid w:val="00AF7F55"/>
    <w:rsid w:val="00AF7F59"/>
    <w:rsid w:val="00AF7F5E"/>
    <w:rsid w:val="00B00019"/>
    <w:rsid w:val="00B00201"/>
    <w:rsid w:val="00B0027F"/>
    <w:rsid w:val="00B002C0"/>
    <w:rsid w:val="00B00309"/>
    <w:rsid w:val="00B0034C"/>
    <w:rsid w:val="00B003DE"/>
    <w:rsid w:val="00B00437"/>
    <w:rsid w:val="00B00565"/>
    <w:rsid w:val="00B005AA"/>
    <w:rsid w:val="00B00661"/>
    <w:rsid w:val="00B0068E"/>
    <w:rsid w:val="00B00703"/>
    <w:rsid w:val="00B0079C"/>
    <w:rsid w:val="00B007C2"/>
    <w:rsid w:val="00B0081A"/>
    <w:rsid w:val="00B0082C"/>
    <w:rsid w:val="00B00884"/>
    <w:rsid w:val="00B00907"/>
    <w:rsid w:val="00B00977"/>
    <w:rsid w:val="00B00A53"/>
    <w:rsid w:val="00B00B9E"/>
    <w:rsid w:val="00B00C1D"/>
    <w:rsid w:val="00B00E44"/>
    <w:rsid w:val="00B00F1C"/>
    <w:rsid w:val="00B00F28"/>
    <w:rsid w:val="00B00FA2"/>
    <w:rsid w:val="00B010EF"/>
    <w:rsid w:val="00B01116"/>
    <w:rsid w:val="00B01146"/>
    <w:rsid w:val="00B011FB"/>
    <w:rsid w:val="00B012B1"/>
    <w:rsid w:val="00B012D4"/>
    <w:rsid w:val="00B013D9"/>
    <w:rsid w:val="00B013DA"/>
    <w:rsid w:val="00B01524"/>
    <w:rsid w:val="00B0161E"/>
    <w:rsid w:val="00B01628"/>
    <w:rsid w:val="00B01676"/>
    <w:rsid w:val="00B01763"/>
    <w:rsid w:val="00B01778"/>
    <w:rsid w:val="00B01848"/>
    <w:rsid w:val="00B01878"/>
    <w:rsid w:val="00B0196E"/>
    <w:rsid w:val="00B01987"/>
    <w:rsid w:val="00B01A21"/>
    <w:rsid w:val="00B01A3E"/>
    <w:rsid w:val="00B01AF0"/>
    <w:rsid w:val="00B01CE0"/>
    <w:rsid w:val="00B01CE5"/>
    <w:rsid w:val="00B01DB3"/>
    <w:rsid w:val="00B01DCE"/>
    <w:rsid w:val="00B01F72"/>
    <w:rsid w:val="00B01FAF"/>
    <w:rsid w:val="00B020C4"/>
    <w:rsid w:val="00B020D6"/>
    <w:rsid w:val="00B021AF"/>
    <w:rsid w:val="00B021D5"/>
    <w:rsid w:val="00B02254"/>
    <w:rsid w:val="00B022FE"/>
    <w:rsid w:val="00B0232D"/>
    <w:rsid w:val="00B0245D"/>
    <w:rsid w:val="00B024DE"/>
    <w:rsid w:val="00B024E1"/>
    <w:rsid w:val="00B0252D"/>
    <w:rsid w:val="00B02612"/>
    <w:rsid w:val="00B0275E"/>
    <w:rsid w:val="00B02780"/>
    <w:rsid w:val="00B027B5"/>
    <w:rsid w:val="00B0281C"/>
    <w:rsid w:val="00B02910"/>
    <w:rsid w:val="00B02B99"/>
    <w:rsid w:val="00B02C44"/>
    <w:rsid w:val="00B02CAA"/>
    <w:rsid w:val="00B02CFB"/>
    <w:rsid w:val="00B02D39"/>
    <w:rsid w:val="00B02D4C"/>
    <w:rsid w:val="00B02DE0"/>
    <w:rsid w:val="00B02DF1"/>
    <w:rsid w:val="00B02E18"/>
    <w:rsid w:val="00B02EFD"/>
    <w:rsid w:val="00B02F4A"/>
    <w:rsid w:val="00B0304C"/>
    <w:rsid w:val="00B03104"/>
    <w:rsid w:val="00B031D3"/>
    <w:rsid w:val="00B0322A"/>
    <w:rsid w:val="00B032EF"/>
    <w:rsid w:val="00B03390"/>
    <w:rsid w:val="00B033A9"/>
    <w:rsid w:val="00B03465"/>
    <w:rsid w:val="00B03469"/>
    <w:rsid w:val="00B034BB"/>
    <w:rsid w:val="00B034BF"/>
    <w:rsid w:val="00B034FD"/>
    <w:rsid w:val="00B03503"/>
    <w:rsid w:val="00B03835"/>
    <w:rsid w:val="00B038E2"/>
    <w:rsid w:val="00B038E7"/>
    <w:rsid w:val="00B03906"/>
    <w:rsid w:val="00B0392B"/>
    <w:rsid w:val="00B03939"/>
    <w:rsid w:val="00B03A96"/>
    <w:rsid w:val="00B03ABD"/>
    <w:rsid w:val="00B03AE9"/>
    <w:rsid w:val="00B03B07"/>
    <w:rsid w:val="00B03C01"/>
    <w:rsid w:val="00B03C39"/>
    <w:rsid w:val="00B03C76"/>
    <w:rsid w:val="00B03D47"/>
    <w:rsid w:val="00B03D78"/>
    <w:rsid w:val="00B03DD6"/>
    <w:rsid w:val="00B03FA2"/>
    <w:rsid w:val="00B03FD4"/>
    <w:rsid w:val="00B04090"/>
    <w:rsid w:val="00B040C0"/>
    <w:rsid w:val="00B040EA"/>
    <w:rsid w:val="00B0416D"/>
    <w:rsid w:val="00B041AB"/>
    <w:rsid w:val="00B04204"/>
    <w:rsid w:val="00B04250"/>
    <w:rsid w:val="00B04251"/>
    <w:rsid w:val="00B04272"/>
    <w:rsid w:val="00B0427C"/>
    <w:rsid w:val="00B042DB"/>
    <w:rsid w:val="00B0431B"/>
    <w:rsid w:val="00B04462"/>
    <w:rsid w:val="00B04468"/>
    <w:rsid w:val="00B044C4"/>
    <w:rsid w:val="00B04536"/>
    <w:rsid w:val="00B04585"/>
    <w:rsid w:val="00B045FC"/>
    <w:rsid w:val="00B04674"/>
    <w:rsid w:val="00B0476A"/>
    <w:rsid w:val="00B047EB"/>
    <w:rsid w:val="00B04802"/>
    <w:rsid w:val="00B0482E"/>
    <w:rsid w:val="00B04882"/>
    <w:rsid w:val="00B04884"/>
    <w:rsid w:val="00B04893"/>
    <w:rsid w:val="00B048F5"/>
    <w:rsid w:val="00B04915"/>
    <w:rsid w:val="00B04A31"/>
    <w:rsid w:val="00B04A77"/>
    <w:rsid w:val="00B04AE6"/>
    <w:rsid w:val="00B04B25"/>
    <w:rsid w:val="00B04B7A"/>
    <w:rsid w:val="00B04BE7"/>
    <w:rsid w:val="00B04C40"/>
    <w:rsid w:val="00B04D36"/>
    <w:rsid w:val="00B04D66"/>
    <w:rsid w:val="00B04E27"/>
    <w:rsid w:val="00B04E2F"/>
    <w:rsid w:val="00B04E54"/>
    <w:rsid w:val="00B04E63"/>
    <w:rsid w:val="00B04EA3"/>
    <w:rsid w:val="00B04EB2"/>
    <w:rsid w:val="00B04F6D"/>
    <w:rsid w:val="00B04F73"/>
    <w:rsid w:val="00B04F85"/>
    <w:rsid w:val="00B05013"/>
    <w:rsid w:val="00B0508F"/>
    <w:rsid w:val="00B05142"/>
    <w:rsid w:val="00B0516B"/>
    <w:rsid w:val="00B051DC"/>
    <w:rsid w:val="00B05289"/>
    <w:rsid w:val="00B052D5"/>
    <w:rsid w:val="00B052EB"/>
    <w:rsid w:val="00B0540C"/>
    <w:rsid w:val="00B0544D"/>
    <w:rsid w:val="00B0545C"/>
    <w:rsid w:val="00B0545E"/>
    <w:rsid w:val="00B05500"/>
    <w:rsid w:val="00B05699"/>
    <w:rsid w:val="00B05733"/>
    <w:rsid w:val="00B057BE"/>
    <w:rsid w:val="00B057E2"/>
    <w:rsid w:val="00B057E4"/>
    <w:rsid w:val="00B05809"/>
    <w:rsid w:val="00B05858"/>
    <w:rsid w:val="00B05873"/>
    <w:rsid w:val="00B058DA"/>
    <w:rsid w:val="00B058E3"/>
    <w:rsid w:val="00B0596C"/>
    <w:rsid w:val="00B05A28"/>
    <w:rsid w:val="00B05A46"/>
    <w:rsid w:val="00B05A56"/>
    <w:rsid w:val="00B05B5C"/>
    <w:rsid w:val="00B05BA6"/>
    <w:rsid w:val="00B05C90"/>
    <w:rsid w:val="00B05D93"/>
    <w:rsid w:val="00B05EB3"/>
    <w:rsid w:val="00B05F08"/>
    <w:rsid w:val="00B05F3F"/>
    <w:rsid w:val="00B05FAB"/>
    <w:rsid w:val="00B06033"/>
    <w:rsid w:val="00B06039"/>
    <w:rsid w:val="00B06064"/>
    <w:rsid w:val="00B060EF"/>
    <w:rsid w:val="00B0619F"/>
    <w:rsid w:val="00B0622D"/>
    <w:rsid w:val="00B06275"/>
    <w:rsid w:val="00B06282"/>
    <w:rsid w:val="00B06291"/>
    <w:rsid w:val="00B06303"/>
    <w:rsid w:val="00B0639B"/>
    <w:rsid w:val="00B063C7"/>
    <w:rsid w:val="00B0641C"/>
    <w:rsid w:val="00B0641F"/>
    <w:rsid w:val="00B06482"/>
    <w:rsid w:val="00B06494"/>
    <w:rsid w:val="00B06520"/>
    <w:rsid w:val="00B065ED"/>
    <w:rsid w:val="00B0673C"/>
    <w:rsid w:val="00B06781"/>
    <w:rsid w:val="00B067FB"/>
    <w:rsid w:val="00B06836"/>
    <w:rsid w:val="00B0684F"/>
    <w:rsid w:val="00B068B0"/>
    <w:rsid w:val="00B06997"/>
    <w:rsid w:val="00B06A95"/>
    <w:rsid w:val="00B06B30"/>
    <w:rsid w:val="00B06B8A"/>
    <w:rsid w:val="00B06B8C"/>
    <w:rsid w:val="00B06C32"/>
    <w:rsid w:val="00B06C9D"/>
    <w:rsid w:val="00B06CDC"/>
    <w:rsid w:val="00B06D30"/>
    <w:rsid w:val="00B06D62"/>
    <w:rsid w:val="00B06D67"/>
    <w:rsid w:val="00B06E55"/>
    <w:rsid w:val="00B06EC3"/>
    <w:rsid w:val="00B07014"/>
    <w:rsid w:val="00B07045"/>
    <w:rsid w:val="00B07055"/>
    <w:rsid w:val="00B070C4"/>
    <w:rsid w:val="00B071BB"/>
    <w:rsid w:val="00B071C6"/>
    <w:rsid w:val="00B0726B"/>
    <w:rsid w:val="00B0727D"/>
    <w:rsid w:val="00B07308"/>
    <w:rsid w:val="00B073EE"/>
    <w:rsid w:val="00B0744D"/>
    <w:rsid w:val="00B07469"/>
    <w:rsid w:val="00B075B5"/>
    <w:rsid w:val="00B075D4"/>
    <w:rsid w:val="00B07608"/>
    <w:rsid w:val="00B0767A"/>
    <w:rsid w:val="00B07A3C"/>
    <w:rsid w:val="00B07A70"/>
    <w:rsid w:val="00B07A78"/>
    <w:rsid w:val="00B07C4D"/>
    <w:rsid w:val="00B07D57"/>
    <w:rsid w:val="00B07DAA"/>
    <w:rsid w:val="00B07DCA"/>
    <w:rsid w:val="00B07DD5"/>
    <w:rsid w:val="00B07E06"/>
    <w:rsid w:val="00B07EB5"/>
    <w:rsid w:val="00B07EF6"/>
    <w:rsid w:val="00B07FDE"/>
    <w:rsid w:val="00B10001"/>
    <w:rsid w:val="00B10074"/>
    <w:rsid w:val="00B10131"/>
    <w:rsid w:val="00B10208"/>
    <w:rsid w:val="00B10239"/>
    <w:rsid w:val="00B102A4"/>
    <w:rsid w:val="00B1038B"/>
    <w:rsid w:val="00B10392"/>
    <w:rsid w:val="00B10467"/>
    <w:rsid w:val="00B10483"/>
    <w:rsid w:val="00B10507"/>
    <w:rsid w:val="00B10524"/>
    <w:rsid w:val="00B10541"/>
    <w:rsid w:val="00B1054B"/>
    <w:rsid w:val="00B1056F"/>
    <w:rsid w:val="00B105BC"/>
    <w:rsid w:val="00B10667"/>
    <w:rsid w:val="00B10699"/>
    <w:rsid w:val="00B1069D"/>
    <w:rsid w:val="00B106D6"/>
    <w:rsid w:val="00B106DA"/>
    <w:rsid w:val="00B1070E"/>
    <w:rsid w:val="00B10852"/>
    <w:rsid w:val="00B10882"/>
    <w:rsid w:val="00B108B0"/>
    <w:rsid w:val="00B10986"/>
    <w:rsid w:val="00B10989"/>
    <w:rsid w:val="00B10A0B"/>
    <w:rsid w:val="00B10AC1"/>
    <w:rsid w:val="00B10B31"/>
    <w:rsid w:val="00B10B32"/>
    <w:rsid w:val="00B10B9D"/>
    <w:rsid w:val="00B10BBD"/>
    <w:rsid w:val="00B10D7F"/>
    <w:rsid w:val="00B10D8D"/>
    <w:rsid w:val="00B10E6F"/>
    <w:rsid w:val="00B10F2B"/>
    <w:rsid w:val="00B10F63"/>
    <w:rsid w:val="00B10F7B"/>
    <w:rsid w:val="00B10F82"/>
    <w:rsid w:val="00B10F99"/>
    <w:rsid w:val="00B10FCB"/>
    <w:rsid w:val="00B11073"/>
    <w:rsid w:val="00B11199"/>
    <w:rsid w:val="00B111D9"/>
    <w:rsid w:val="00B1123B"/>
    <w:rsid w:val="00B11282"/>
    <w:rsid w:val="00B1135B"/>
    <w:rsid w:val="00B11377"/>
    <w:rsid w:val="00B113AE"/>
    <w:rsid w:val="00B113C6"/>
    <w:rsid w:val="00B1141E"/>
    <w:rsid w:val="00B114B6"/>
    <w:rsid w:val="00B114B8"/>
    <w:rsid w:val="00B114E4"/>
    <w:rsid w:val="00B114ED"/>
    <w:rsid w:val="00B1157F"/>
    <w:rsid w:val="00B1159E"/>
    <w:rsid w:val="00B115DD"/>
    <w:rsid w:val="00B11627"/>
    <w:rsid w:val="00B11743"/>
    <w:rsid w:val="00B11782"/>
    <w:rsid w:val="00B11798"/>
    <w:rsid w:val="00B117E1"/>
    <w:rsid w:val="00B117F2"/>
    <w:rsid w:val="00B11815"/>
    <w:rsid w:val="00B1185F"/>
    <w:rsid w:val="00B11A5F"/>
    <w:rsid w:val="00B11AFD"/>
    <w:rsid w:val="00B11C86"/>
    <w:rsid w:val="00B11D42"/>
    <w:rsid w:val="00B11DDD"/>
    <w:rsid w:val="00B11E48"/>
    <w:rsid w:val="00B11F5E"/>
    <w:rsid w:val="00B11F5F"/>
    <w:rsid w:val="00B11FC9"/>
    <w:rsid w:val="00B1202B"/>
    <w:rsid w:val="00B12063"/>
    <w:rsid w:val="00B120AE"/>
    <w:rsid w:val="00B1219C"/>
    <w:rsid w:val="00B121CA"/>
    <w:rsid w:val="00B123BF"/>
    <w:rsid w:val="00B124DA"/>
    <w:rsid w:val="00B1252E"/>
    <w:rsid w:val="00B12613"/>
    <w:rsid w:val="00B12623"/>
    <w:rsid w:val="00B12632"/>
    <w:rsid w:val="00B1278E"/>
    <w:rsid w:val="00B127A5"/>
    <w:rsid w:val="00B12835"/>
    <w:rsid w:val="00B12857"/>
    <w:rsid w:val="00B12909"/>
    <w:rsid w:val="00B12920"/>
    <w:rsid w:val="00B1292D"/>
    <w:rsid w:val="00B1295A"/>
    <w:rsid w:val="00B12974"/>
    <w:rsid w:val="00B1297E"/>
    <w:rsid w:val="00B129C1"/>
    <w:rsid w:val="00B129C5"/>
    <w:rsid w:val="00B12A41"/>
    <w:rsid w:val="00B12BDC"/>
    <w:rsid w:val="00B12C2F"/>
    <w:rsid w:val="00B12C63"/>
    <w:rsid w:val="00B12C99"/>
    <w:rsid w:val="00B12DE6"/>
    <w:rsid w:val="00B12DF8"/>
    <w:rsid w:val="00B12EFD"/>
    <w:rsid w:val="00B12F38"/>
    <w:rsid w:val="00B13017"/>
    <w:rsid w:val="00B13057"/>
    <w:rsid w:val="00B1305F"/>
    <w:rsid w:val="00B130B2"/>
    <w:rsid w:val="00B130D1"/>
    <w:rsid w:val="00B13233"/>
    <w:rsid w:val="00B133A2"/>
    <w:rsid w:val="00B13401"/>
    <w:rsid w:val="00B1360E"/>
    <w:rsid w:val="00B136D1"/>
    <w:rsid w:val="00B1375A"/>
    <w:rsid w:val="00B1375E"/>
    <w:rsid w:val="00B137B7"/>
    <w:rsid w:val="00B1395A"/>
    <w:rsid w:val="00B13A9C"/>
    <w:rsid w:val="00B13B88"/>
    <w:rsid w:val="00B13C07"/>
    <w:rsid w:val="00B13C22"/>
    <w:rsid w:val="00B13D54"/>
    <w:rsid w:val="00B13D7C"/>
    <w:rsid w:val="00B13E4D"/>
    <w:rsid w:val="00B13F67"/>
    <w:rsid w:val="00B13FB1"/>
    <w:rsid w:val="00B13FB7"/>
    <w:rsid w:val="00B13FD8"/>
    <w:rsid w:val="00B140D9"/>
    <w:rsid w:val="00B14110"/>
    <w:rsid w:val="00B14113"/>
    <w:rsid w:val="00B1412B"/>
    <w:rsid w:val="00B14142"/>
    <w:rsid w:val="00B1419C"/>
    <w:rsid w:val="00B141F8"/>
    <w:rsid w:val="00B14202"/>
    <w:rsid w:val="00B142A4"/>
    <w:rsid w:val="00B142E9"/>
    <w:rsid w:val="00B1433C"/>
    <w:rsid w:val="00B1441E"/>
    <w:rsid w:val="00B144BF"/>
    <w:rsid w:val="00B14577"/>
    <w:rsid w:val="00B14646"/>
    <w:rsid w:val="00B1468E"/>
    <w:rsid w:val="00B146D6"/>
    <w:rsid w:val="00B14713"/>
    <w:rsid w:val="00B14749"/>
    <w:rsid w:val="00B147FB"/>
    <w:rsid w:val="00B14960"/>
    <w:rsid w:val="00B14A69"/>
    <w:rsid w:val="00B14AA2"/>
    <w:rsid w:val="00B14B1A"/>
    <w:rsid w:val="00B14B68"/>
    <w:rsid w:val="00B14D49"/>
    <w:rsid w:val="00B14DA8"/>
    <w:rsid w:val="00B14E2E"/>
    <w:rsid w:val="00B14E37"/>
    <w:rsid w:val="00B14E67"/>
    <w:rsid w:val="00B1504E"/>
    <w:rsid w:val="00B150DC"/>
    <w:rsid w:val="00B151CB"/>
    <w:rsid w:val="00B15302"/>
    <w:rsid w:val="00B1548E"/>
    <w:rsid w:val="00B154E5"/>
    <w:rsid w:val="00B15657"/>
    <w:rsid w:val="00B15683"/>
    <w:rsid w:val="00B15778"/>
    <w:rsid w:val="00B157B1"/>
    <w:rsid w:val="00B157B5"/>
    <w:rsid w:val="00B157DF"/>
    <w:rsid w:val="00B157E8"/>
    <w:rsid w:val="00B15822"/>
    <w:rsid w:val="00B158B6"/>
    <w:rsid w:val="00B158DA"/>
    <w:rsid w:val="00B1592B"/>
    <w:rsid w:val="00B159DA"/>
    <w:rsid w:val="00B15BA6"/>
    <w:rsid w:val="00B15C07"/>
    <w:rsid w:val="00B15C86"/>
    <w:rsid w:val="00B15CDD"/>
    <w:rsid w:val="00B15D19"/>
    <w:rsid w:val="00B15D1B"/>
    <w:rsid w:val="00B15E0A"/>
    <w:rsid w:val="00B15E16"/>
    <w:rsid w:val="00B15E1C"/>
    <w:rsid w:val="00B15FE0"/>
    <w:rsid w:val="00B160E6"/>
    <w:rsid w:val="00B16158"/>
    <w:rsid w:val="00B161E2"/>
    <w:rsid w:val="00B16210"/>
    <w:rsid w:val="00B16239"/>
    <w:rsid w:val="00B1624C"/>
    <w:rsid w:val="00B162B9"/>
    <w:rsid w:val="00B163E0"/>
    <w:rsid w:val="00B163E6"/>
    <w:rsid w:val="00B16421"/>
    <w:rsid w:val="00B16424"/>
    <w:rsid w:val="00B164E0"/>
    <w:rsid w:val="00B16592"/>
    <w:rsid w:val="00B165C6"/>
    <w:rsid w:val="00B166C9"/>
    <w:rsid w:val="00B166CF"/>
    <w:rsid w:val="00B166D6"/>
    <w:rsid w:val="00B16708"/>
    <w:rsid w:val="00B16775"/>
    <w:rsid w:val="00B16A4B"/>
    <w:rsid w:val="00B16A57"/>
    <w:rsid w:val="00B16BA0"/>
    <w:rsid w:val="00B16C01"/>
    <w:rsid w:val="00B16C2B"/>
    <w:rsid w:val="00B16C73"/>
    <w:rsid w:val="00B16CF5"/>
    <w:rsid w:val="00B16E3B"/>
    <w:rsid w:val="00B16E6C"/>
    <w:rsid w:val="00B16F3D"/>
    <w:rsid w:val="00B16FEC"/>
    <w:rsid w:val="00B17157"/>
    <w:rsid w:val="00B17172"/>
    <w:rsid w:val="00B17220"/>
    <w:rsid w:val="00B173CB"/>
    <w:rsid w:val="00B1748F"/>
    <w:rsid w:val="00B17505"/>
    <w:rsid w:val="00B175D7"/>
    <w:rsid w:val="00B1760E"/>
    <w:rsid w:val="00B17736"/>
    <w:rsid w:val="00B17738"/>
    <w:rsid w:val="00B1779B"/>
    <w:rsid w:val="00B177D9"/>
    <w:rsid w:val="00B179C6"/>
    <w:rsid w:val="00B17A38"/>
    <w:rsid w:val="00B17A87"/>
    <w:rsid w:val="00B17ACB"/>
    <w:rsid w:val="00B17AFB"/>
    <w:rsid w:val="00B17AFC"/>
    <w:rsid w:val="00B17BFA"/>
    <w:rsid w:val="00B17C28"/>
    <w:rsid w:val="00B17C54"/>
    <w:rsid w:val="00B17C62"/>
    <w:rsid w:val="00B17D73"/>
    <w:rsid w:val="00B17DD9"/>
    <w:rsid w:val="00B17E30"/>
    <w:rsid w:val="00B17F16"/>
    <w:rsid w:val="00B17F23"/>
    <w:rsid w:val="00B20092"/>
    <w:rsid w:val="00B200DA"/>
    <w:rsid w:val="00B2029A"/>
    <w:rsid w:val="00B202B0"/>
    <w:rsid w:val="00B202BB"/>
    <w:rsid w:val="00B202CB"/>
    <w:rsid w:val="00B202DD"/>
    <w:rsid w:val="00B20450"/>
    <w:rsid w:val="00B204DA"/>
    <w:rsid w:val="00B204F8"/>
    <w:rsid w:val="00B205D0"/>
    <w:rsid w:val="00B206D0"/>
    <w:rsid w:val="00B206DF"/>
    <w:rsid w:val="00B20806"/>
    <w:rsid w:val="00B20853"/>
    <w:rsid w:val="00B20884"/>
    <w:rsid w:val="00B20895"/>
    <w:rsid w:val="00B208BB"/>
    <w:rsid w:val="00B208DF"/>
    <w:rsid w:val="00B20A04"/>
    <w:rsid w:val="00B20AEE"/>
    <w:rsid w:val="00B20CDD"/>
    <w:rsid w:val="00B20D4B"/>
    <w:rsid w:val="00B20E77"/>
    <w:rsid w:val="00B20F17"/>
    <w:rsid w:val="00B20FBB"/>
    <w:rsid w:val="00B210F4"/>
    <w:rsid w:val="00B21154"/>
    <w:rsid w:val="00B21188"/>
    <w:rsid w:val="00B211D0"/>
    <w:rsid w:val="00B2120B"/>
    <w:rsid w:val="00B2128C"/>
    <w:rsid w:val="00B21295"/>
    <w:rsid w:val="00B212EE"/>
    <w:rsid w:val="00B213AF"/>
    <w:rsid w:val="00B213D0"/>
    <w:rsid w:val="00B2141A"/>
    <w:rsid w:val="00B2147C"/>
    <w:rsid w:val="00B214C6"/>
    <w:rsid w:val="00B2165A"/>
    <w:rsid w:val="00B216DF"/>
    <w:rsid w:val="00B217BA"/>
    <w:rsid w:val="00B21832"/>
    <w:rsid w:val="00B21880"/>
    <w:rsid w:val="00B21928"/>
    <w:rsid w:val="00B21A0D"/>
    <w:rsid w:val="00B21AA1"/>
    <w:rsid w:val="00B21C55"/>
    <w:rsid w:val="00B21C94"/>
    <w:rsid w:val="00B21CB9"/>
    <w:rsid w:val="00B21CCB"/>
    <w:rsid w:val="00B21DA8"/>
    <w:rsid w:val="00B21E96"/>
    <w:rsid w:val="00B21F03"/>
    <w:rsid w:val="00B21F15"/>
    <w:rsid w:val="00B21F34"/>
    <w:rsid w:val="00B21F9B"/>
    <w:rsid w:val="00B21FA2"/>
    <w:rsid w:val="00B2203E"/>
    <w:rsid w:val="00B2207E"/>
    <w:rsid w:val="00B220AB"/>
    <w:rsid w:val="00B220F5"/>
    <w:rsid w:val="00B22150"/>
    <w:rsid w:val="00B222AF"/>
    <w:rsid w:val="00B2234A"/>
    <w:rsid w:val="00B2239D"/>
    <w:rsid w:val="00B22405"/>
    <w:rsid w:val="00B22506"/>
    <w:rsid w:val="00B22517"/>
    <w:rsid w:val="00B22662"/>
    <w:rsid w:val="00B226E0"/>
    <w:rsid w:val="00B22702"/>
    <w:rsid w:val="00B227DC"/>
    <w:rsid w:val="00B22833"/>
    <w:rsid w:val="00B22867"/>
    <w:rsid w:val="00B22868"/>
    <w:rsid w:val="00B2287D"/>
    <w:rsid w:val="00B228E7"/>
    <w:rsid w:val="00B228F0"/>
    <w:rsid w:val="00B229EE"/>
    <w:rsid w:val="00B22D47"/>
    <w:rsid w:val="00B22DE4"/>
    <w:rsid w:val="00B22DE8"/>
    <w:rsid w:val="00B22ECC"/>
    <w:rsid w:val="00B22F6E"/>
    <w:rsid w:val="00B22F99"/>
    <w:rsid w:val="00B230C4"/>
    <w:rsid w:val="00B230D0"/>
    <w:rsid w:val="00B230F5"/>
    <w:rsid w:val="00B23108"/>
    <w:rsid w:val="00B23111"/>
    <w:rsid w:val="00B231E2"/>
    <w:rsid w:val="00B2330E"/>
    <w:rsid w:val="00B23459"/>
    <w:rsid w:val="00B2360A"/>
    <w:rsid w:val="00B236BB"/>
    <w:rsid w:val="00B237A9"/>
    <w:rsid w:val="00B237AF"/>
    <w:rsid w:val="00B237B4"/>
    <w:rsid w:val="00B237F3"/>
    <w:rsid w:val="00B238B1"/>
    <w:rsid w:val="00B23921"/>
    <w:rsid w:val="00B23A21"/>
    <w:rsid w:val="00B23A34"/>
    <w:rsid w:val="00B23A9F"/>
    <w:rsid w:val="00B23AE5"/>
    <w:rsid w:val="00B23B3D"/>
    <w:rsid w:val="00B23D71"/>
    <w:rsid w:val="00B23E9C"/>
    <w:rsid w:val="00B23ECC"/>
    <w:rsid w:val="00B23EE1"/>
    <w:rsid w:val="00B23EF3"/>
    <w:rsid w:val="00B24151"/>
    <w:rsid w:val="00B241B5"/>
    <w:rsid w:val="00B24274"/>
    <w:rsid w:val="00B242A0"/>
    <w:rsid w:val="00B2437D"/>
    <w:rsid w:val="00B2444A"/>
    <w:rsid w:val="00B24468"/>
    <w:rsid w:val="00B244C5"/>
    <w:rsid w:val="00B24516"/>
    <w:rsid w:val="00B24550"/>
    <w:rsid w:val="00B24654"/>
    <w:rsid w:val="00B24674"/>
    <w:rsid w:val="00B246E3"/>
    <w:rsid w:val="00B2487C"/>
    <w:rsid w:val="00B248B7"/>
    <w:rsid w:val="00B24959"/>
    <w:rsid w:val="00B249FE"/>
    <w:rsid w:val="00B24A33"/>
    <w:rsid w:val="00B24B89"/>
    <w:rsid w:val="00B24BFB"/>
    <w:rsid w:val="00B24C08"/>
    <w:rsid w:val="00B24C59"/>
    <w:rsid w:val="00B24DBD"/>
    <w:rsid w:val="00B24E03"/>
    <w:rsid w:val="00B24E69"/>
    <w:rsid w:val="00B24E82"/>
    <w:rsid w:val="00B24EF8"/>
    <w:rsid w:val="00B24F80"/>
    <w:rsid w:val="00B250EA"/>
    <w:rsid w:val="00B25180"/>
    <w:rsid w:val="00B2521E"/>
    <w:rsid w:val="00B25244"/>
    <w:rsid w:val="00B2528F"/>
    <w:rsid w:val="00B252F7"/>
    <w:rsid w:val="00B253EC"/>
    <w:rsid w:val="00B255AA"/>
    <w:rsid w:val="00B25744"/>
    <w:rsid w:val="00B257E3"/>
    <w:rsid w:val="00B258E0"/>
    <w:rsid w:val="00B2593F"/>
    <w:rsid w:val="00B2595D"/>
    <w:rsid w:val="00B2599A"/>
    <w:rsid w:val="00B259DD"/>
    <w:rsid w:val="00B25A92"/>
    <w:rsid w:val="00B25B28"/>
    <w:rsid w:val="00B25D38"/>
    <w:rsid w:val="00B25EB5"/>
    <w:rsid w:val="00B25FA5"/>
    <w:rsid w:val="00B25FAE"/>
    <w:rsid w:val="00B26068"/>
    <w:rsid w:val="00B26080"/>
    <w:rsid w:val="00B260AC"/>
    <w:rsid w:val="00B26199"/>
    <w:rsid w:val="00B261F9"/>
    <w:rsid w:val="00B261FE"/>
    <w:rsid w:val="00B26315"/>
    <w:rsid w:val="00B2634E"/>
    <w:rsid w:val="00B263FE"/>
    <w:rsid w:val="00B2645D"/>
    <w:rsid w:val="00B26540"/>
    <w:rsid w:val="00B265CD"/>
    <w:rsid w:val="00B265E8"/>
    <w:rsid w:val="00B26673"/>
    <w:rsid w:val="00B266E9"/>
    <w:rsid w:val="00B267AB"/>
    <w:rsid w:val="00B2684C"/>
    <w:rsid w:val="00B26889"/>
    <w:rsid w:val="00B26964"/>
    <w:rsid w:val="00B26A00"/>
    <w:rsid w:val="00B26A24"/>
    <w:rsid w:val="00B26A80"/>
    <w:rsid w:val="00B26AA3"/>
    <w:rsid w:val="00B26B42"/>
    <w:rsid w:val="00B26C64"/>
    <w:rsid w:val="00B26D55"/>
    <w:rsid w:val="00B26DC9"/>
    <w:rsid w:val="00B26E66"/>
    <w:rsid w:val="00B26F7E"/>
    <w:rsid w:val="00B26FD3"/>
    <w:rsid w:val="00B27026"/>
    <w:rsid w:val="00B270F7"/>
    <w:rsid w:val="00B27135"/>
    <w:rsid w:val="00B27166"/>
    <w:rsid w:val="00B271D9"/>
    <w:rsid w:val="00B27288"/>
    <w:rsid w:val="00B272B3"/>
    <w:rsid w:val="00B272E5"/>
    <w:rsid w:val="00B272EB"/>
    <w:rsid w:val="00B27315"/>
    <w:rsid w:val="00B2731B"/>
    <w:rsid w:val="00B27437"/>
    <w:rsid w:val="00B27487"/>
    <w:rsid w:val="00B27536"/>
    <w:rsid w:val="00B2762A"/>
    <w:rsid w:val="00B276C8"/>
    <w:rsid w:val="00B27717"/>
    <w:rsid w:val="00B27820"/>
    <w:rsid w:val="00B27899"/>
    <w:rsid w:val="00B278F2"/>
    <w:rsid w:val="00B27908"/>
    <w:rsid w:val="00B2793A"/>
    <w:rsid w:val="00B27B7E"/>
    <w:rsid w:val="00B27D6D"/>
    <w:rsid w:val="00B27D8E"/>
    <w:rsid w:val="00B27E09"/>
    <w:rsid w:val="00B27E9D"/>
    <w:rsid w:val="00B27F66"/>
    <w:rsid w:val="00B27F9F"/>
    <w:rsid w:val="00B30026"/>
    <w:rsid w:val="00B30035"/>
    <w:rsid w:val="00B300D9"/>
    <w:rsid w:val="00B301AD"/>
    <w:rsid w:val="00B301B5"/>
    <w:rsid w:val="00B301B6"/>
    <w:rsid w:val="00B3021E"/>
    <w:rsid w:val="00B3024D"/>
    <w:rsid w:val="00B3028C"/>
    <w:rsid w:val="00B3035C"/>
    <w:rsid w:val="00B30377"/>
    <w:rsid w:val="00B30427"/>
    <w:rsid w:val="00B30464"/>
    <w:rsid w:val="00B3046C"/>
    <w:rsid w:val="00B30566"/>
    <w:rsid w:val="00B30595"/>
    <w:rsid w:val="00B30598"/>
    <w:rsid w:val="00B3061E"/>
    <w:rsid w:val="00B306D5"/>
    <w:rsid w:val="00B30714"/>
    <w:rsid w:val="00B30718"/>
    <w:rsid w:val="00B3071D"/>
    <w:rsid w:val="00B307A9"/>
    <w:rsid w:val="00B308FA"/>
    <w:rsid w:val="00B30937"/>
    <w:rsid w:val="00B309B3"/>
    <w:rsid w:val="00B309F8"/>
    <w:rsid w:val="00B30A49"/>
    <w:rsid w:val="00B30AAD"/>
    <w:rsid w:val="00B30ADB"/>
    <w:rsid w:val="00B30B14"/>
    <w:rsid w:val="00B30B6C"/>
    <w:rsid w:val="00B30B88"/>
    <w:rsid w:val="00B30C12"/>
    <w:rsid w:val="00B30C2C"/>
    <w:rsid w:val="00B30CA4"/>
    <w:rsid w:val="00B30CDD"/>
    <w:rsid w:val="00B30D0A"/>
    <w:rsid w:val="00B30D14"/>
    <w:rsid w:val="00B30D4D"/>
    <w:rsid w:val="00B30D51"/>
    <w:rsid w:val="00B30DC0"/>
    <w:rsid w:val="00B30E9F"/>
    <w:rsid w:val="00B3101C"/>
    <w:rsid w:val="00B31044"/>
    <w:rsid w:val="00B31182"/>
    <w:rsid w:val="00B31187"/>
    <w:rsid w:val="00B311AA"/>
    <w:rsid w:val="00B312A3"/>
    <w:rsid w:val="00B312E8"/>
    <w:rsid w:val="00B31392"/>
    <w:rsid w:val="00B31470"/>
    <w:rsid w:val="00B315EE"/>
    <w:rsid w:val="00B3160D"/>
    <w:rsid w:val="00B31613"/>
    <w:rsid w:val="00B3161C"/>
    <w:rsid w:val="00B31739"/>
    <w:rsid w:val="00B3176C"/>
    <w:rsid w:val="00B317E3"/>
    <w:rsid w:val="00B31855"/>
    <w:rsid w:val="00B318A4"/>
    <w:rsid w:val="00B31912"/>
    <w:rsid w:val="00B319AD"/>
    <w:rsid w:val="00B31ABF"/>
    <w:rsid w:val="00B31BE0"/>
    <w:rsid w:val="00B31C18"/>
    <w:rsid w:val="00B31CB2"/>
    <w:rsid w:val="00B31D1A"/>
    <w:rsid w:val="00B31D50"/>
    <w:rsid w:val="00B31D5B"/>
    <w:rsid w:val="00B31D93"/>
    <w:rsid w:val="00B31FB5"/>
    <w:rsid w:val="00B31FFC"/>
    <w:rsid w:val="00B32028"/>
    <w:rsid w:val="00B32040"/>
    <w:rsid w:val="00B32041"/>
    <w:rsid w:val="00B3205D"/>
    <w:rsid w:val="00B320E9"/>
    <w:rsid w:val="00B3221E"/>
    <w:rsid w:val="00B3231B"/>
    <w:rsid w:val="00B32337"/>
    <w:rsid w:val="00B32404"/>
    <w:rsid w:val="00B3247E"/>
    <w:rsid w:val="00B32482"/>
    <w:rsid w:val="00B3248D"/>
    <w:rsid w:val="00B324B3"/>
    <w:rsid w:val="00B324D8"/>
    <w:rsid w:val="00B324E1"/>
    <w:rsid w:val="00B324E7"/>
    <w:rsid w:val="00B32503"/>
    <w:rsid w:val="00B32534"/>
    <w:rsid w:val="00B325CE"/>
    <w:rsid w:val="00B325E9"/>
    <w:rsid w:val="00B32619"/>
    <w:rsid w:val="00B32690"/>
    <w:rsid w:val="00B32733"/>
    <w:rsid w:val="00B3273B"/>
    <w:rsid w:val="00B3277E"/>
    <w:rsid w:val="00B327A0"/>
    <w:rsid w:val="00B327AA"/>
    <w:rsid w:val="00B3283F"/>
    <w:rsid w:val="00B3294D"/>
    <w:rsid w:val="00B32A17"/>
    <w:rsid w:val="00B32A2B"/>
    <w:rsid w:val="00B32A52"/>
    <w:rsid w:val="00B32AE3"/>
    <w:rsid w:val="00B32BAC"/>
    <w:rsid w:val="00B32BE3"/>
    <w:rsid w:val="00B32CD0"/>
    <w:rsid w:val="00B32E42"/>
    <w:rsid w:val="00B32F42"/>
    <w:rsid w:val="00B32F8E"/>
    <w:rsid w:val="00B32FE1"/>
    <w:rsid w:val="00B3302F"/>
    <w:rsid w:val="00B330A6"/>
    <w:rsid w:val="00B3312B"/>
    <w:rsid w:val="00B33220"/>
    <w:rsid w:val="00B33274"/>
    <w:rsid w:val="00B3332A"/>
    <w:rsid w:val="00B333F8"/>
    <w:rsid w:val="00B334A9"/>
    <w:rsid w:val="00B334F0"/>
    <w:rsid w:val="00B335B4"/>
    <w:rsid w:val="00B33764"/>
    <w:rsid w:val="00B33789"/>
    <w:rsid w:val="00B33796"/>
    <w:rsid w:val="00B337FB"/>
    <w:rsid w:val="00B33827"/>
    <w:rsid w:val="00B33853"/>
    <w:rsid w:val="00B3390B"/>
    <w:rsid w:val="00B33940"/>
    <w:rsid w:val="00B339A1"/>
    <w:rsid w:val="00B339B1"/>
    <w:rsid w:val="00B339B2"/>
    <w:rsid w:val="00B339B8"/>
    <w:rsid w:val="00B339F3"/>
    <w:rsid w:val="00B33A10"/>
    <w:rsid w:val="00B33A2D"/>
    <w:rsid w:val="00B33B41"/>
    <w:rsid w:val="00B33B6D"/>
    <w:rsid w:val="00B33C14"/>
    <w:rsid w:val="00B33C23"/>
    <w:rsid w:val="00B33CDE"/>
    <w:rsid w:val="00B33D12"/>
    <w:rsid w:val="00B33DDC"/>
    <w:rsid w:val="00B33E2E"/>
    <w:rsid w:val="00B33F57"/>
    <w:rsid w:val="00B33F81"/>
    <w:rsid w:val="00B3416C"/>
    <w:rsid w:val="00B3417B"/>
    <w:rsid w:val="00B341D8"/>
    <w:rsid w:val="00B34249"/>
    <w:rsid w:val="00B3435C"/>
    <w:rsid w:val="00B343FF"/>
    <w:rsid w:val="00B345A1"/>
    <w:rsid w:val="00B345BE"/>
    <w:rsid w:val="00B345D8"/>
    <w:rsid w:val="00B345DE"/>
    <w:rsid w:val="00B3461A"/>
    <w:rsid w:val="00B3472B"/>
    <w:rsid w:val="00B347AC"/>
    <w:rsid w:val="00B34876"/>
    <w:rsid w:val="00B349E1"/>
    <w:rsid w:val="00B349EE"/>
    <w:rsid w:val="00B34A18"/>
    <w:rsid w:val="00B34A74"/>
    <w:rsid w:val="00B34A79"/>
    <w:rsid w:val="00B34A7B"/>
    <w:rsid w:val="00B34AA4"/>
    <w:rsid w:val="00B34B0A"/>
    <w:rsid w:val="00B34B29"/>
    <w:rsid w:val="00B34B5C"/>
    <w:rsid w:val="00B34C88"/>
    <w:rsid w:val="00B34C93"/>
    <w:rsid w:val="00B34C96"/>
    <w:rsid w:val="00B34EDC"/>
    <w:rsid w:val="00B34EFA"/>
    <w:rsid w:val="00B34FFE"/>
    <w:rsid w:val="00B3502B"/>
    <w:rsid w:val="00B350B2"/>
    <w:rsid w:val="00B35154"/>
    <w:rsid w:val="00B352F7"/>
    <w:rsid w:val="00B35369"/>
    <w:rsid w:val="00B35383"/>
    <w:rsid w:val="00B353E7"/>
    <w:rsid w:val="00B35406"/>
    <w:rsid w:val="00B355AE"/>
    <w:rsid w:val="00B35767"/>
    <w:rsid w:val="00B357F2"/>
    <w:rsid w:val="00B3583B"/>
    <w:rsid w:val="00B3584C"/>
    <w:rsid w:val="00B35937"/>
    <w:rsid w:val="00B3593E"/>
    <w:rsid w:val="00B359C6"/>
    <w:rsid w:val="00B35B6E"/>
    <w:rsid w:val="00B35C0A"/>
    <w:rsid w:val="00B35C47"/>
    <w:rsid w:val="00B35C49"/>
    <w:rsid w:val="00B35D46"/>
    <w:rsid w:val="00B35D99"/>
    <w:rsid w:val="00B35DC2"/>
    <w:rsid w:val="00B35E07"/>
    <w:rsid w:val="00B35F02"/>
    <w:rsid w:val="00B35FC7"/>
    <w:rsid w:val="00B36131"/>
    <w:rsid w:val="00B3613A"/>
    <w:rsid w:val="00B36168"/>
    <w:rsid w:val="00B3630D"/>
    <w:rsid w:val="00B3631C"/>
    <w:rsid w:val="00B36335"/>
    <w:rsid w:val="00B36358"/>
    <w:rsid w:val="00B364D7"/>
    <w:rsid w:val="00B36530"/>
    <w:rsid w:val="00B36544"/>
    <w:rsid w:val="00B36577"/>
    <w:rsid w:val="00B36658"/>
    <w:rsid w:val="00B367FD"/>
    <w:rsid w:val="00B36900"/>
    <w:rsid w:val="00B3692F"/>
    <w:rsid w:val="00B36951"/>
    <w:rsid w:val="00B36984"/>
    <w:rsid w:val="00B369B3"/>
    <w:rsid w:val="00B36B7C"/>
    <w:rsid w:val="00B36CCC"/>
    <w:rsid w:val="00B36CD7"/>
    <w:rsid w:val="00B36D25"/>
    <w:rsid w:val="00B36DA1"/>
    <w:rsid w:val="00B36E0C"/>
    <w:rsid w:val="00B36E19"/>
    <w:rsid w:val="00B36E3D"/>
    <w:rsid w:val="00B36E6F"/>
    <w:rsid w:val="00B36EED"/>
    <w:rsid w:val="00B36EEF"/>
    <w:rsid w:val="00B36F02"/>
    <w:rsid w:val="00B36F36"/>
    <w:rsid w:val="00B36F71"/>
    <w:rsid w:val="00B37015"/>
    <w:rsid w:val="00B370D6"/>
    <w:rsid w:val="00B37113"/>
    <w:rsid w:val="00B37130"/>
    <w:rsid w:val="00B37166"/>
    <w:rsid w:val="00B37195"/>
    <w:rsid w:val="00B371E0"/>
    <w:rsid w:val="00B37235"/>
    <w:rsid w:val="00B372E4"/>
    <w:rsid w:val="00B373A5"/>
    <w:rsid w:val="00B373B0"/>
    <w:rsid w:val="00B373D5"/>
    <w:rsid w:val="00B3744C"/>
    <w:rsid w:val="00B37574"/>
    <w:rsid w:val="00B375AA"/>
    <w:rsid w:val="00B376B6"/>
    <w:rsid w:val="00B376D6"/>
    <w:rsid w:val="00B376FD"/>
    <w:rsid w:val="00B377B4"/>
    <w:rsid w:val="00B378A1"/>
    <w:rsid w:val="00B37907"/>
    <w:rsid w:val="00B37A51"/>
    <w:rsid w:val="00B37A74"/>
    <w:rsid w:val="00B37A8F"/>
    <w:rsid w:val="00B37ADD"/>
    <w:rsid w:val="00B37B08"/>
    <w:rsid w:val="00B37BF0"/>
    <w:rsid w:val="00B37C78"/>
    <w:rsid w:val="00B37D0A"/>
    <w:rsid w:val="00B37D77"/>
    <w:rsid w:val="00B37D83"/>
    <w:rsid w:val="00B37DC9"/>
    <w:rsid w:val="00B37DF6"/>
    <w:rsid w:val="00B37E62"/>
    <w:rsid w:val="00B37EE6"/>
    <w:rsid w:val="00B37F5C"/>
    <w:rsid w:val="00B37F6D"/>
    <w:rsid w:val="00B4003F"/>
    <w:rsid w:val="00B40061"/>
    <w:rsid w:val="00B400E4"/>
    <w:rsid w:val="00B40156"/>
    <w:rsid w:val="00B403C3"/>
    <w:rsid w:val="00B403CE"/>
    <w:rsid w:val="00B40411"/>
    <w:rsid w:val="00B404F9"/>
    <w:rsid w:val="00B40540"/>
    <w:rsid w:val="00B4054D"/>
    <w:rsid w:val="00B405E8"/>
    <w:rsid w:val="00B40603"/>
    <w:rsid w:val="00B40649"/>
    <w:rsid w:val="00B406C1"/>
    <w:rsid w:val="00B40701"/>
    <w:rsid w:val="00B407F0"/>
    <w:rsid w:val="00B4081F"/>
    <w:rsid w:val="00B4087A"/>
    <w:rsid w:val="00B40929"/>
    <w:rsid w:val="00B40954"/>
    <w:rsid w:val="00B409D7"/>
    <w:rsid w:val="00B40AD5"/>
    <w:rsid w:val="00B40CE4"/>
    <w:rsid w:val="00B40CF6"/>
    <w:rsid w:val="00B40D12"/>
    <w:rsid w:val="00B40D50"/>
    <w:rsid w:val="00B40DAD"/>
    <w:rsid w:val="00B40F3E"/>
    <w:rsid w:val="00B4103E"/>
    <w:rsid w:val="00B410C1"/>
    <w:rsid w:val="00B411C3"/>
    <w:rsid w:val="00B411F7"/>
    <w:rsid w:val="00B41221"/>
    <w:rsid w:val="00B41282"/>
    <w:rsid w:val="00B4128E"/>
    <w:rsid w:val="00B4130E"/>
    <w:rsid w:val="00B41314"/>
    <w:rsid w:val="00B41420"/>
    <w:rsid w:val="00B414BC"/>
    <w:rsid w:val="00B414EB"/>
    <w:rsid w:val="00B4172A"/>
    <w:rsid w:val="00B4172E"/>
    <w:rsid w:val="00B417CA"/>
    <w:rsid w:val="00B41813"/>
    <w:rsid w:val="00B41838"/>
    <w:rsid w:val="00B41853"/>
    <w:rsid w:val="00B41872"/>
    <w:rsid w:val="00B4199F"/>
    <w:rsid w:val="00B419D2"/>
    <w:rsid w:val="00B41A12"/>
    <w:rsid w:val="00B41A2C"/>
    <w:rsid w:val="00B41A38"/>
    <w:rsid w:val="00B41A4C"/>
    <w:rsid w:val="00B41B18"/>
    <w:rsid w:val="00B41BD6"/>
    <w:rsid w:val="00B41CF7"/>
    <w:rsid w:val="00B41D0F"/>
    <w:rsid w:val="00B41E8A"/>
    <w:rsid w:val="00B41F1A"/>
    <w:rsid w:val="00B41F25"/>
    <w:rsid w:val="00B41FCE"/>
    <w:rsid w:val="00B42064"/>
    <w:rsid w:val="00B420A7"/>
    <w:rsid w:val="00B420B0"/>
    <w:rsid w:val="00B42359"/>
    <w:rsid w:val="00B424C5"/>
    <w:rsid w:val="00B42589"/>
    <w:rsid w:val="00B4259C"/>
    <w:rsid w:val="00B42758"/>
    <w:rsid w:val="00B427D5"/>
    <w:rsid w:val="00B427F9"/>
    <w:rsid w:val="00B4286D"/>
    <w:rsid w:val="00B42A47"/>
    <w:rsid w:val="00B42A64"/>
    <w:rsid w:val="00B42AA7"/>
    <w:rsid w:val="00B42B29"/>
    <w:rsid w:val="00B42B4D"/>
    <w:rsid w:val="00B42B88"/>
    <w:rsid w:val="00B42CB5"/>
    <w:rsid w:val="00B43042"/>
    <w:rsid w:val="00B43053"/>
    <w:rsid w:val="00B43090"/>
    <w:rsid w:val="00B430B3"/>
    <w:rsid w:val="00B43148"/>
    <w:rsid w:val="00B43174"/>
    <w:rsid w:val="00B431BE"/>
    <w:rsid w:val="00B431CB"/>
    <w:rsid w:val="00B43374"/>
    <w:rsid w:val="00B4341C"/>
    <w:rsid w:val="00B43537"/>
    <w:rsid w:val="00B4353C"/>
    <w:rsid w:val="00B435B2"/>
    <w:rsid w:val="00B43641"/>
    <w:rsid w:val="00B43698"/>
    <w:rsid w:val="00B437A4"/>
    <w:rsid w:val="00B4394D"/>
    <w:rsid w:val="00B439E2"/>
    <w:rsid w:val="00B43A2C"/>
    <w:rsid w:val="00B43AD7"/>
    <w:rsid w:val="00B43B63"/>
    <w:rsid w:val="00B43BD0"/>
    <w:rsid w:val="00B43BF7"/>
    <w:rsid w:val="00B43C7E"/>
    <w:rsid w:val="00B43CF7"/>
    <w:rsid w:val="00B43CFE"/>
    <w:rsid w:val="00B43D2D"/>
    <w:rsid w:val="00B43D4F"/>
    <w:rsid w:val="00B43D97"/>
    <w:rsid w:val="00B43DB3"/>
    <w:rsid w:val="00B43E1C"/>
    <w:rsid w:val="00B43E23"/>
    <w:rsid w:val="00B43E41"/>
    <w:rsid w:val="00B43FAC"/>
    <w:rsid w:val="00B4401B"/>
    <w:rsid w:val="00B441C0"/>
    <w:rsid w:val="00B441CD"/>
    <w:rsid w:val="00B4423F"/>
    <w:rsid w:val="00B4426B"/>
    <w:rsid w:val="00B442DC"/>
    <w:rsid w:val="00B443E6"/>
    <w:rsid w:val="00B444E1"/>
    <w:rsid w:val="00B444F3"/>
    <w:rsid w:val="00B44500"/>
    <w:rsid w:val="00B445E0"/>
    <w:rsid w:val="00B44618"/>
    <w:rsid w:val="00B446CD"/>
    <w:rsid w:val="00B4476C"/>
    <w:rsid w:val="00B449C2"/>
    <w:rsid w:val="00B44A21"/>
    <w:rsid w:val="00B44B0C"/>
    <w:rsid w:val="00B44D98"/>
    <w:rsid w:val="00B44DE1"/>
    <w:rsid w:val="00B44F4A"/>
    <w:rsid w:val="00B44F86"/>
    <w:rsid w:val="00B44F91"/>
    <w:rsid w:val="00B45025"/>
    <w:rsid w:val="00B45048"/>
    <w:rsid w:val="00B45055"/>
    <w:rsid w:val="00B450AA"/>
    <w:rsid w:val="00B450B4"/>
    <w:rsid w:val="00B4520E"/>
    <w:rsid w:val="00B45275"/>
    <w:rsid w:val="00B45364"/>
    <w:rsid w:val="00B453E7"/>
    <w:rsid w:val="00B453FE"/>
    <w:rsid w:val="00B45401"/>
    <w:rsid w:val="00B45463"/>
    <w:rsid w:val="00B4549C"/>
    <w:rsid w:val="00B454E6"/>
    <w:rsid w:val="00B4559D"/>
    <w:rsid w:val="00B455AB"/>
    <w:rsid w:val="00B455CF"/>
    <w:rsid w:val="00B4566C"/>
    <w:rsid w:val="00B456E2"/>
    <w:rsid w:val="00B457AF"/>
    <w:rsid w:val="00B457B2"/>
    <w:rsid w:val="00B4582D"/>
    <w:rsid w:val="00B45936"/>
    <w:rsid w:val="00B45995"/>
    <w:rsid w:val="00B459B8"/>
    <w:rsid w:val="00B459C0"/>
    <w:rsid w:val="00B45ABF"/>
    <w:rsid w:val="00B45ACF"/>
    <w:rsid w:val="00B45B01"/>
    <w:rsid w:val="00B45B4A"/>
    <w:rsid w:val="00B45C51"/>
    <w:rsid w:val="00B45C7C"/>
    <w:rsid w:val="00B45C88"/>
    <w:rsid w:val="00B45DB6"/>
    <w:rsid w:val="00B45E29"/>
    <w:rsid w:val="00B45EE3"/>
    <w:rsid w:val="00B45F8C"/>
    <w:rsid w:val="00B45FA8"/>
    <w:rsid w:val="00B46030"/>
    <w:rsid w:val="00B460E6"/>
    <w:rsid w:val="00B46138"/>
    <w:rsid w:val="00B46195"/>
    <w:rsid w:val="00B4620C"/>
    <w:rsid w:val="00B46231"/>
    <w:rsid w:val="00B4627C"/>
    <w:rsid w:val="00B46328"/>
    <w:rsid w:val="00B46342"/>
    <w:rsid w:val="00B4642C"/>
    <w:rsid w:val="00B464C2"/>
    <w:rsid w:val="00B465EB"/>
    <w:rsid w:val="00B4662B"/>
    <w:rsid w:val="00B466CC"/>
    <w:rsid w:val="00B46782"/>
    <w:rsid w:val="00B46812"/>
    <w:rsid w:val="00B46815"/>
    <w:rsid w:val="00B46890"/>
    <w:rsid w:val="00B46991"/>
    <w:rsid w:val="00B469CD"/>
    <w:rsid w:val="00B469F8"/>
    <w:rsid w:val="00B46A6F"/>
    <w:rsid w:val="00B46AEB"/>
    <w:rsid w:val="00B46CA5"/>
    <w:rsid w:val="00B46D27"/>
    <w:rsid w:val="00B46E48"/>
    <w:rsid w:val="00B46E9F"/>
    <w:rsid w:val="00B46EBE"/>
    <w:rsid w:val="00B46EC5"/>
    <w:rsid w:val="00B47027"/>
    <w:rsid w:val="00B4709D"/>
    <w:rsid w:val="00B47112"/>
    <w:rsid w:val="00B4722F"/>
    <w:rsid w:val="00B472D9"/>
    <w:rsid w:val="00B4731D"/>
    <w:rsid w:val="00B47395"/>
    <w:rsid w:val="00B473AB"/>
    <w:rsid w:val="00B473E8"/>
    <w:rsid w:val="00B473F5"/>
    <w:rsid w:val="00B47468"/>
    <w:rsid w:val="00B474B2"/>
    <w:rsid w:val="00B474F5"/>
    <w:rsid w:val="00B475BC"/>
    <w:rsid w:val="00B475C2"/>
    <w:rsid w:val="00B4760A"/>
    <w:rsid w:val="00B4760E"/>
    <w:rsid w:val="00B4763F"/>
    <w:rsid w:val="00B47877"/>
    <w:rsid w:val="00B478AB"/>
    <w:rsid w:val="00B478D6"/>
    <w:rsid w:val="00B478E6"/>
    <w:rsid w:val="00B47928"/>
    <w:rsid w:val="00B4797D"/>
    <w:rsid w:val="00B47A20"/>
    <w:rsid w:val="00B47C89"/>
    <w:rsid w:val="00B47C9E"/>
    <w:rsid w:val="00B47D9C"/>
    <w:rsid w:val="00B47E27"/>
    <w:rsid w:val="00B47E7E"/>
    <w:rsid w:val="00B47F57"/>
    <w:rsid w:val="00B47F69"/>
    <w:rsid w:val="00B47F81"/>
    <w:rsid w:val="00B47FCF"/>
    <w:rsid w:val="00B47FD4"/>
    <w:rsid w:val="00B50053"/>
    <w:rsid w:val="00B50065"/>
    <w:rsid w:val="00B500D2"/>
    <w:rsid w:val="00B501BE"/>
    <w:rsid w:val="00B501CB"/>
    <w:rsid w:val="00B5025D"/>
    <w:rsid w:val="00B50265"/>
    <w:rsid w:val="00B50343"/>
    <w:rsid w:val="00B503FF"/>
    <w:rsid w:val="00B50430"/>
    <w:rsid w:val="00B504F3"/>
    <w:rsid w:val="00B5051A"/>
    <w:rsid w:val="00B50556"/>
    <w:rsid w:val="00B50719"/>
    <w:rsid w:val="00B50795"/>
    <w:rsid w:val="00B507DF"/>
    <w:rsid w:val="00B508F3"/>
    <w:rsid w:val="00B509A2"/>
    <w:rsid w:val="00B509A9"/>
    <w:rsid w:val="00B50AB2"/>
    <w:rsid w:val="00B50B5C"/>
    <w:rsid w:val="00B50C0A"/>
    <w:rsid w:val="00B50CC0"/>
    <w:rsid w:val="00B50D49"/>
    <w:rsid w:val="00B50D9C"/>
    <w:rsid w:val="00B50DB5"/>
    <w:rsid w:val="00B50E2B"/>
    <w:rsid w:val="00B50E3E"/>
    <w:rsid w:val="00B50E8D"/>
    <w:rsid w:val="00B50F8B"/>
    <w:rsid w:val="00B50F9A"/>
    <w:rsid w:val="00B51081"/>
    <w:rsid w:val="00B510A0"/>
    <w:rsid w:val="00B510BF"/>
    <w:rsid w:val="00B510FA"/>
    <w:rsid w:val="00B510FE"/>
    <w:rsid w:val="00B5118C"/>
    <w:rsid w:val="00B511C4"/>
    <w:rsid w:val="00B51221"/>
    <w:rsid w:val="00B512A6"/>
    <w:rsid w:val="00B512F3"/>
    <w:rsid w:val="00B5152B"/>
    <w:rsid w:val="00B51567"/>
    <w:rsid w:val="00B516EE"/>
    <w:rsid w:val="00B516F6"/>
    <w:rsid w:val="00B51748"/>
    <w:rsid w:val="00B517B9"/>
    <w:rsid w:val="00B517CD"/>
    <w:rsid w:val="00B51836"/>
    <w:rsid w:val="00B51992"/>
    <w:rsid w:val="00B519A1"/>
    <w:rsid w:val="00B51A2B"/>
    <w:rsid w:val="00B51A42"/>
    <w:rsid w:val="00B51A4E"/>
    <w:rsid w:val="00B51ABE"/>
    <w:rsid w:val="00B51B0E"/>
    <w:rsid w:val="00B51B43"/>
    <w:rsid w:val="00B51B5D"/>
    <w:rsid w:val="00B51B64"/>
    <w:rsid w:val="00B51BBE"/>
    <w:rsid w:val="00B51D99"/>
    <w:rsid w:val="00B51DC4"/>
    <w:rsid w:val="00B51DE3"/>
    <w:rsid w:val="00B51E7C"/>
    <w:rsid w:val="00B51FB8"/>
    <w:rsid w:val="00B51FCA"/>
    <w:rsid w:val="00B52092"/>
    <w:rsid w:val="00B520A2"/>
    <w:rsid w:val="00B52153"/>
    <w:rsid w:val="00B5218C"/>
    <w:rsid w:val="00B521A1"/>
    <w:rsid w:val="00B52268"/>
    <w:rsid w:val="00B522E1"/>
    <w:rsid w:val="00B5230F"/>
    <w:rsid w:val="00B5252B"/>
    <w:rsid w:val="00B52599"/>
    <w:rsid w:val="00B527D8"/>
    <w:rsid w:val="00B52880"/>
    <w:rsid w:val="00B528B7"/>
    <w:rsid w:val="00B52958"/>
    <w:rsid w:val="00B529BC"/>
    <w:rsid w:val="00B529D8"/>
    <w:rsid w:val="00B52AF0"/>
    <w:rsid w:val="00B52AF7"/>
    <w:rsid w:val="00B52B00"/>
    <w:rsid w:val="00B52B1D"/>
    <w:rsid w:val="00B52B68"/>
    <w:rsid w:val="00B52BD8"/>
    <w:rsid w:val="00B52BE8"/>
    <w:rsid w:val="00B52C58"/>
    <w:rsid w:val="00B52C7B"/>
    <w:rsid w:val="00B52C7F"/>
    <w:rsid w:val="00B52CE2"/>
    <w:rsid w:val="00B52ED8"/>
    <w:rsid w:val="00B52F5B"/>
    <w:rsid w:val="00B52F5E"/>
    <w:rsid w:val="00B52F76"/>
    <w:rsid w:val="00B52F9F"/>
    <w:rsid w:val="00B52FDB"/>
    <w:rsid w:val="00B52FEF"/>
    <w:rsid w:val="00B52FF9"/>
    <w:rsid w:val="00B53100"/>
    <w:rsid w:val="00B53171"/>
    <w:rsid w:val="00B53193"/>
    <w:rsid w:val="00B53297"/>
    <w:rsid w:val="00B5329D"/>
    <w:rsid w:val="00B5339F"/>
    <w:rsid w:val="00B533A3"/>
    <w:rsid w:val="00B53407"/>
    <w:rsid w:val="00B53420"/>
    <w:rsid w:val="00B53476"/>
    <w:rsid w:val="00B534AD"/>
    <w:rsid w:val="00B5352E"/>
    <w:rsid w:val="00B5357B"/>
    <w:rsid w:val="00B536AB"/>
    <w:rsid w:val="00B536C1"/>
    <w:rsid w:val="00B53727"/>
    <w:rsid w:val="00B53743"/>
    <w:rsid w:val="00B53827"/>
    <w:rsid w:val="00B5391E"/>
    <w:rsid w:val="00B53B61"/>
    <w:rsid w:val="00B53B88"/>
    <w:rsid w:val="00B53BD4"/>
    <w:rsid w:val="00B53C5D"/>
    <w:rsid w:val="00B53C6E"/>
    <w:rsid w:val="00B53C8F"/>
    <w:rsid w:val="00B53D30"/>
    <w:rsid w:val="00B53DFE"/>
    <w:rsid w:val="00B53E96"/>
    <w:rsid w:val="00B53EAC"/>
    <w:rsid w:val="00B53EB4"/>
    <w:rsid w:val="00B53EBD"/>
    <w:rsid w:val="00B53F91"/>
    <w:rsid w:val="00B53FAE"/>
    <w:rsid w:val="00B54060"/>
    <w:rsid w:val="00B54104"/>
    <w:rsid w:val="00B54147"/>
    <w:rsid w:val="00B5414D"/>
    <w:rsid w:val="00B5426E"/>
    <w:rsid w:val="00B5431B"/>
    <w:rsid w:val="00B5433A"/>
    <w:rsid w:val="00B54343"/>
    <w:rsid w:val="00B543A6"/>
    <w:rsid w:val="00B54519"/>
    <w:rsid w:val="00B54582"/>
    <w:rsid w:val="00B5458F"/>
    <w:rsid w:val="00B545C9"/>
    <w:rsid w:val="00B548C0"/>
    <w:rsid w:val="00B548EC"/>
    <w:rsid w:val="00B54972"/>
    <w:rsid w:val="00B549E8"/>
    <w:rsid w:val="00B54A5B"/>
    <w:rsid w:val="00B54B8C"/>
    <w:rsid w:val="00B54BA1"/>
    <w:rsid w:val="00B54C0E"/>
    <w:rsid w:val="00B54C4F"/>
    <w:rsid w:val="00B54C72"/>
    <w:rsid w:val="00B54CA8"/>
    <w:rsid w:val="00B54CF6"/>
    <w:rsid w:val="00B54D4E"/>
    <w:rsid w:val="00B54D58"/>
    <w:rsid w:val="00B54DF7"/>
    <w:rsid w:val="00B54E41"/>
    <w:rsid w:val="00B54E8D"/>
    <w:rsid w:val="00B54EBD"/>
    <w:rsid w:val="00B54F95"/>
    <w:rsid w:val="00B5517D"/>
    <w:rsid w:val="00B552C5"/>
    <w:rsid w:val="00B55359"/>
    <w:rsid w:val="00B553BC"/>
    <w:rsid w:val="00B555A9"/>
    <w:rsid w:val="00B555E2"/>
    <w:rsid w:val="00B5563D"/>
    <w:rsid w:val="00B55643"/>
    <w:rsid w:val="00B55665"/>
    <w:rsid w:val="00B55711"/>
    <w:rsid w:val="00B55736"/>
    <w:rsid w:val="00B55740"/>
    <w:rsid w:val="00B5575A"/>
    <w:rsid w:val="00B557A8"/>
    <w:rsid w:val="00B557E0"/>
    <w:rsid w:val="00B557F6"/>
    <w:rsid w:val="00B5586A"/>
    <w:rsid w:val="00B558CF"/>
    <w:rsid w:val="00B559C6"/>
    <w:rsid w:val="00B55A0B"/>
    <w:rsid w:val="00B55A42"/>
    <w:rsid w:val="00B55A6A"/>
    <w:rsid w:val="00B55B04"/>
    <w:rsid w:val="00B55B75"/>
    <w:rsid w:val="00B55BF4"/>
    <w:rsid w:val="00B55C29"/>
    <w:rsid w:val="00B55CEC"/>
    <w:rsid w:val="00B55D6E"/>
    <w:rsid w:val="00B55DB5"/>
    <w:rsid w:val="00B55DE3"/>
    <w:rsid w:val="00B55E62"/>
    <w:rsid w:val="00B55F41"/>
    <w:rsid w:val="00B55FF1"/>
    <w:rsid w:val="00B56088"/>
    <w:rsid w:val="00B56108"/>
    <w:rsid w:val="00B5617A"/>
    <w:rsid w:val="00B561DE"/>
    <w:rsid w:val="00B5623A"/>
    <w:rsid w:val="00B563E4"/>
    <w:rsid w:val="00B56469"/>
    <w:rsid w:val="00B56485"/>
    <w:rsid w:val="00B564AE"/>
    <w:rsid w:val="00B564C1"/>
    <w:rsid w:val="00B564CB"/>
    <w:rsid w:val="00B564EF"/>
    <w:rsid w:val="00B56562"/>
    <w:rsid w:val="00B56566"/>
    <w:rsid w:val="00B56575"/>
    <w:rsid w:val="00B565F2"/>
    <w:rsid w:val="00B56639"/>
    <w:rsid w:val="00B56661"/>
    <w:rsid w:val="00B5666D"/>
    <w:rsid w:val="00B56735"/>
    <w:rsid w:val="00B5674C"/>
    <w:rsid w:val="00B5677F"/>
    <w:rsid w:val="00B56831"/>
    <w:rsid w:val="00B56860"/>
    <w:rsid w:val="00B568C5"/>
    <w:rsid w:val="00B5695A"/>
    <w:rsid w:val="00B56AD5"/>
    <w:rsid w:val="00B56C9D"/>
    <w:rsid w:val="00B56D4D"/>
    <w:rsid w:val="00B56DC4"/>
    <w:rsid w:val="00B56E02"/>
    <w:rsid w:val="00B56EA4"/>
    <w:rsid w:val="00B56F40"/>
    <w:rsid w:val="00B5704A"/>
    <w:rsid w:val="00B5706D"/>
    <w:rsid w:val="00B57156"/>
    <w:rsid w:val="00B57198"/>
    <w:rsid w:val="00B57218"/>
    <w:rsid w:val="00B57275"/>
    <w:rsid w:val="00B57295"/>
    <w:rsid w:val="00B572AE"/>
    <w:rsid w:val="00B57351"/>
    <w:rsid w:val="00B57460"/>
    <w:rsid w:val="00B5767D"/>
    <w:rsid w:val="00B57721"/>
    <w:rsid w:val="00B578E4"/>
    <w:rsid w:val="00B57960"/>
    <w:rsid w:val="00B57999"/>
    <w:rsid w:val="00B579A3"/>
    <w:rsid w:val="00B57B26"/>
    <w:rsid w:val="00B57BA0"/>
    <w:rsid w:val="00B57D05"/>
    <w:rsid w:val="00B57D66"/>
    <w:rsid w:val="00B57D69"/>
    <w:rsid w:val="00B57E26"/>
    <w:rsid w:val="00B57EB6"/>
    <w:rsid w:val="00B57F85"/>
    <w:rsid w:val="00B6000A"/>
    <w:rsid w:val="00B6002E"/>
    <w:rsid w:val="00B600F0"/>
    <w:rsid w:val="00B6019C"/>
    <w:rsid w:val="00B60216"/>
    <w:rsid w:val="00B603F8"/>
    <w:rsid w:val="00B60414"/>
    <w:rsid w:val="00B60477"/>
    <w:rsid w:val="00B604AC"/>
    <w:rsid w:val="00B6053F"/>
    <w:rsid w:val="00B606B4"/>
    <w:rsid w:val="00B606E5"/>
    <w:rsid w:val="00B60780"/>
    <w:rsid w:val="00B607C6"/>
    <w:rsid w:val="00B607FF"/>
    <w:rsid w:val="00B6088B"/>
    <w:rsid w:val="00B60902"/>
    <w:rsid w:val="00B609BC"/>
    <w:rsid w:val="00B60A34"/>
    <w:rsid w:val="00B60ABB"/>
    <w:rsid w:val="00B60BB7"/>
    <w:rsid w:val="00B60C4E"/>
    <w:rsid w:val="00B60C85"/>
    <w:rsid w:val="00B60C8D"/>
    <w:rsid w:val="00B60CF5"/>
    <w:rsid w:val="00B60D9E"/>
    <w:rsid w:val="00B60E6B"/>
    <w:rsid w:val="00B60F68"/>
    <w:rsid w:val="00B60F9F"/>
    <w:rsid w:val="00B610A3"/>
    <w:rsid w:val="00B610DD"/>
    <w:rsid w:val="00B61184"/>
    <w:rsid w:val="00B61286"/>
    <w:rsid w:val="00B612BD"/>
    <w:rsid w:val="00B6133D"/>
    <w:rsid w:val="00B61395"/>
    <w:rsid w:val="00B613F1"/>
    <w:rsid w:val="00B61404"/>
    <w:rsid w:val="00B61417"/>
    <w:rsid w:val="00B61427"/>
    <w:rsid w:val="00B61527"/>
    <w:rsid w:val="00B61545"/>
    <w:rsid w:val="00B615AB"/>
    <w:rsid w:val="00B616B8"/>
    <w:rsid w:val="00B61727"/>
    <w:rsid w:val="00B61733"/>
    <w:rsid w:val="00B617A3"/>
    <w:rsid w:val="00B617F4"/>
    <w:rsid w:val="00B6180C"/>
    <w:rsid w:val="00B618DD"/>
    <w:rsid w:val="00B618F9"/>
    <w:rsid w:val="00B619D3"/>
    <w:rsid w:val="00B61A20"/>
    <w:rsid w:val="00B61A3A"/>
    <w:rsid w:val="00B61A73"/>
    <w:rsid w:val="00B61AF0"/>
    <w:rsid w:val="00B61AF5"/>
    <w:rsid w:val="00B61B43"/>
    <w:rsid w:val="00B61B4D"/>
    <w:rsid w:val="00B61B6E"/>
    <w:rsid w:val="00B61B98"/>
    <w:rsid w:val="00B61BA3"/>
    <w:rsid w:val="00B61BED"/>
    <w:rsid w:val="00B61C6F"/>
    <w:rsid w:val="00B61D01"/>
    <w:rsid w:val="00B61D0B"/>
    <w:rsid w:val="00B61D0F"/>
    <w:rsid w:val="00B61E02"/>
    <w:rsid w:val="00B61E52"/>
    <w:rsid w:val="00B61F09"/>
    <w:rsid w:val="00B61FB8"/>
    <w:rsid w:val="00B6204F"/>
    <w:rsid w:val="00B62121"/>
    <w:rsid w:val="00B62173"/>
    <w:rsid w:val="00B621DF"/>
    <w:rsid w:val="00B62215"/>
    <w:rsid w:val="00B62268"/>
    <w:rsid w:val="00B622C1"/>
    <w:rsid w:val="00B6237D"/>
    <w:rsid w:val="00B623AD"/>
    <w:rsid w:val="00B62421"/>
    <w:rsid w:val="00B62451"/>
    <w:rsid w:val="00B62492"/>
    <w:rsid w:val="00B624B7"/>
    <w:rsid w:val="00B62569"/>
    <w:rsid w:val="00B62712"/>
    <w:rsid w:val="00B6271D"/>
    <w:rsid w:val="00B62913"/>
    <w:rsid w:val="00B6295B"/>
    <w:rsid w:val="00B62975"/>
    <w:rsid w:val="00B629EC"/>
    <w:rsid w:val="00B62A73"/>
    <w:rsid w:val="00B62B1A"/>
    <w:rsid w:val="00B62B35"/>
    <w:rsid w:val="00B62B6F"/>
    <w:rsid w:val="00B62C0E"/>
    <w:rsid w:val="00B62C1E"/>
    <w:rsid w:val="00B62C49"/>
    <w:rsid w:val="00B62CB2"/>
    <w:rsid w:val="00B62DCB"/>
    <w:rsid w:val="00B62E52"/>
    <w:rsid w:val="00B62E87"/>
    <w:rsid w:val="00B62EC8"/>
    <w:rsid w:val="00B62F21"/>
    <w:rsid w:val="00B631C4"/>
    <w:rsid w:val="00B631D0"/>
    <w:rsid w:val="00B63250"/>
    <w:rsid w:val="00B63346"/>
    <w:rsid w:val="00B63404"/>
    <w:rsid w:val="00B63465"/>
    <w:rsid w:val="00B635D2"/>
    <w:rsid w:val="00B635DB"/>
    <w:rsid w:val="00B635E8"/>
    <w:rsid w:val="00B6372F"/>
    <w:rsid w:val="00B6382E"/>
    <w:rsid w:val="00B6384F"/>
    <w:rsid w:val="00B638A7"/>
    <w:rsid w:val="00B63963"/>
    <w:rsid w:val="00B639A1"/>
    <w:rsid w:val="00B639BB"/>
    <w:rsid w:val="00B63A0B"/>
    <w:rsid w:val="00B63A11"/>
    <w:rsid w:val="00B63A28"/>
    <w:rsid w:val="00B63B40"/>
    <w:rsid w:val="00B63B6F"/>
    <w:rsid w:val="00B63B75"/>
    <w:rsid w:val="00B63B9C"/>
    <w:rsid w:val="00B63CE4"/>
    <w:rsid w:val="00B63E32"/>
    <w:rsid w:val="00B63E83"/>
    <w:rsid w:val="00B63F46"/>
    <w:rsid w:val="00B63FBD"/>
    <w:rsid w:val="00B64081"/>
    <w:rsid w:val="00B6419A"/>
    <w:rsid w:val="00B642B7"/>
    <w:rsid w:val="00B642DC"/>
    <w:rsid w:val="00B6430C"/>
    <w:rsid w:val="00B64342"/>
    <w:rsid w:val="00B64390"/>
    <w:rsid w:val="00B643D9"/>
    <w:rsid w:val="00B64547"/>
    <w:rsid w:val="00B64623"/>
    <w:rsid w:val="00B6465D"/>
    <w:rsid w:val="00B646E6"/>
    <w:rsid w:val="00B6476D"/>
    <w:rsid w:val="00B64803"/>
    <w:rsid w:val="00B648FB"/>
    <w:rsid w:val="00B64949"/>
    <w:rsid w:val="00B649DA"/>
    <w:rsid w:val="00B64A2F"/>
    <w:rsid w:val="00B64AD5"/>
    <w:rsid w:val="00B64B43"/>
    <w:rsid w:val="00B64B70"/>
    <w:rsid w:val="00B64BDE"/>
    <w:rsid w:val="00B64BEC"/>
    <w:rsid w:val="00B64C94"/>
    <w:rsid w:val="00B64CA1"/>
    <w:rsid w:val="00B64CE0"/>
    <w:rsid w:val="00B64D1B"/>
    <w:rsid w:val="00B64D6F"/>
    <w:rsid w:val="00B64D7E"/>
    <w:rsid w:val="00B64E20"/>
    <w:rsid w:val="00B64F90"/>
    <w:rsid w:val="00B64F91"/>
    <w:rsid w:val="00B65054"/>
    <w:rsid w:val="00B650B8"/>
    <w:rsid w:val="00B650D9"/>
    <w:rsid w:val="00B65112"/>
    <w:rsid w:val="00B6521D"/>
    <w:rsid w:val="00B65295"/>
    <w:rsid w:val="00B652A4"/>
    <w:rsid w:val="00B65347"/>
    <w:rsid w:val="00B653BF"/>
    <w:rsid w:val="00B654EF"/>
    <w:rsid w:val="00B655C7"/>
    <w:rsid w:val="00B655D0"/>
    <w:rsid w:val="00B65644"/>
    <w:rsid w:val="00B657A6"/>
    <w:rsid w:val="00B657D8"/>
    <w:rsid w:val="00B6588A"/>
    <w:rsid w:val="00B65A67"/>
    <w:rsid w:val="00B65A85"/>
    <w:rsid w:val="00B65B7E"/>
    <w:rsid w:val="00B65B87"/>
    <w:rsid w:val="00B65BC2"/>
    <w:rsid w:val="00B65BF5"/>
    <w:rsid w:val="00B65D1D"/>
    <w:rsid w:val="00B65D4D"/>
    <w:rsid w:val="00B65D61"/>
    <w:rsid w:val="00B65D71"/>
    <w:rsid w:val="00B65DE1"/>
    <w:rsid w:val="00B65E0C"/>
    <w:rsid w:val="00B65E14"/>
    <w:rsid w:val="00B65E15"/>
    <w:rsid w:val="00B65EA9"/>
    <w:rsid w:val="00B65F76"/>
    <w:rsid w:val="00B65F8C"/>
    <w:rsid w:val="00B66010"/>
    <w:rsid w:val="00B660A9"/>
    <w:rsid w:val="00B660C0"/>
    <w:rsid w:val="00B660EA"/>
    <w:rsid w:val="00B66252"/>
    <w:rsid w:val="00B662FB"/>
    <w:rsid w:val="00B6630A"/>
    <w:rsid w:val="00B66388"/>
    <w:rsid w:val="00B663B2"/>
    <w:rsid w:val="00B663D7"/>
    <w:rsid w:val="00B6641A"/>
    <w:rsid w:val="00B66425"/>
    <w:rsid w:val="00B6643A"/>
    <w:rsid w:val="00B664F8"/>
    <w:rsid w:val="00B6655B"/>
    <w:rsid w:val="00B6656D"/>
    <w:rsid w:val="00B665A2"/>
    <w:rsid w:val="00B665C8"/>
    <w:rsid w:val="00B6668F"/>
    <w:rsid w:val="00B666BF"/>
    <w:rsid w:val="00B66757"/>
    <w:rsid w:val="00B66770"/>
    <w:rsid w:val="00B66788"/>
    <w:rsid w:val="00B66861"/>
    <w:rsid w:val="00B66936"/>
    <w:rsid w:val="00B66946"/>
    <w:rsid w:val="00B66A72"/>
    <w:rsid w:val="00B66B99"/>
    <w:rsid w:val="00B66BE6"/>
    <w:rsid w:val="00B66C17"/>
    <w:rsid w:val="00B66C21"/>
    <w:rsid w:val="00B66CAE"/>
    <w:rsid w:val="00B66DB2"/>
    <w:rsid w:val="00B66EB2"/>
    <w:rsid w:val="00B66F79"/>
    <w:rsid w:val="00B67092"/>
    <w:rsid w:val="00B67093"/>
    <w:rsid w:val="00B670AF"/>
    <w:rsid w:val="00B670E3"/>
    <w:rsid w:val="00B6716D"/>
    <w:rsid w:val="00B671C3"/>
    <w:rsid w:val="00B67211"/>
    <w:rsid w:val="00B6723B"/>
    <w:rsid w:val="00B67353"/>
    <w:rsid w:val="00B674A0"/>
    <w:rsid w:val="00B674AB"/>
    <w:rsid w:val="00B67503"/>
    <w:rsid w:val="00B6754A"/>
    <w:rsid w:val="00B67582"/>
    <w:rsid w:val="00B67611"/>
    <w:rsid w:val="00B6776D"/>
    <w:rsid w:val="00B677BF"/>
    <w:rsid w:val="00B67884"/>
    <w:rsid w:val="00B67969"/>
    <w:rsid w:val="00B679A4"/>
    <w:rsid w:val="00B679DA"/>
    <w:rsid w:val="00B67A48"/>
    <w:rsid w:val="00B67AC2"/>
    <w:rsid w:val="00B67B89"/>
    <w:rsid w:val="00B67C22"/>
    <w:rsid w:val="00B67C33"/>
    <w:rsid w:val="00B67CD6"/>
    <w:rsid w:val="00B67D71"/>
    <w:rsid w:val="00B67D84"/>
    <w:rsid w:val="00B67E23"/>
    <w:rsid w:val="00B67E6F"/>
    <w:rsid w:val="00B67EC3"/>
    <w:rsid w:val="00B67F60"/>
    <w:rsid w:val="00B7007D"/>
    <w:rsid w:val="00B7017A"/>
    <w:rsid w:val="00B7018B"/>
    <w:rsid w:val="00B70214"/>
    <w:rsid w:val="00B7021E"/>
    <w:rsid w:val="00B702AF"/>
    <w:rsid w:val="00B702CF"/>
    <w:rsid w:val="00B70339"/>
    <w:rsid w:val="00B70360"/>
    <w:rsid w:val="00B7049C"/>
    <w:rsid w:val="00B70710"/>
    <w:rsid w:val="00B70715"/>
    <w:rsid w:val="00B70793"/>
    <w:rsid w:val="00B707A0"/>
    <w:rsid w:val="00B708A9"/>
    <w:rsid w:val="00B7092D"/>
    <w:rsid w:val="00B70A90"/>
    <w:rsid w:val="00B70CA7"/>
    <w:rsid w:val="00B70D3E"/>
    <w:rsid w:val="00B70D9E"/>
    <w:rsid w:val="00B70EAB"/>
    <w:rsid w:val="00B70FA5"/>
    <w:rsid w:val="00B70FA9"/>
    <w:rsid w:val="00B7102A"/>
    <w:rsid w:val="00B710FB"/>
    <w:rsid w:val="00B7129B"/>
    <w:rsid w:val="00B712FD"/>
    <w:rsid w:val="00B7138B"/>
    <w:rsid w:val="00B71443"/>
    <w:rsid w:val="00B71460"/>
    <w:rsid w:val="00B71511"/>
    <w:rsid w:val="00B71566"/>
    <w:rsid w:val="00B715CA"/>
    <w:rsid w:val="00B7163E"/>
    <w:rsid w:val="00B7169F"/>
    <w:rsid w:val="00B716E1"/>
    <w:rsid w:val="00B71721"/>
    <w:rsid w:val="00B717A4"/>
    <w:rsid w:val="00B71947"/>
    <w:rsid w:val="00B719A6"/>
    <w:rsid w:val="00B719E4"/>
    <w:rsid w:val="00B71A08"/>
    <w:rsid w:val="00B71A20"/>
    <w:rsid w:val="00B71A63"/>
    <w:rsid w:val="00B71C4E"/>
    <w:rsid w:val="00B71CE0"/>
    <w:rsid w:val="00B71D08"/>
    <w:rsid w:val="00B71D68"/>
    <w:rsid w:val="00B71ECC"/>
    <w:rsid w:val="00B71EE5"/>
    <w:rsid w:val="00B72022"/>
    <w:rsid w:val="00B72144"/>
    <w:rsid w:val="00B72242"/>
    <w:rsid w:val="00B72266"/>
    <w:rsid w:val="00B722F4"/>
    <w:rsid w:val="00B72362"/>
    <w:rsid w:val="00B723B3"/>
    <w:rsid w:val="00B72426"/>
    <w:rsid w:val="00B72445"/>
    <w:rsid w:val="00B724B5"/>
    <w:rsid w:val="00B724FE"/>
    <w:rsid w:val="00B72630"/>
    <w:rsid w:val="00B72741"/>
    <w:rsid w:val="00B7275B"/>
    <w:rsid w:val="00B727BF"/>
    <w:rsid w:val="00B72859"/>
    <w:rsid w:val="00B7288B"/>
    <w:rsid w:val="00B728B7"/>
    <w:rsid w:val="00B728CA"/>
    <w:rsid w:val="00B729A3"/>
    <w:rsid w:val="00B72A36"/>
    <w:rsid w:val="00B72A72"/>
    <w:rsid w:val="00B72AA6"/>
    <w:rsid w:val="00B72AF0"/>
    <w:rsid w:val="00B72B7C"/>
    <w:rsid w:val="00B72C04"/>
    <w:rsid w:val="00B72C2B"/>
    <w:rsid w:val="00B72C3A"/>
    <w:rsid w:val="00B72D20"/>
    <w:rsid w:val="00B72D3D"/>
    <w:rsid w:val="00B72D83"/>
    <w:rsid w:val="00B72E01"/>
    <w:rsid w:val="00B72F0A"/>
    <w:rsid w:val="00B72F1F"/>
    <w:rsid w:val="00B72F9F"/>
    <w:rsid w:val="00B72FA8"/>
    <w:rsid w:val="00B72FCB"/>
    <w:rsid w:val="00B7305D"/>
    <w:rsid w:val="00B73076"/>
    <w:rsid w:val="00B730B6"/>
    <w:rsid w:val="00B730EF"/>
    <w:rsid w:val="00B73145"/>
    <w:rsid w:val="00B731DB"/>
    <w:rsid w:val="00B73286"/>
    <w:rsid w:val="00B732DD"/>
    <w:rsid w:val="00B735FE"/>
    <w:rsid w:val="00B736B8"/>
    <w:rsid w:val="00B73769"/>
    <w:rsid w:val="00B73776"/>
    <w:rsid w:val="00B73796"/>
    <w:rsid w:val="00B737D8"/>
    <w:rsid w:val="00B737EB"/>
    <w:rsid w:val="00B73843"/>
    <w:rsid w:val="00B73891"/>
    <w:rsid w:val="00B7389C"/>
    <w:rsid w:val="00B738D5"/>
    <w:rsid w:val="00B738DA"/>
    <w:rsid w:val="00B73A29"/>
    <w:rsid w:val="00B73B76"/>
    <w:rsid w:val="00B73B7F"/>
    <w:rsid w:val="00B73B80"/>
    <w:rsid w:val="00B73BEE"/>
    <w:rsid w:val="00B73C44"/>
    <w:rsid w:val="00B73CC9"/>
    <w:rsid w:val="00B73DF3"/>
    <w:rsid w:val="00B73DF8"/>
    <w:rsid w:val="00B73E3A"/>
    <w:rsid w:val="00B73FAD"/>
    <w:rsid w:val="00B7407C"/>
    <w:rsid w:val="00B74093"/>
    <w:rsid w:val="00B7411D"/>
    <w:rsid w:val="00B74225"/>
    <w:rsid w:val="00B742AF"/>
    <w:rsid w:val="00B742D3"/>
    <w:rsid w:val="00B74351"/>
    <w:rsid w:val="00B744A1"/>
    <w:rsid w:val="00B744E6"/>
    <w:rsid w:val="00B74504"/>
    <w:rsid w:val="00B745DE"/>
    <w:rsid w:val="00B74647"/>
    <w:rsid w:val="00B74686"/>
    <w:rsid w:val="00B7470B"/>
    <w:rsid w:val="00B74743"/>
    <w:rsid w:val="00B74814"/>
    <w:rsid w:val="00B748B6"/>
    <w:rsid w:val="00B748DF"/>
    <w:rsid w:val="00B74908"/>
    <w:rsid w:val="00B7492A"/>
    <w:rsid w:val="00B74997"/>
    <w:rsid w:val="00B74998"/>
    <w:rsid w:val="00B749F3"/>
    <w:rsid w:val="00B74A65"/>
    <w:rsid w:val="00B74AC6"/>
    <w:rsid w:val="00B74B48"/>
    <w:rsid w:val="00B74B72"/>
    <w:rsid w:val="00B74BD9"/>
    <w:rsid w:val="00B74C9D"/>
    <w:rsid w:val="00B74E03"/>
    <w:rsid w:val="00B74E1A"/>
    <w:rsid w:val="00B74ED2"/>
    <w:rsid w:val="00B74F48"/>
    <w:rsid w:val="00B74F5F"/>
    <w:rsid w:val="00B74FCC"/>
    <w:rsid w:val="00B75075"/>
    <w:rsid w:val="00B750D0"/>
    <w:rsid w:val="00B7518F"/>
    <w:rsid w:val="00B75233"/>
    <w:rsid w:val="00B75372"/>
    <w:rsid w:val="00B753C9"/>
    <w:rsid w:val="00B753D2"/>
    <w:rsid w:val="00B7559F"/>
    <w:rsid w:val="00B755F8"/>
    <w:rsid w:val="00B756D7"/>
    <w:rsid w:val="00B75893"/>
    <w:rsid w:val="00B758CA"/>
    <w:rsid w:val="00B758FE"/>
    <w:rsid w:val="00B758FF"/>
    <w:rsid w:val="00B75955"/>
    <w:rsid w:val="00B7597D"/>
    <w:rsid w:val="00B759B4"/>
    <w:rsid w:val="00B759C9"/>
    <w:rsid w:val="00B759E1"/>
    <w:rsid w:val="00B75AD1"/>
    <w:rsid w:val="00B75B50"/>
    <w:rsid w:val="00B75B6B"/>
    <w:rsid w:val="00B75BAC"/>
    <w:rsid w:val="00B75C9A"/>
    <w:rsid w:val="00B75DCD"/>
    <w:rsid w:val="00B75DD1"/>
    <w:rsid w:val="00B75E5A"/>
    <w:rsid w:val="00B75F46"/>
    <w:rsid w:val="00B75FB9"/>
    <w:rsid w:val="00B75FC3"/>
    <w:rsid w:val="00B75FDF"/>
    <w:rsid w:val="00B76117"/>
    <w:rsid w:val="00B76191"/>
    <w:rsid w:val="00B761C0"/>
    <w:rsid w:val="00B761D7"/>
    <w:rsid w:val="00B76292"/>
    <w:rsid w:val="00B762A7"/>
    <w:rsid w:val="00B762D5"/>
    <w:rsid w:val="00B763A8"/>
    <w:rsid w:val="00B763AE"/>
    <w:rsid w:val="00B76591"/>
    <w:rsid w:val="00B76595"/>
    <w:rsid w:val="00B765FD"/>
    <w:rsid w:val="00B76633"/>
    <w:rsid w:val="00B76782"/>
    <w:rsid w:val="00B7678F"/>
    <w:rsid w:val="00B76808"/>
    <w:rsid w:val="00B76859"/>
    <w:rsid w:val="00B76889"/>
    <w:rsid w:val="00B7699A"/>
    <w:rsid w:val="00B769A6"/>
    <w:rsid w:val="00B769C1"/>
    <w:rsid w:val="00B76A50"/>
    <w:rsid w:val="00B76AF3"/>
    <w:rsid w:val="00B76B49"/>
    <w:rsid w:val="00B76B50"/>
    <w:rsid w:val="00B76B8D"/>
    <w:rsid w:val="00B76BBA"/>
    <w:rsid w:val="00B76BBB"/>
    <w:rsid w:val="00B76BC5"/>
    <w:rsid w:val="00B76C55"/>
    <w:rsid w:val="00B76CE4"/>
    <w:rsid w:val="00B76DE6"/>
    <w:rsid w:val="00B76E68"/>
    <w:rsid w:val="00B76EC6"/>
    <w:rsid w:val="00B76ED4"/>
    <w:rsid w:val="00B76ED6"/>
    <w:rsid w:val="00B76F31"/>
    <w:rsid w:val="00B76F34"/>
    <w:rsid w:val="00B76F5A"/>
    <w:rsid w:val="00B76F7D"/>
    <w:rsid w:val="00B76FE3"/>
    <w:rsid w:val="00B77011"/>
    <w:rsid w:val="00B77052"/>
    <w:rsid w:val="00B7708F"/>
    <w:rsid w:val="00B77160"/>
    <w:rsid w:val="00B771AD"/>
    <w:rsid w:val="00B771BA"/>
    <w:rsid w:val="00B771FB"/>
    <w:rsid w:val="00B77282"/>
    <w:rsid w:val="00B7728D"/>
    <w:rsid w:val="00B7729D"/>
    <w:rsid w:val="00B772BF"/>
    <w:rsid w:val="00B772F3"/>
    <w:rsid w:val="00B7731A"/>
    <w:rsid w:val="00B77378"/>
    <w:rsid w:val="00B7739D"/>
    <w:rsid w:val="00B7740A"/>
    <w:rsid w:val="00B77455"/>
    <w:rsid w:val="00B774F4"/>
    <w:rsid w:val="00B77547"/>
    <w:rsid w:val="00B775EE"/>
    <w:rsid w:val="00B7760D"/>
    <w:rsid w:val="00B776C3"/>
    <w:rsid w:val="00B776CA"/>
    <w:rsid w:val="00B776E9"/>
    <w:rsid w:val="00B77826"/>
    <w:rsid w:val="00B77871"/>
    <w:rsid w:val="00B778C1"/>
    <w:rsid w:val="00B778D2"/>
    <w:rsid w:val="00B778E9"/>
    <w:rsid w:val="00B7796B"/>
    <w:rsid w:val="00B779E7"/>
    <w:rsid w:val="00B77A8F"/>
    <w:rsid w:val="00B77BA2"/>
    <w:rsid w:val="00B77C32"/>
    <w:rsid w:val="00B77D1F"/>
    <w:rsid w:val="00B77D49"/>
    <w:rsid w:val="00B77E42"/>
    <w:rsid w:val="00B77E89"/>
    <w:rsid w:val="00B77E91"/>
    <w:rsid w:val="00B77EFF"/>
    <w:rsid w:val="00B77F83"/>
    <w:rsid w:val="00B8018E"/>
    <w:rsid w:val="00B80218"/>
    <w:rsid w:val="00B8027B"/>
    <w:rsid w:val="00B80374"/>
    <w:rsid w:val="00B8037D"/>
    <w:rsid w:val="00B803A5"/>
    <w:rsid w:val="00B803F1"/>
    <w:rsid w:val="00B8046B"/>
    <w:rsid w:val="00B80473"/>
    <w:rsid w:val="00B80483"/>
    <w:rsid w:val="00B80635"/>
    <w:rsid w:val="00B806B4"/>
    <w:rsid w:val="00B807B8"/>
    <w:rsid w:val="00B807F5"/>
    <w:rsid w:val="00B808E4"/>
    <w:rsid w:val="00B8093D"/>
    <w:rsid w:val="00B80984"/>
    <w:rsid w:val="00B809F3"/>
    <w:rsid w:val="00B809FC"/>
    <w:rsid w:val="00B80AAA"/>
    <w:rsid w:val="00B80B45"/>
    <w:rsid w:val="00B80B5A"/>
    <w:rsid w:val="00B80BB8"/>
    <w:rsid w:val="00B80BFE"/>
    <w:rsid w:val="00B80C01"/>
    <w:rsid w:val="00B80C3D"/>
    <w:rsid w:val="00B80C6B"/>
    <w:rsid w:val="00B80D42"/>
    <w:rsid w:val="00B80D46"/>
    <w:rsid w:val="00B80D68"/>
    <w:rsid w:val="00B80DC1"/>
    <w:rsid w:val="00B80DCF"/>
    <w:rsid w:val="00B80EF7"/>
    <w:rsid w:val="00B80FEC"/>
    <w:rsid w:val="00B80FFB"/>
    <w:rsid w:val="00B810C2"/>
    <w:rsid w:val="00B81177"/>
    <w:rsid w:val="00B8121A"/>
    <w:rsid w:val="00B812F9"/>
    <w:rsid w:val="00B813A5"/>
    <w:rsid w:val="00B814F6"/>
    <w:rsid w:val="00B815A9"/>
    <w:rsid w:val="00B815E8"/>
    <w:rsid w:val="00B81742"/>
    <w:rsid w:val="00B817F0"/>
    <w:rsid w:val="00B81806"/>
    <w:rsid w:val="00B81820"/>
    <w:rsid w:val="00B81923"/>
    <w:rsid w:val="00B81994"/>
    <w:rsid w:val="00B819BD"/>
    <w:rsid w:val="00B819BE"/>
    <w:rsid w:val="00B81A01"/>
    <w:rsid w:val="00B81A1D"/>
    <w:rsid w:val="00B81A51"/>
    <w:rsid w:val="00B81B51"/>
    <w:rsid w:val="00B81B59"/>
    <w:rsid w:val="00B81B60"/>
    <w:rsid w:val="00B81BEE"/>
    <w:rsid w:val="00B81CA5"/>
    <w:rsid w:val="00B81D1B"/>
    <w:rsid w:val="00B81E8C"/>
    <w:rsid w:val="00B81EAE"/>
    <w:rsid w:val="00B81EDB"/>
    <w:rsid w:val="00B81F7E"/>
    <w:rsid w:val="00B8200B"/>
    <w:rsid w:val="00B82175"/>
    <w:rsid w:val="00B821D4"/>
    <w:rsid w:val="00B8224F"/>
    <w:rsid w:val="00B822EF"/>
    <w:rsid w:val="00B822F0"/>
    <w:rsid w:val="00B82305"/>
    <w:rsid w:val="00B82380"/>
    <w:rsid w:val="00B823CD"/>
    <w:rsid w:val="00B824BD"/>
    <w:rsid w:val="00B826EB"/>
    <w:rsid w:val="00B82785"/>
    <w:rsid w:val="00B8289F"/>
    <w:rsid w:val="00B828F6"/>
    <w:rsid w:val="00B8290C"/>
    <w:rsid w:val="00B8296C"/>
    <w:rsid w:val="00B82B84"/>
    <w:rsid w:val="00B82CF8"/>
    <w:rsid w:val="00B82D16"/>
    <w:rsid w:val="00B82D80"/>
    <w:rsid w:val="00B82E2E"/>
    <w:rsid w:val="00B82E32"/>
    <w:rsid w:val="00B82FBB"/>
    <w:rsid w:val="00B82FE4"/>
    <w:rsid w:val="00B83066"/>
    <w:rsid w:val="00B83167"/>
    <w:rsid w:val="00B83213"/>
    <w:rsid w:val="00B8323E"/>
    <w:rsid w:val="00B8327E"/>
    <w:rsid w:val="00B832DF"/>
    <w:rsid w:val="00B8330D"/>
    <w:rsid w:val="00B833C6"/>
    <w:rsid w:val="00B833FF"/>
    <w:rsid w:val="00B8346F"/>
    <w:rsid w:val="00B8351A"/>
    <w:rsid w:val="00B835AD"/>
    <w:rsid w:val="00B835BC"/>
    <w:rsid w:val="00B835DC"/>
    <w:rsid w:val="00B8363D"/>
    <w:rsid w:val="00B8367D"/>
    <w:rsid w:val="00B83730"/>
    <w:rsid w:val="00B8390E"/>
    <w:rsid w:val="00B8395B"/>
    <w:rsid w:val="00B83966"/>
    <w:rsid w:val="00B839E3"/>
    <w:rsid w:val="00B839FD"/>
    <w:rsid w:val="00B83B21"/>
    <w:rsid w:val="00B83B22"/>
    <w:rsid w:val="00B83B79"/>
    <w:rsid w:val="00B83BA7"/>
    <w:rsid w:val="00B83BD9"/>
    <w:rsid w:val="00B83C72"/>
    <w:rsid w:val="00B83CFA"/>
    <w:rsid w:val="00B83D07"/>
    <w:rsid w:val="00B83D4E"/>
    <w:rsid w:val="00B83D7B"/>
    <w:rsid w:val="00B83DF1"/>
    <w:rsid w:val="00B83E11"/>
    <w:rsid w:val="00B83E7D"/>
    <w:rsid w:val="00B83EBA"/>
    <w:rsid w:val="00B83F13"/>
    <w:rsid w:val="00B83FE6"/>
    <w:rsid w:val="00B83FEE"/>
    <w:rsid w:val="00B84020"/>
    <w:rsid w:val="00B8403C"/>
    <w:rsid w:val="00B84077"/>
    <w:rsid w:val="00B840FE"/>
    <w:rsid w:val="00B84102"/>
    <w:rsid w:val="00B8412F"/>
    <w:rsid w:val="00B84215"/>
    <w:rsid w:val="00B8424F"/>
    <w:rsid w:val="00B8429C"/>
    <w:rsid w:val="00B842D4"/>
    <w:rsid w:val="00B842D6"/>
    <w:rsid w:val="00B84361"/>
    <w:rsid w:val="00B84406"/>
    <w:rsid w:val="00B8447C"/>
    <w:rsid w:val="00B844CE"/>
    <w:rsid w:val="00B844D0"/>
    <w:rsid w:val="00B84517"/>
    <w:rsid w:val="00B84538"/>
    <w:rsid w:val="00B84596"/>
    <w:rsid w:val="00B8459E"/>
    <w:rsid w:val="00B845BB"/>
    <w:rsid w:val="00B84696"/>
    <w:rsid w:val="00B84705"/>
    <w:rsid w:val="00B8473E"/>
    <w:rsid w:val="00B84741"/>
    <w:rsid w:val="00B84746"/>
    <w:rsid w:val="00B8477B"/>
    <w:rsid w:val="00B847B8"/>
    <w:rsid w:val="00B8483F"/>
    <w:rsid w:val="00B8494E"/>
    <w:rsid w:val="00B84957"/>
    <w:rsid w:val="00B84971"/>
    <w:rsid w:val="00B84A65"/>
    <w:rsid w:val="00B84B6D"/>
    <w:rsid w:val="00B84C38"/>
    <w:rsid w:val="00B84CDB"/>
    <w:rsid w:val="00B84CE4"/>
    <w:rsid w:val="00B84D94"/>
    <w:rsid w:val="00B84FAA"/>
    <w:rsid w:val="00B84FC8"/>
    <w:rsid w:val="00B851C5"/>
    <w:rsid w:val="00B85228"/>
    <w:rsid w:val="00B85291"/>
    <w:rsid w:val="00B853F6"/>
    <w:rsid w:val="00B85414"/>
    <w:rsid w:val="00B8548D"/>
    <w:rsid w:val="00B854A2"/>
    <w:rsid w:val="00B854D8"/>
    <w:rsid w:val="00B8555A"/>
    <w:rsid w:val="00B85577"/>
    <w:rsid w:val="00B855B0"/>
    <w:rsid w:val="00B8561F"/>
    <w:rsid w:val="00B856BB"/>
    <w:rsid w:val="00B856D1"/>
    <w:rsid w:val="00B857AE"/>
    <w:rsid w:val="00B857E9"/>
    <w:rsid w:val="00B859C7"/>
    <w:rsid w:val="00B85BB7"/>
    <w:rsid w:val="00B85E5D"/>
    <w:rsid w:val="00B85EFA"/>
    <w:rsid w:val="00B85F13"/>
    <w:rsid w:val="00B86142"/>
    <w:rsid w:val="00B8616B"/>
    <w:rsid w:val="00B8616D"/>
    <w:rsid w:val="00B861EF"/>
    <w:rsid w:val="00B86360"/>
    <w:rsid w:val="00B8645A"/>
    <w:rsid w:val="00B864DD"/>
    <w:rsid w:val="00B8652A"/>
    <w:rsid w:val="00B86590"/>
    <w:rsid w:val="00B865F4"/>
    <w:rsid w:val="00B86603"/>
    <w:rsid w:val="00B8664A"/>
    <w:rsid w:val="00B866E0"/>
    <w:rsid w:val="00B86790"/>
    <w:rsid w:val="00B867A3"/>
    <w:rsid w:val="00B86870"/>
    <w:rsid w:val="00B868E8"/>
    <w:rsid w:val="00B868F4"/>
    <w:rsid w:val="00B869D8"/>
    <w:rsid w:val="00B86A08"/>
    <w:rsid w:val="00B86A0C"/>
    <w:rsid w:val="00B86A9D"/>
    <w:rsid w:val="00B86B1C"/>
    <w:rsid w:val="00B86BF2"/>
    <w:rsid w:val="00B86C80"/>
    <w:rsid w:val="00B86CC1"/>
    <w:rsid w:val="00B86E60"/>
    <w:rsid w:val="00B86E6D"/>
    <w:rsid w:val="00B86EC2"/>
    <w:rsid w:val="00B86EDB"/>
    <w:rsid w:val="00B86F15"/>
    <w:rsid w:val="00B86F56"/>
    <w:rsid w:val="00B86F65"/>
    <w:rsid w:val="00B86FDA"/>
    <w:rsid w:val="00B870A6"/>
    <w:rsid w:val="00B87126"/>
    <w:rsid w:val="00B8712E"/>
    <w:rsid w:val="00B8717E"/>
    <w:rsid w:val="00B8719D"/>
    <w:rsid w:val="00B8719F"/>
    <w:rsid w:val="00B871F5"/>
    <w:rsid w:val="00B87338"/>
    <w:rsid w:val="00B874A1"/>
    <w:rsid w:val="00B87583"/>
    <w:rsid w:val="00B875D2"/>
    <w:rsid w:val="00B87601"/>
    <w:rsid w:val="00B8763D"/>
    <w:rsid w:val="00B876BB"/>
    <w:rsid w:val="00B87717"/>
    <w:rsid w:val="00B877AC"/>
    <w:rsid w:val="00B877CD"/>
    <w:rsid w:val="00B8784D"/>
    <w:rsid w:val="00B878DE"/>
    <w:rsid w:val="00B87927"/>
    <w:rsid w:val="00B879D2"/>
    <w:rsid w:val="00B87A00"/>
    <w:rsid w:val="00B87A3E"/>
    <w:rsid w:val="00B87ADA"/>
    <w:rsid w:val="00B87C1C"/>
    <w:rsid w:val="00B87C30"/>
    <w:rsid w:val="00B87CD4"/>
    <w:rsid w:val="00B87D4A"/>
    <w:rsid w:val="00B87D56"/>
    <w:rsid w:val="00B87DE2"/>
    <w:rsid w:val="00B87E5D"/>
    <w:rsid w:val="00B9000D"/>
    <w:rsid w:val="00B90115"/>
    <w:rsid w:val="00B901B8"/>
    <w:rsid w:val="00B901D5"/>
    <w:rsid w:val="00B9022C"/>
    <w:rsid w:val="00B90379"/>
    <w:rsid w:val="00B9040C"/>
    <w:rsid w:val="00B90456"/>
    <w:rsid w:val="00B90496"/>
    <w:rsid w:val="00B904F6"/>
    <w:rsid w:val="00B90563"/>
    <w:rsid w:val="00B90781"/>
    <w:rsid w:val="00B9090D"/>
    <w:rsid w:val="00B90A3A"/>
    <w:rsid w:val="00B90AE5"/>
    <w:rsid w:val="00B90B15"/>
    <w:rsid w:val="00B90B4F"/>
    <w:rsid w:val="00B90C30"/>
    <w:rsid w:val="00B90CA5"/>
    <w:rsid w:val="00B90D25"/>
    <w:rsid w:val="00B90DF3"/>
    <w:rsid w:val="00B90E02"/>
    <w:rsid w:val="00B90EBC"/>
    <w:rsid w:val="00B90EC1"/>
    <w:rsid w:val="00B90ED1"/>
    <w:rsid w:val="00B90F41"/>
    <w:rsid w:val="00B90FD5"/>
    <w:rsid w:val="00B9109D"/>
    <w:rsid w:val="00B91120"/>
    <w:rsid w:val="00B91124"/>
    <w:rsid w:val="00B911EA"/>
    <w:rsid w:val="00B9128B"/>
    <w:rsid w:val="00B912A9"/>
    <w:rsid w:val="00B91314"/>
    <w:rsid w:val="00B913BC"/>
    <w:rsid w:val="00B91424"/>
    <w:rsid w:val="00B91453"/>
    <w:rsid w:val="00B914D2"/>
    <w:rsid w:val="00B91517"/>
    <w:rsid w:val="00B91538"/>
    <w:rsid w:val="00B9154E"/>
    <w:rsid w:val="00B91577"/>
    <w:rsid w:val="00B9158B"/>
    <w:rsid w:val="00B916F2"/>
    <w:rsid w:val="00B9175D"/>
    <w:rsid w:val="00B91770"/>
    <w:rsid w:val="00B9178A"/>
    <w:rsid w:val="00B9179E"/>
    <w:rsid w:val="00B91913"/>
    <w:rsid w:val="00B91972"/>
    <w:rsid w:val="00B9198E"/>
    <w:rsid w:val="00B919B2"/>
    <w:rsid w:val="00B91A50"/>
    <w:rsid w:val="00B91A9F"/>
    <w:rsid w:val="00B91B54"/>
    <w:rsid w:val="00B91B74"/>
    <w:rsid w:val="00B91BBA"/>
    <w:rsid w:val="00B91BBF"/>
    <w:rsid w:val="00B91BD3"/>
    <w:rsid w:val="00B91BF3"/>
    <w:rsid w:val="00B91C10"/>
    <w:rsid w:val="00B91C20"/>
    <w:rsid w:val="00B91C97"/>
    <w:rsid w:val="00B91D08"/>
    <w:rsid w:val="00B91D94"/>
    <w:rsid w:val="00B91E01"/>
    <w:rsid w:val="00B91E6F"/>
    <w:rsid w:val="00B91EA8"/>
    <w:rsid w:val="00B91EF0"/>
    <w:rsid w:val="00B91F50"/>
    <w:rsid w:val="00B92054"/>
    <w:rsid w:val="00B92077"/>
    <w:rsid w:val="00B920E9"/>
    <w:rsid w:val="00B92145"/>
    <w:rsid w:val="00B92205"/>
    <w:rsid w:val="00B9223B"/>
    <w:rsid w:val="00B92257"/>
    <w:rsid w:val="00B92331"/>
    <w:rsid w:val="00B923D1"/>
    <w:rsid w:val="00B923DB"/>
    <w:rsid w:val="00B923FD"/>
    <w:rsid w:val="00B9245A"/>
    <w:rsid w:val="00B924A1"/>
    <w:rsid w:val="00B924AA"/>
    <w:rsid w:val="00B924DC"/>
    <w:rsid w:val="00B925A0"/>
    <w:rsid w:val="00B925A9"/>
    <w:rsid w:val="00B9262A"/>
    <w:rsid w:val="00B9263A"/>
    <w:rsid w:val="00B9266F"/>
    <w:rsid w:val="00B926E1"/>
    <w:rsid w:val="00B92721"/>
    <w:rsid w:val="00B9278E"/>
    <w:rsid w:val="00B927DC"/>
    <w:rsid w:val="00B92800"/>
    <w:rsid w:val="00B9280A"/>
    <w:rsid w:val="00B928D0"/>
    <w:rsid w:val="00B928D6"/>
    <w:rsid w:val="00B928F1"/>
    <w:rsid w:val="00B928F9"/>
    <w:rsid w:val="00B928FD"/>
    <w:rsid w:val="00B9295F"/>
    <w:rsid w:val="00B92A12"/>
    <w:rsid w:val="00B92AEC"/>
    <w:rsid w:val="00B92B14"/>
    <w:rsid w:val="00B92C9E"/>
    <w:rsid w:val="00B92CAA"/>
    <w:rsid w:val="00B92CCE"/>
    <w:rsid w:val="00B92D1D"/>
    <w:rsid w:val="00B92E1F"/>
    <w:rsid w:val="00B92E2D"/>
    <w:rsid w:val="00B92E7B"/>
    <w:rsid w:val="00B92E84"/>
    <w:rsid w:val="00B92FF7"/>
    <w:rsid w:val="00B93004"/>
    <w:rsid w:val="00B9301C"/>
    <w:rsid w:val="00B93036"/>
    <w:rsid w:val="00B9313A"/>
    <w:rsid w:val="00B932B6"/>
    <w:rsid w:val="00B932FD"/>
    <w:rsid w:val="00B93330"/>
    <w:rsid w:val="00B93404"/>
    <w:rsid w:val="00B934C3"/>
    <w:rsid w:val="00B93550"/>
    <w:rsid w:val="00B935BC"/>
    <w:rsid w:val="00B935FF"/>
    <w:rsid w:val="00B93613"/>
    <w:rsid w:val="00B9362E"/>
    <w:rsid w:val="00B936A8"/>
    <w:rsid w:val="00B937A6"/>
    <w:rsid w:val="00B938AB"/>
    <w:rsid w:val="00B938BF"/>
    <w:rsid w:val="00B93928"/>
    <w:rsid w:val="00B93943"/>
    <w:rsid w:val="00B93950"/>
    <w:rsid w:val="00B939A9"/>
    <w:rsid w:val="00B93A7F"/>
    <w:rsid w:val="00B93AAC"/>
    <w:rsid w:val="00B93B1B"/>
    <w:rsid w:val="00B93BDE"/>
    <w:rsid w:val="00B93C2A"/>
    <w:rsid w:val="00B93CC8"/>
    <w:rsid w:val="00B93E4E"/>
    <w:rsid w:val="00B93EF4"/>
    <w:rsid w:val="00B93F57"/>
    <w:rsid w:val="00B93FA8"/>
    <w:rsid w:val="00B93FF6"/>
    <w:rsid w:val="00B9438E"/>
    <w:rsid w:val="00B943F9"/>
    <w:rsid w:val="00B94425"/>
    <w:rsid w:val="00B9451B"/>
    <w:rsid w:val="00B9453C"/>
    <w:rsid w:val="00B945A7"/>
    <w:rsid w:val="00B945E7"/>
    <w:rsid w:val="00B946D6"/>
    <w:rsid w:val="00B94745"/>
    <w:rsid w:val="00B94750"/>
    <w:rsid w:val="00B9481A"/>
    <w:rsid w:val="00B94915"/>
    <w:rsid w:val="00B9492D"/>
    <w:rsid w:val="00B94978"/>
    <w:rsid w:val="00B94AE2"/>
    <w:rsid w:val="00B94C3A"/>
    <w:rsid w:val="00B94D05"/>
    <w:rsid w:val="00B94DBB"/>
    <w:rsid w:val="00B94E5F"/>
    <w:rsid w:val="00B94F49"/>
    <w:rsid w:val="00B94FAF"/>
    <w:rsid w:val="00B94FDE"/>
    <w:rsid w:val="00B9513B"/>
    <w:rsid w:val="00B9520A"/>
    <w:rsid w:val="00B9523E"/>
    <w:rsid w:val="00B9529F"/>
    <w:rsid w:val="00B95406"/>
    <w:rsid w:val="00B9547E"/>
    <w:rsid w:val="00B954A7"/>
    <w:rsid w:val="00B955E0"/>
    <w:rsid w:val="00B955E8"/>
    <w:rsid w:val="00B95643"/>
    <w:rsid w:val="00B95656"/>
    <w:rsid w:val="00B9567D"/>
    <w:rsid w:val="00B956BF"/>
    <w:rsid w:val="00B95760"/>
    <w:rsid w:val="00B95779"/>
    <w:rsid w:val="00B9580B"/>
    <w:rsid w:val="00B95849"/>
    <w:rsid w:val="00B9587C"/>
    <w:rsid w:val="00B95A71"/>
    <w:rsid w:val="00B95B62"/>
    <w:rsid w:val="00B95C2C"/>
    <w:rsid w:val="00B95C67"/>
    <w:rsid w:val="00B95C74"/>
    <w:rsid w:val="00B95EC4"/>
    <w:rsid w:val="00B96049"/>
    <w:rsid w:val="00B96167"/>
    <w:rsid w:val="00B961A8"/>
    <w:rsid w:val="00B961AA"/>
    <w:rsid w:val="00B961C8"/>
    <w:rsid w:val="00B96386"/>
    <w:rsid w:val="00B96587"/>
    <w:rsid w:val="00B9669E"/>
    <w:rsid w:val="00B966A5"/>
    <w:rsid w:val="00B966D5"/>
    <w:rsid w:val="00B96726"/>
    <w:rsid w:val="00B9673E"/>
    <w:rsid w:val="00B967B4"/>
    <w:rsid w:val="00B967C1"/>
    <w:rsid w:val="00B96806"/>
    <w:rsid w:val="00B96834"/>
    <w:rsid w:val="00B96A7B"/>
    <w:rsid w:val="00B96B7E"/>
    <w:rsid w:val="00B96B9E"/>
    <w:rsid w:val="00B96BAE"/>
    <w:rsid w:val="00B96BBF"/>
    <w:rsid w:val="00B96C72"/>
    <w:rsid w:val="00B96CE3"/>
    <w:rsid w:val="00B96CFB"/>
    <w:rsid w:val="00B96D1A"/>
    <w:rsid w:val="00B96E1C"/>
    <w:rsid w:val="00B96E67"/>
    <w:rsid w:val="00B96E7E"/>
    <w:rsid w:val="00B96E81"/>
    <w:rsid w:val="00B96F2D"/>
    <w:rsid w:val="00B96FAA"/>
    <w:rsid w:val="00B9704E"/>
    <w:rsid w:val="00B97097"/>
    <w:rsid w:val="00B971A8"/>
    <w:rsid w:val="00B97226"/>
    <w:rsid w:val="00B97247"/>
    <w:rsid w:val="00B97289"/>
    <w:rsid w:val="00B972C3"/>
    <w:rsid w:val="00B972D9"/>
    <w:rsid w:val="00B9730F"/>
    <w:rsid w:val="00B9737A"/>
    <w:rsid w:val="00B973E8"/>
    <w:rsid w:val="00B97533"/>
    <w:rsid w:val="00B97547"/>
    <w:rsid w:val="00B97599"/>
    <w:rsid w:val="00B975DF"/>
    <w:rsid w:val="00B975FA"/>
    <w:rsid w:val="00B97622"/>
    <w:rsid w:val="00B9765F"/>
    <w:rsid w:val="00B97695"/>
    <w:rsid w:val="00B97821"/>
    <w:rsid w:val="00B97834"/>
    <w:rsid w:val="00B97872"/>
    <w:rsid w:val="00B9788E"/>
    <w:rsid w:val="00B978F0"/>
    <w:rsid w:val="00B97A63"/>
    <w:rsid w:val="00B97B94"/>
    <w:rsid w:val="00B97C38"/>
    <w:rsid w:val="00B97D89"/>
    <w:rsid w:val="00B97E3B"/>
    <w:rsid w:val="00B97FAA"/>
    <w:rsid w:val="00B97FE6"/>
    <w:rsid w:val="00BA0024"/>
    <w:rsid w:val="00BA011A"/>
    <w:rsid w:val="00BA0169"/>
    <w:rsid w:val="00BA01A8"/>
    <w:rsid w:val="00BA020C"/>
    <w:rsid w:val="00BA0225"/>
    <w:rsid w:val="00BA0389"/>
    <w:rsid w:val="00BA06A7"/>
    <w:rsid w:val="00BA0740"/>
    <w:rsid w:val="00BA07FA"/>
    <w:rsid w:val="00BA07FD"/>
    <w:rsid w:val="00BA088C"/>
    <w:rsid w:val="00BA09A4"/>
    <w:rsid w:val="00BA0A0D"/>
    <w:rsid w:val="00BA0A58"/>
    <w:rsid w:val="00BA0AB2"/>
    <w:rsid w:val="00BA0AE4"/>
    <w:rsid w:val="00BA0C68"/>
    <w:rsid w:val="00BA0D2F"/>
    <w:rsid w:val="00BA0D48"/>
    <w:rsid w:val="00BA0DDB"/>
    <w:rsid w:val="00BA0E17"/>
    <w:rsid w:val="00BA0E1E"/>
    <w:rsid w:val="00BA0E67"/>
    <w:rsid w:val="00BA0EC4"/>
    <w:rsid w:val="00BA0F35"/>
    <w:rsid w:val="00BA0F48"/>
    <w:rsid w:val="00BA0FDC"/>
    <w:rsid w:val="00BA0FF4"/>
    <w:rsid w:val="00BA1046"/>
    <w:rsid w:val="00BA105F"/>
    <w:rsid w:val="00BA10A8"/>
    <w:rsid w:val="00BA10C9"/>
    <w:rsid w:val="00BA119F"/>
    <w:rsid w:val="00BA122D"/>
    <w:rsid w:val="00BA1262"/>
    <w:rsid w:val="00BA129F"/>
    <w:rsid w:val="00BA1373"/>
    <w:rsid w:val="00BA1436"/>
    <w:rsid w:val="00BA1440"/>
    <w:rsid w:val="00BA1512"/>
    <w:rsid w:val="00BA155A"/>
    <w:rsid w:val="00BA1718"/>
    <w:rsid w:val="00BA175F"/>
    <w:rsid w:val="00BA17B6"/>
    <w:rsid w:val="00BA182A"/>
    <w:rsid w:val="00BA1837"/>
    <w:rsid w:val="00BA1902"/>
    <w:rsid w:val="00BA1973"/>
    <w:rsid w:val="00BA1984"/>
    <w:rsid w:val="00BA19F9"/>
    <w:rsid w:val="00BA1A32"/>
    <w:rsid w:val="00BA1A33"/>
    <w:rsid w:val="00BA1A94"/>
    <w:rsid w:val="00BA1AB9"/>
    <w:rsid w:val="00BA1B65"/>
    <w:rsid w:val="00BA1DFD"/>
    <w:rsid w:val="00BA1E78"/>
    <w:rsid w:val="00BA1EE7"/>
    <w:rsid w:val="00BA1F43"/>
    <w:rsid w:val="00BA1F6A"/>
    <w:rsid w:val="00BA20A0"/>
    <w:rsid w:val="00BA213B"/>
    <w:rsid w:val="00BA218B"/>
    <w:rsid w:val="00BA223D"/>
    <w:rsid w:val="00BA2381"/>
    <w:rsid w:val="00BA238D"/>
    <w:rsid w:val="00BA23FD"/>
    <w:rsid w:val="00BA24A0"/>
    <w:rsid w:val="00BA24DC"/>
    <w:rsid w:val="00BA2589"/>
    <w:rsid w:val="00BA25B5"/>
    <w:rsid w:val="00BA2604"/>
    <w:rsid w:val="00BA266D"/>
    <w:rsid w:val="00BA26B1"/>
    <w:rsid w:val="00BA26F4"/>
    <w:rsid w:val="00BA2708"/>
    <w:rsid w:val="00BA2834"/>
    <w:rsid w:val="00BA2839"/>
    <w:rsid w:val="00BA2848"/>
    <w:rsid w:val="00BA28D0"/>
    <w:rsid w:val="00BA28F7"/>
    <w:rsid w:val="00BA28FF"/>
    <w:rsid w:val="00BA2941"/>
    <w:rsid w:val="00BA2A3B"/>
    <w:rsid w:val="00BA2BE2"/>
    <w:rsid w:val="00BA2CD4"/>
    <w:rsid w:val="00BA2CE9"/>
    <w:rsid w:val="00BA2D3E"/>
    <w:rsid w:val="00BA2DC8"/>
    <w:rsid w:val="00BA2DF6"/>
    <w:rsid w:val="00BA2E96"/>
    <w:rsid w:val="00BA31B4"/>
    <w:rsid w:val="00BA31C3"/>
    <w:rsid w:val="00BA31E7"/>
    <w:rsid w:val="00BA32F4"/>
    <w:rsid w:val="00BA3348"/>
    <w:rsid w:val="00BA3437"/>
    <w:rsid w:val="00BA34F7"/>
    <w:rsid w:val="00BA3502"/>
    <w:rsid w:val="00BA354A"/>
    <w:rsid w:val="00BA358D"/>
    <w:rsid w:val="00BA35A5"/>
    <w:rsid w:val="00BA3687"/>
    <w:rsid w:val="00BA36F4"/>
    <w:rsid w:val="00BA36FC"/>
    <w:rsid w:val="00BA378B"/>
    <w:rsid w:val="00BA37DB"/>
    <w:rsid w:val="00BA382D"/>
    <w:rsid w:val="00BA3872"/>
    <w:rsid w:val="00BA3998"/>
    <w:rsid w:val="00BA39C2"/>
    <w:rsid w:val="00BA39F1"/>
    <w:rsid w:val="00BA39F9"/>
    <w:rsid w:val="00BA3A74"/>
    <w:rsid w:val="00BA3C4F"/>
    <w:rsid w:val="00BA3D1A"/>
    <w:rsid w:val="00BA3D6E"/>
    <w:rsid w:val="00BA3D7A"/>
    <w:rsid w:val="00BA3D94"/>
    <w:rsid w:val="00BA3E11"/>
    <w:rsid w:val="00BA3EEB"/>
    <w:rsid w:val="00BA3F54"/>
    <w:rsid w:val="00BA4046"/>
    <w:rsid w:val="00BA4064"/>
    <w:rsid w:val="00BA40D2"/>
    <w:rsid w:val="00BA4133"/>
    <w:rsid w:val="00BA4140"/>
    <w:rsid w:val="00BA4226"/>
    <w:rsid w:val="00BA42A3"/>
    <w:rsid w:val="00BA45A4"/>
    <w:rsid w:val="00BA45CD"/>
    <w:rsid w:val="00BA4642"/>
    <w:rsid w:val="00BA4669"/>
    <w:rsid w:val="00BA4676"/>
    <w:rsid w:val="00BA4717"/>
    <w:rsid w:val="00BA476E"/>
    <w:rsid w:val="00BA4798"/>
    <w:rsid w:val="00BA4825"/>
    <w:rsid w:val="00BA4865"/>
    <w:rsid w:val="00BA497A"/>
    <w:rsid w:val="00BA49C0"/>
    <w:rsid w:val="00BA4A07"/>
    <w:rsid w:val="00BA4A16"/>
    <w:rsid w:val="00BA4A76"/>
    <w:rsid w:val="00BA4AAA"/>
    <w:rsid w:val="00BA4ADA"/>
    <w:rsid w:val="00BA4D04"/>
    <w:rsid w:val="00BA4D55"/>
    <w:rsid w:val="00BA4DC6"/>
    <w:rsid w:val="00BA4DCC"/>
    <w:rsid w:val="00BA4E1B"/>
    <w:rsid w:val="00BA4E3D"/>
    <w:rsid w:val="00BA4EA8"/>
    <w:rsid w:val="00BA4EEE"/>
    <w:rsid w:val="00BA4F71"/>
    <w:rsid w:val="00BA4FB0"/>
    <w:rsid w:val="00BA4FF6"/>
    <w:rsid w:val="00BA5021"/>
    <w:rsid w:val="00BA505E"/>
    <w:rsid w:val="00BA510B"/>
    <w:rsid w:val="00BA51D6"/>
    <w:rsid w:val="00BA5247"/>
    <w:rsid w:val="00BA52DE"/>
    <w:rsid w:val="00BA5395"/>
    <w:rsid w:val="00BA5622"/>
    <w:rsid w:val="00BA565C"/>
    <w:rsid w:val="00BA57B3"/>
    <w:rsid w:val="00BA58C5"/>
    <w:rsid w:val="00BA597D"/>
    <w:rsid w:val="00BA5986"/>
    <w:rsid w:val="00BA59F7"/>
    <w:rsid w:val="00BA5A6E"/>
    <w:rsid w:val="00BA5AD6"/>
    <w:rsid w:val="00BA5ADA"/>
    <w:rsid w:val="00BA5B36"/>
    <w:rsid w:val="00BA5B96"/>
    <w:rsid w:val="00BA5C19"/>
    <w:rsid w:val="00BA5C51"/>
    <w:rsid w:val="00BA5D48"/>
    <w:rsid w:val="00BA5DA2"/>
    <w:rsid w:val="00BA5DB3"/>
    <w:rsid w:val="00BA5DD2"/>
    <w:rsid w:val="00BA5F39"/>
    <w:rsid w:val="00BA5F4A"/>
    <w:rsid w:val="00BA5F79"/>
    <w:rsid w:val="00BA6070"/>
    <w:rsid w:val="00BA6097"/>
    <w:rsid w:val="00BA6107"/>
    <w:rsid w:val="00BA623C"/>
    <w:rsid w:val="00BA631D"/>
    <w:rsid w:val="00BA6392"/>
    <w:rsid w:val="00BA639D"/>
    <w:rsid w:val="00BA6402"/>
    <w:rsid w:val="00BA6438"/>
    <w:rsid w:val="00BA65A3"/>
    <w:rsid w:val="00BA675A"/>
    <w:rsid w:val="00BA6784"/>
    <w:rsid w:val="00BA68EF"/>
    <w:rsid w:val="00BA6A00"/>
    <w:rsid w:val="00BA6A6F"/>
    <w:rsid w:val="00BA6A71"/>
    <w:rsid w:val="00BA6E02"/>
    <w:rsid w:val="00BA6E55"/>
    <w:rsid w:val="00BA6E8C"/>
    <w:rsid w:val="00BA6F85"/>
    <w:rsid w:val="00BA70A7"/>
    <w:rsid w:val="00BA70B6"/>
    <w:rsid w:val="00BA712C"/>
    <w:rsid w:val="00BA7137"/>
    <w:rsid w:val="00BA7179"/>
    <w:rsid w:val="00BA71AF"/>
    <w:rsid w:val="00BA7209"/>
    <w:rsid w:val="00BA7265"/>
    <w:rsid w:val="00BA7432"/>
    <w:rsid w:val="00BA74CD"/>
    <w:rsid w:val="00BA7501"/>
    <w:rsid w:val="00BA7538"/>
    <w:rsid w:val="00BA7560"/>
    <w:rsid w:val="00BA7582"/>
    <w:rsid w:val="00BA7678"/>
    <w:rsid w:val="00BA7724"/>
    <w:rsid w:val="00BA7736"/>
    <w:rsid w:val="00BA77F4"/>
    <w:rsid w:val="00BA77F6"/>
    <w:rsid w:val="00BA77FB"/>
    <w:rsid w:val="00BA7824"/>
    <w:rsid w:val="00BA7869"/>
    <w:rsid w:val="00BA78C3"/>
    <w:rsid w:val="00BA7A3F"/>
    <w:rsid w:val="00BA7BD4"/>
    <w:rsid w:val="00BA7BDF"/>
    <w:rsid w:val="00BA7D08"/>
    <w:rsid w:val="00BA7EA4"/>
    <w:rsid w:val="00BA7F4C"/>
    <w:rsid w:val="00BA7F69"/>
    <w:rsid w:val="00BB0044"/>
    <w:rsid w:val="00BB00F3"/>
    <w:rsid w:val="00BB0119"/>
    <w:rsid w:val="00BB01F5"/>
    <w:rsid w:val="00BB0221"/>
    <w:rsid w:val="00BB0250"/>
    <w:rsid w:val="00BB0277"/>
    <w:rsid w:val="00BB0360"/>
    <w:rsid w:val="00BB039D"/>
    <w:rsid w:val="00BB042A"/>
    <w:rsid w:val="00BB0440"/>
    <w:rsid w:val="00BB04B8"/>
    <w:rsid w:val="00BB056A"/>
    <w:rsid w:val="00BB060B"/>
    <w:rsid w:val="00BB06F8"/>
    <w:rsid w:val="00BB07CC"/>
    <w:rsid w:val="00BB09FE"/>
    <w:rsid w:val="00BB0A1F"/>
    <w:rsid w:val="00BB0A2E"/>
    <w:rsid w:val="00BB0AF3"/>
    <w:rsid w:val="00BB0B09"/>
    <w:rsid w:val="00BB0B2D"/>
    <w:rsid w:val="00BB0B3A"/>
    <w:rsid w:val="00BB0B72"/>
    <w:rsid w:val="00BB0CF3"/>
    <w:rsid w:val="00BB0D3F"/>
    <w:rsid w:val="00BB0D8B"/>
    <w:rsid w:val="00BB0DAC"/>
    <w:rsid w:val="00BB0DF9"/>
    <w:rsid w:val="00BB0E7C"/>
    <w:rsid w:val="00BB0EA2"/>
    <w:rsid w:val="00BB0F22"/>
    <w:rsid w:val="00BB0F50"/>
    <w:rsid w:val="00BB0F8D"/>
    <w:rsid w:val="00BB0FAA"/>
    <w:rsid w:val="00BB0FF3"/>
    <w:rsid w:val="00BB108F"/>
    <w:rsid w:val="00BB10A5"/>
    <w:rsid w:val="00BB115D"/>
    <w:rsid w:val="00BB122F"/>
    <w:rsid w:val="00BB1240"/>
    <w:rsid w:val="00BB127C"/>
    <w:rsid w:val="00BB12EB"/>
    <w:rsid w:val="00BB145B"/>
    <w:rsid w:val="00BB1516"/>
    <w:rsid w:val="00BB1517"/>
    <w:rsid w:val="00BB15EA"/>
    <w:rsid w:val="00BB164F"/>
    <w:rsid w:val="00BB17B1"/>
    <w:rsid w:val="00BB17BB"/>
    <w:rsid w:val="00BB18EA"/>
    <w:rsid w:val="00BB18F3"/>
    <w:rsid w:val="00BB190E"/>
    <w:rsid w:val="00BB1952"/>
    <w:rsid w:val="00BB1968"/>
    <w:rsid w:val="00BB196C"/>
    <w:rsid w:val="00BB19D2"/>
    <w:rsid w:val="00BB1A41"/>
    <w:rsid w:val="00BB1B1C"/>
    <w:rsid w:val="00BB1B2D"/>
    <w:rsid w:val="00BB1B5F"/>
    <w:rsid w:val="00BB1C57"/>
    <w:rsid w:val="00BB1CCC"/>
    <w:rsid w:val="00BB1CE3"/>
    <w:rsid w:val="00BB1D31"/>
    <w:rsid w:val="00BB1ECC"/>
    <w:rsid w:val="00BB1EEA"/>
    <w:rsid w:val="00BB2030"/>
    <w:rsid w:val="00BB2057"/>
    <w:rsid w:val="00BB2085"/>
    <w:rsid w:val="00BB2105"/>
    <w:rsid w:val="00BB217F"/>
    <w:rsid w:val="00BB21EF"/>
    <w:rsid w:val="00BB21F7"/>
    <w:rsid w:val="00BB2358"/>
    <w:rsid w:val="00BB257E"/>
    <w:rsid w:val="00BB25A8"/>
    <w:rsid w:val="00BB2692"/>
    <w:rsid w:val="00BB2729"/>
    <w:rsid w:val="00BB277E"/>
    <w:rsid w:val="00BB27A6"/>
    <w:rsid w:val="00BB27C4"/>
    <w:rsid w:val="00BB27FE"/>
    <w:rsid w:val="00BB293A"/>
    <w:rsid w:val="00BB2969"/>
    <w:rsid w:val="00BB2974"/>
    <w:rsid w:val="00BB2A0C"/>
    <w:rsid w:val="00BB2AA5"/>
    <w:rsid w:val="00BB2BB7"/>
    <w:rsid w:val="00BB2C1F"/>
    <w:rsid w:val="00BB2C24"/>
    <w:rsid w:val="00BB2C32"/>
    <w:rsid w:val="00BB2D61"/>
    <w:rsid w:val="00BB2E75"/>
    <w:rsid w:val="00BB2E82"/>
    <w:rsid w:val="00BB2E91"/>
    <w:rsid w:val="00BB2E93"/>
    <w:rsid w:val="00BB2EBD"/>
    <w:rsid w:val="00BB2EC3"/>
    <w:rsid w:val="00BB2EFC"/>
    <w:rsid w:val="00BB2F34"/>
    <w:rsid w:val="00BB2FE2"/>
    <w:rsid w:val="00BB3057"/>
    <w:rsid w:val="00BB307C"/>
    <w:rsid w:val="00BB310E"/>
    <w:rsid w:val="00BB312C"/>
    <w:rsid w:val="00BB31B8"/>
    <w:rsid w:val="00BB31F8"/>
    <w:rsid w:val="00BB3340"/>
    <w:rsid w:val="00BB3463"/>
    <w:rsid w:val="00BB34A5"/>
    <w:rsid w:val="00BB3542"/>
    <w:rsid w:val="00BB3598"/>
    <w:rsid w:val="00BB35C5"/>
    <w:rsid w:val="00BB35C8"/>
    <w:rsid w:val="00BB367D"/>
    <w:rsid w:val="00BB3724"/>
    <w:rsid w:val="00BB37C5"/>
    <w:rsid w:val="00BB3937"/>
    <w:rsid w:val="00BB3A06"/>
    <w:rsid w:val="00BB3A47"/>
    <w:rsid w:val="00BB3A8B"/>
    <w:rsid w:val="00BB3B24"/>
    <w:rsid w:val="00BB3B38"/>
    <w:rsid w:val="00BB3C0F"/>
    <w:rsid w:val="00BB3C28"/>
    <w:rsid w:val="00BB3C9B"/>
    <w:rsid w:val="00BB3CA5"/>
    <w:rsid w:val="00BB3CF4"/>
    <w:rsid w:val="00BB3D7B"/>
    <w:rsid w:val="00BB3DB7"/>
    <w:rsid w:val="00BB3ED3"/>
    <w:rsid w:val="00BB3F72"/>
    <w:rsid w:val="00BB3FDB"/>
    <w:rsid w:val="00BB4056"/>
    <w:rsid w:val="00BB406A"/>
    <w:rsid w:val="00BB40C3"/>
    <w:rsid w:val="00BB4287"/>
    <w:rsid w:val="00BB4461"/>
    <w:rsid w:val="00BB44CD"/>
    <w:rsid w:val="00BB4569"/>
    <w:rsid w:val="00BB4602"/>
    <w:rsid w:val="00BB46A4"/>
    <w:rsid w:val="00BB46BC"/>
    <w:rsid w:val="00BB480B"/>
    <w:rsid w:val="00BB487D"/>
    <w:rsid w:val="00BB4900"/>
    <w:rsid w:val="00BB4A77"/>
    <w:rsid w:val="00BB4A80"/>
    <w:rsid w:val="00BB4A94"/>
    <w:rsid w:val="00BB4AC2"/>
    <w:rsid w:val="00BB4B87"/>
    <w:rsid w:val="00BB4BC0"/>
    <w:rsid w:val="00BB4C18"/>
    <w:rsid w:val="00BB4D15"/>
    <w:rsid w:val="00BB4E54"/>
    <w:rsid w:val="00BB4E6C"/>
    <w:rsid w:val="00BB4EC3"/>
    <w:rsid w:val="00BB4ECE"/>
    <w:rsid w:val="00BB4FB1"/>
    <w:rsid w:val="00BB5011"/>
    <w:rsid w:val="00BB506E"/>
    <w:rsid w:val="00BB50ED"/>
    <w:rsid w:val="00BB5134"/>
    <w:rsid w:val="00BB5149"/>
    <w:rsid w:val="00BB5323"/>
    <w:rsid w:val="00BB532E"/>
    <w:rsid w:val="00BB5386"/>
    <w:rsid w:val="00BB551E"/>
    <w:rsid w:val="00BB5599"/>
    <w:rsid w:val="00BB5636"/>
    <w:rsid w:val="00BB5668"/>
    <w:rsid w:val="00BB5692"/>
    <w:rsid w:val="00BB56BC"/>
    <w:rsid w:val="00BB56CE"/>
    <w:rsid w:val="00BB5704"/>
    <w:rsid w:val="00BB570D"/>
    <w:rsid w:val="00BB5727"/>
    <w:rsid w:val="00BB574B"/>
    <w:rsid w:val="00BB575B"/>
    <w:rsid w:val="00BB5813"/>
    <w:rsid w:val="00BB5859"/>
    <w:rsid w:val="00BB5989"/>
    <w:rsid w:val="00BB5AD1"/>
    <w:rsid w:val="00BB5B0D"/>
    <w:rsid w:val="00BB5B13"/>
    <w:rsid w:val="00BB5C70"/>
    <w:rsid w:val="00BB5CA8"/>
    <w:rsid w:val="00BB5D67"/>
    <w:rsid w:val="00BB5DF1"/>
    <w:rsid w:val="00BB5E31"/>
    <w:rsid w:val="00BB5E80"/>
    <w:rsid w:val="00BB5F05"/>
    <w:rsid w:val="00BB602F"/>
    <w:rsid w:val="00BB61A6"/>
    <w:rsid w:val="00BB6353"/>
    <w:rsid w:val="00BB6362"/>
    <w:rsid w:val="00BB645B"/>
    <w:rsid w:val="00BB64CD"/>
    <w:rsid w:val="00BB64F6"/>
    <w:rsid w:val="00BB65A5"/>
    <w:rsid w:val="00BB663C"/>
    <w:rsid w:val="00BB6657"/>
    <w:rsid w:val="00BB670A"/>
    <w:rsid w:val="00BB6731"/>
    <w:rsid w:val="00BB6798"/>
    <w:rsid w:val="00BB679A"/>
    <w:rsid w:val="00BB6805"/>
    <w:rsid w:val="00BB6989"/>
    <w:rsid w:val="00BB6A7E"/>
    <w:rsid w:val="00BB6A9E"/>
    <w:rsid w:val="00BB6B66"/>
    <w:rsid w:val="00BB6B6E"/>
    <w:rsid w:val="00BB6BB4"/>
    <w:rsid w:val="00BB6D4C"/>
    <w:rsid w:val="00BB6D64"/>
    <w:rsid w:val="00BB6E07"/>
    <w:rsid w:val="00BB6E88"/>
    <w:rsid w:val="00BB6FFF"/>
    <w:rsid w:val="00BB700E"/>
    <w:rsid w:val="00BB7114"/>
    <w:rsid w:val="00BB7124"/>
    <w:rsid w:val="00BB71A9"/>
    <w:rsid w:val="00BB71FB"/>
    <w:rsid w:val="00BB722F"/>
    <w:rsid w:val="00BB7287"/>
    <w:rsid w:val="00BB734E"/>
    <w:rsid w:val="00BB7460"/>
    <w:rsid w:val="00BB74BD"/>
    <w:rsid w:val="00BB74F3"/>
    <w:rsid w:val="00BB7547"/>
    <w:rsid w:val="00BB75E7"/>
    <w:rsid w:val="00BB7664"/>
    <w:rsid w:val="00BB7696"/>
    <w:rsid w:val="00BB76ED"/>
    <w:rsid w:val="00BB773E"/>
    <w:rsid w:val="00BB78BE"/>
    <w:rsid w:val="00BB7999"/>
    <w:rsid w:val="00BB79CD"/>
    <w:rsid w:val="00BB79D6"/>
    <w:rsid w:val="00BB79E8"/>
    <w:rsid w:val="00BB79ED"/>
    <w:rsid w:val="00BB7A33"/>
    <w:rsid w:val="00BB7A43"/>
    <w:rsid w:val="00BB7B36"/>
    <w:rsid w:val="00BB7C4C"/>
    <w:rsid w:val="00BB7D72"/>
    <w:rsid w:val="00BB7DE2"/>
    <w:rsid w:val="00BB7DE3"/>
    <w:rsid w:val="00BB7DE5"/>
    <w:rsid w:val="00BB7DF7"/>
    <w:rsid w:val="00BB7E4E"/>
    <w:rsid w:val="00BB7E60"/>
    <w:rsid w:val="00BB7F2C"/>
    <w:rsid w:val="00BB7F63"/>
    <w:rsid w:val="00BB7FF3"/>
    <w:rsid w:val="00BC0085"/>
    <w:rsid w:val="00BC0153"/>
    <w:rsid w:val="00BC0426"/>
    <w:rsid w:val="00BC045B"/>
    <w:rsid w:val="00BC0467"/>
    <w:rsid w:val="00BC047D"/>
    <w:rsid w:val="00BC04C8"/>
    <w:rsid w:val="00BC06C0"/>
    <w:rsid w:val="00BC07EE"/>
    <w:rsid w:val="00BC085D"/>
    <w:rsid w:val="00BC0A21"/>
    <w:rsid w:val="00BC0A4F"/>
    <w:rsid w:val="00BC0D14"/>
    <w:rsid w:val="00BC0D17"/>
    <w:rsid w:val="00BC0D3A"/>
    <w:rsid w:val="00BC0DE8"/>
    <w:rsid w:val="00BC0F05"/>
    <w:rsid w:val="00BC0F06"/>
    <w:rsid w:val="00BC0F66"/>
    <w:rsid w:val="00BC0FA0"/>
    <w:rsid w:val="00BC0FC9"/>
    <w:rsid w:val="00BC1062"/>
    <w:rsid w:val="00BC1118"/>
    <w:rsid w:val="00BC1140"/>
    <w:rsid w:val="00BC1239"/>
    <w:rsid w:val="00BC12C1"/>
    <w:rsid w:val="00BC140A"/>
    <w:rsid w:val="00BC1444"/>
    <w:rsid w:val="00BC15C0"/>
    <w:rsid w:val="00BC1661"/>
    <w:rsid w:val="00BC16D7"/>
    <w:rsid w:val="00BC1738"/>
    <w:rsid w:val="00BC18A5"/>
    <w:rsid w:val="00BC1C51"/>
    <w:rsid w:val="00BC1C74"/>
    <w:rsid w:val="00BC1CEF"/>
    <w:rsid w:val="00BC1DB3"/>
    <w:rsid w:val="00BC1DF7"/>
    <w:rsid w:val="00BC1E43"/>
    <w:rsid w:val="00BC1E78"/>
    <w:rsid w:val="00BC1E9C"/>
    <w:rsid w:val="00BC1EC3"/>
    <w:rsid w:val="00BC1F00"/>
    <w:rsid w:val="00BC200B"/>
    <w:rsid w:val="00BC2079"/>
    <w:rsid w:val="00BC218B"/>
    <w:rsid w:val="00BC21E3"/>
    <w:rsid w:val="00BC2282"/>
    <w:rsid w:val="00BC235E"/>
    <w:rsid w:val="00BC23F1"/>
    <w:rsid w:val="00BC2413"/>
    <w:rsid w:val="00BC25EB"/>
    <w:rsid w:val="00BC25F7"/>
    <w:rsid w:val="00BC270B"/>
    <w:rsid w:val="00BC276F"/>
    <w:rsid w:val="00BC28A7"/>
    <w:rsid w:val="00BC2996"/>
    <w:rsid w:val="00BC29A7"/>
    <w:rsid w:val="00BC2A72"/>
    <w:rsid w:val="00BC2A8A"/>
    <w:rsid w:val="00BC2B84"/>
    <w:rsid w:val="00BC2C74"/>
    <w:rsid w:val="00BC2CC9"/>
    <w:rsid w:val="00BC2CD8"/>
    <w:rsid w:val="00BC2D3A"/>
    <w:rsid w:val="00BC2D40"/>
    <w:rsid w:val="00BC2E15"/>
    <w:rsid w:val="00BC2E63"/>
    <w:rsid w:val="00BC2E67"/>
    <w:rsid w:val="00BC2E82"/>
    <w:rsid w:val="00BC2E85"/>
    <w:rsid w:val="00BC2F89"/>
    <w:rsid w:val="00BC2F8C"/>
    <w:rsid w:val="00BC2FAA"/>
    <w:rsid w:val="00BC3080"/>
    <w:rsid w:val="00BC3139"/>
    <w:rsid w:val="00BC3184"/>
    <w:rsid w:val="00BC31D3"/>
    <w:rsid w:val="00BC3229"/>
    <w:rsid w:val="00BC33DF"/>
    <w:rsid w:val="00BC349A"/>
    <w:rsid w:val="00BC3515"/>
    <w:rsid w:val="00BC3531"/>
    <w:rsid w:val="00BC371A"/>
    <w:rsid w:val="00BC3758"/>
    <w:rsid w:val="00BC3868"/>
    <w:rsid w:val="00BC38A5"/>
    <w:rsid w:val="00BC38B6"/>
    <w:rsid w:val="00BC38F2"/>
    <w:rsid w:val="00BC3926"/>
    <w:rsid w:val="00BC3930"/>
    <w:rsid w:val="00BC3964"/>
    <w:rsid w:val="00BC396F"/>
    <w:rsid w:val="00BC397F"/>
    <w:rsid w:val="00BC39E9"/>
    <w:rsid w:val="00BC3A4D"/>
    <w:rsid w:val="00BC3A4F"/>
    <w:rsid w:val="00BC3A9B"/>
    <w:rsid w:val="00BC3C8C"/>
    <w:rsid w:val="00BC3CFD"/>
    <w:rsid w:val="00BC3D53"/>
    <w:rsid w:val="00BC3DBA"/>
    <w:rsid w:val="00BC3E32"/>
    <w:rsid w:val="00BC3E55"/>
    <w:rsid w:val="00BC3EE0"/>
    <w:rsid w:val="00BC3F24"/>
    <w:rsid w:val="00BC3F6D"/>
    <w:rsid w:val="00BC40BF"/>
    <w:rsid w:val="00BC40C9"/>
    <w:rsid w:val="00BC4128"/>
    <w:rsid w:val="00BC41DC"/>
    <w:rsid w:val="00BC4310"/>
    <w:rsid w:val="00BC43BD"/>
    <w:rsid w:val="00BC43C4"/>
    <w:rsid w:val="00BC4402"/>
    <w:rsid w:val="00BC45D9"/>
    <w:rsid w:val="00BC4632"/>
    <w:rsid w:val="00BC467D"/>
    <w:rsid w:val="00BC46C6"/>
    <w:rsid w:val="00BC46C7"/>
    <w:rsid w:val="00BC46FC"/>
    <w:rsid w:val="00BC47D9"/>
    <w:rsid w:val="00BC47FF"/>
    <w:rsid w:val="00BC48C0"/>
    <w:rsid w:val="00BC4926"/>
    <w:rsid w:val="00BC4969"/>
    <w:rsid w:val="00BC496A"/>
    <w:rsid w:val="00BC49ED"/>
    <w:rsid w:val="00BC4A1C"/>
    <w:rsid w:val="00BC4B8E"/>
    <w:rsid w:val="00BC4C28"/>
    <w:rsid w:val="00BC4C9D"/>
    <w:rsid w:val="00BC4DCD"/>
    <w:rsid w:val="00BC4E36"/>
    <w:rsid w:val="00BC4FF0"/>
    <w:rsid w:val="00BC50A0"/>
    <w:rsid w:val="00BC5323"/>
    <w:rsid w:val="00BC545B"/>
    <w:rsid w:val="00BC5478"/>
    <w:rsid w:val="00BC54B2"/>
    <w:rsid w:val="00BC55C9"/>
    <w:rsid w:val="00BC5640"/>
    <w:rsid w:val="00BC584F"/>
    <w:rsid w:val="00BC58C4"/>
    <w:rsid w:val="00BC5920"/>
    <w:rsid w:val="00BC5969"/>
    <w:rsid w:val="00BC59F9"/>
    <w:rsid w:val="00BC5B07"/>
    <w:rsid w:val="00BC5B79"/>
    <w:rsid w:val="00BC5C3F"/>
    <w:rsid w:val="00BC5D1F"/>
    <w:rsid w:val="00BC5D93"/>
    <w:rsid w:val="00BC5F40"/>
    <w:rsid w:val="00BC5FBD"/>
    <w:rsid w:val="00BC5FBF"/>
    <w:rsid w:val="00BC60BD"/>
    <w:rsid w:val="00BC60F5"/>
    <w:rsid w:val="00BC6109"/>
    <w:rsid w:val="00BC6154"/>
    <w:rsid w:val="00BC622D"/>
    <w:rsid w:val="00BC629A"/>
    <w:rsid w:val="00BC629B"/>
    <w:rsid w:val="00BC639D"/>
    <w:rsid w:val="00BC63A1"/>
    <w:rsid w:val="00BC63AF"/>
    <w:rsid w:val="00BC63B7"/>
    <w:rsid w:val="00BC63C3"/>
    <w:rsid w:val="00BC6409"/>
    <w:rsid w:val="00BC64D0"/>
    <w:rsid w:val="00BC64F0"/>
    <w:rsid w:val="00BC65D1"/>
    <w:rsid w:val="00BC65FB"/>
    <w:rsid w:val="00BC66A4"/>
    <w:rsid w:val="00BC66B2"/>
    <w:rsid w:val="00BC66CD"/>
    <w:rsid w:val="00BC673D"/>
    <w:rsid w:val="00BC68D1"/>
    <w:rsid w:val="00BC6981"/>
    <w:rsid w:val="00BC6A2A"/>
    <w:rsid w:val="00BC6BE2"/>
    <w:rsid w:val="00BC6C62"/>
    <w:rsid w:val="00BC6CB4"/>
    <w:rsid w:val="00BC6CE1"/>
    <w:rsid w:val="00BC6D5A"/>
    <w:rsid w:val="00BC6D92"/>
    <w:rsid w:val="00BC6DA0"/>
    <w:rsid w:val="00BC6DBD"/>
    <w:rsid w:val="00BC6E69"/>
    <w:rsid w:val="00BC722F"/>
    <w:rsid w:val="00BC7315"/>
    <w:rsid w:val="00BC7375"/>
    <w:rsid w:val="00BC744B"/>
    <w:rsid w:val="00BC745F"/>
    <w:rsid w:val="00BC7503"/>
    <w:rsid w:val="00BC759E"/>
    <w:rsid w:val="00BC75BB"/>
    <w:rsid w:val="00BC75F7"/>
    <w:rsid w:val="00BC7698"/>
    <w:rsid w:val="00BC76F6"/>
    <w:rsid w:val="00BC7936"/>
    <w:rsid w:val="00BC79CE"/>
    <w:rsid w:val="00BC79DD"/>
    <w:rsid w:val="00BC7ABC"/>
    <w:rsid w:val="00BC7C10"/>
    <w:rsid w:val="00BC7C7F"/>
    <w:rsid w:val="00BC7C8C"/>
    <w:rsid w:val="00BC7E06"/>
    <w:rsid w:val="00BC7E3B"/>
    <w:rsid w:val="00BC7F61"/>
    <w:rsid w:val="00BD0033"/>
    <w:rsid w:val="00BD0043"/>
    <w:rsid w:val="00BD0062"/>
    <w:rsid w:val="00BD00A0"/>
    <w:rsid w:val="00BD00D0"/>
    <w:rsid w:val="00BD012E"/>
    <w:rsid w:val="00BD0155"/>
    <w:rsid w:val="00BD020E"/>
    <w:rsid w:val="00BD028C"/>
    <w:rsid w:val="00BD0350"/>
    <w:rsid w:val="00BD03B2"/>
    <w:rsid w:val="00BD03EC"/>
    <w:rsid w:val="00BD0425"/>
    <w:rsid w:val="00BD068C"/>
    <w:rsid w:val="00BD0791"/>
    <w:rsid w:val="00BD079B"/>
    <w:rsid w:val="00BD0860"/>
    <w:rsid w:val="00BD093F"/>
    <w:rsid w:val="00BD09EA"/>
    <w:rsid w:val="00BD0D6D"/>
    <w:rsid w:val="00BD0D97"/>
    <w:rsid w:val="00BD0E3F"/>
    <w:rsid w:val="00BD0E5B"/>
    <w:rsid w:val="00BD0E7C"/>
    <w:rsid w:val="00BD0FD8"/>
    <w:rsid w:val="00BD100D"/>
    <w:rsid w:val="00BD10BE"/>
    <w:rsid w:val="00BD1128"/>
    <w:rsid w:val="00BD1160"/>
    <w:rsid w:val="00BD11EA"/>
    <w:rsid w:val="00BD1203"/>
    <w:rsid w:val="00BD122C"/>
    <w:rsid w:val="00BD123C"/>
    <w:rsid w:val="00BD1309"/>
    <w:rsid w:val="00BD1332"/>
    <w:rsid w:val="00BD1382"/>
    <w:rsid w:val="00BD1398"/>
    <w:rsid w:val="00BD13B0"/>
    <w:rsid w:val="00BD15BA"/>
    <w:rsid w:val="00BD1611"/>
    <w:rsid w:val="00BD1723"/>
    <w:rsid w:val="00BD183A"/>
    <w:rsid w:val="00BD1906"/>
    <w:rsid w:val="00BD1917"/>
    <w:rsid w:val="00BD1A0F"/>
    <w:rsid w:val="00BD1AD6"/>
    <w:rsid w:val="00BD1B4A"/>
    <w:rsid w:val="00BD1B67"/>
    <w:rsid w:val="00BD1B77"/>
    <w:rsid w:val="00BD1BB2"/>
    <w:rsid w:val="00BD1C49"/>
    <w:rsid w:val="00BD1CFB"/>
    <w:rsid w:val="00BD1E56"/>
    <w:rsid w:val="00BD20AA"/>
    <w:rsid w:val="00BD2170"/>
    <w:rsid w:val="00BD2314"/>
    <w:rsid w:val="00BD2387"/>
    <w:rsid w:val="00BD268A"/>
    <w:rsid w:val="00BD26A2"/>
    <w:rsid w:val="00BD26A3"/>
    <w:rsid w:val="00BD26AA"/>
    <w:rsid w:val="00BD2766"/>
    <w:rsid w:val="00BD2801"/>
    <w:rsid w:val="00BD28A5"/>
    <w:rsid w:val="00BD2956"/>
    <w:rsid w:val="00BD2B12"/>
    <w:rsid w:val="00BD2BE2"/>
    <w:rsid w:val="00BD2E5C"/>
    <w:rsid w:val="00BD2EC5"/>
    <w:rsid w:val="00BD2F3F"/>
    <w:rsid w:val="00BD2F75"/>
    <w:rsid w:val="00BD3011"/>
    <w:rsid w:val="00BD3053"/>
    <w:rsid w:val="00BD305E"/>
    <w:rsid w:val="00BD3088"/>
    <w:rsid w:val="00BD30FB"/>
    <w:rsid w:val="00BD320B"/>
    <w:rsid w:val="00BD3219"/>
    <w:rsid w:val="00BD3311"/>
    <w:rsid w:val="00BD333D"/>
    <w:rsid w:val="00BD33DC"/>
    <w:rsid w:val="00BD3408"/>
    <w:rsid w:val="00BD3474"/>
    <w:rsid w:val="00BD34B3"/>
    <w:rsid w:val="00BD3504"/>
    <w:rsid w:val="00BD3524"/>
    <w:rsid w:val="00BD3549"/>
    <w:rsid w:val="00BD35AC"/>
    <w:rsid w:val="00BD36E8"/>
    <w:rsid w:val="00BD3705"/>
    <w:rsid w:val="00BD3746"/>
    <w:rsid w:val="00BD3762"/>
    <w:rsid w:val="00BD37DF"/>
    <w:rsid w:val="00BD382A"/>
    <w:rsid w:val="00BD38B5"/>
    <w:rsid w:val="00BD3962"/>
    <w:rsid w:val="00BD39FE"/>
    <w:rsid w:val="00BD3A5C"/>
    <w:rsid w:val="00BD3A68"/>
    <w:rsid w:val="00BD3A6B"/>
    <w:rsid w:val="00BD3BAA"/>
    <w:rsid w:val="00BD3BF1"/>
    <w:rsid w:val="00BD3C1C"/>
    <w:rsid w:val="00BD3C8C"/>
    <w:rsid w:val="00BD3D0C"/>
    <w:rsid w:val="00BD3D52"/>
    <w:rsid w:val="00BD3DD9"/>
    <w:rsid w:val="00BD3E13"/>
    <w:rsid w:val="00BD3E42"/>
    <w:rsid w:val="00BD3E72"/>
    <w:rsid w:val="00BD3E92"/>
    <w:rsid w:val="00BD3FC1"/>
    <w:rsid w:val="00BD3FE2"/>
    <w:rsid w:val="00BD414C"/>
    <w:rsid w:val="00BD419D"/>
    <w:rsid w:val="00BD41AA"/>
    <w:rsid w:val="00BD429C"/>
    <w:rsid w:val="00BD430E"/>
    <w:rsid w:val="00BD432E"/>
    <w:rsid w:val="00BD436E"/>
    <w:rsid w:val="00BD4495"/>
    <w:rsid w:val="00BD44AD"/>
    <w:rsid w:val="00BD454F"/>
    <w:rsid w:val="00BD457B"/>
    <w:rsid w:val="00BD4583"/>
    <w:rsid w:val="00BD4756"/>
    <w:rsid w:val="00BD485A"/>
    <w:rsid w:val="00BD4937"/>
    <w:rsid w:val="00BD4AD2"/>
    <w:rsid w:val="00BD4AE0"/>
    <w:rsid w:val="00BD4BAC"/>
    <w:rsid w:val="00BD4BDB"/>
    <w:rsid w:val="00BD4D14"/>
    <w:rsid w:val="00BD4DD8"/>
    <w:rsid w:val="00BD4E1F"/>
    <w:rsid w:val="00BD4FCF"/>
    <w:rsid w:val="00BD5048"/>
    <w:rsid w:val="00BD5065"/>
    <w:rsid w:val="00BD509B"/>
    <w:rsid w:val="00BD5219"/>
    <w:rsid w:val="00BD5249"/>
    <w:rsid w:val="00BD52B2"/>
    <w:rsid w:val="00BD531B"/>
    <w:rsid w:val="00BD5365"/>
    <w:rsid w:val="00BD53AA"/>
    <w:rsid w:val="00BD53B1"/>
    <w:rsid w:val="00BD53ED"/>
    <w:rsid w:val="00BD547E"/>
    <w:rsid w:val="00BD54EF"/>
    <w:rsid w:val="00BD54F0"/>
    <w:rsid w:val="00BD54F2"/>
    <w:rsid w:val="00BD5531"/>
    <w:rsid w:val="00BD55A9"/>
    <w:rsid w:val="00BD55C7"/>
    <w:rsid w:val="00BD5695"/>
    <w:rsid w:val="00BD5744"/>
    <w:rsid w:val="00BD576A"/>
    <w:rsid w:val="00BD57D0"/>
    <w:rsid w:val="00BD58E6"/>
    <w:rsid w:val="00BD591D"/>
    <w:rsid w:val="00BD599D"/>
    <w:rsid w:val="00BD59BC"/>
    <w:rsid w:val="00BD59CF"/>
    <w:rsid w:val="00BD5A38"/>
    <w:rsid w:val="00BD5A44"/>
    <w:rsid w:val="00BD5ABE"/>
    <w:rsid w:val="00BD5B0B"/>
    <w:rsid w:val="00BD5B85"/>
    <w:rsid w:val="00BD5BF7"/>
    <w:rsid w:val="00BD5C4F"/>
    <w:rsid w:val="00BD5C5D"/>
    <w:rsid w:val="00BD5D53"/>
    <w:rsid w:val="00BD5D60"/>
    <w:rsid w:val="00BD5D75"/>
    <w:rsid w:val="00BD5DE7"/>
    <w:rsid w:val="00BD5F47"/>
    <w:rsid w:val="00BD5F6F"/>
    <w:rsid w:val="00BD5F78"/>
    <w:rsid w:val="00BD5FD6"/>
    <w:rsid w:val="00BD60F7"/>
    <w:rsid w:val="00BD6221"/>
    <w:rsid w:val="00BD62BF"/>
    <w:rsid w:val="00BD6478"/>
    <w:rsid w:val="00BD6481"/>
    <w:rsid w:val="00BD64AD"/>
    <w:rsid w:val="00BD658A"/>
    <w:rsid w:val="00BD65B8"/>
    <w:rsid w:val="00BD65C8"/>
    <w:rsid w:val="00BD6877"/>
    <w:rsid w:val="00BD68D4"/>
    <w:rsid w:val="00BD6969"/>
    <w:rsid w:val="00BD69BF"/>
    <w:rsid w:val="00BD6AAB"/>
    <w:rsid w:val="00BD6B4E"/>
    <w:rsid w:val="00BD6B63"/>
    <w:rsid w:val="00BD6BFE"/>
    <w:rsid w:val="00BD6C2F"/>
    <w:rsid w:val="00BD6C7F"/>
    <w:rsid w:val="00BD6CFC"/>
    <w:rsid w:val="00BD6D09"/>
    <w:rsid w:val="00BD6DD9"/>
    <w:rsid w:val="00BD6E20"/>
    <w:rsid w:val="00BD6E27"/>
    <w:rsid w:val="00BD6E42"/>
    <w:rsid w:val="00BD6ECF"/>
    <w:rsid w:val="00BD6F4A"/>
    <w:rsid w:val="00BD7035"/>
    <w:rsid w:val="00BD705C"/>
    <w:rsid w:val="00BD70B9"/>
    <w:rsid w:val="00BD726E"/>
    <w:rsid w:val="00BD7389"/>
    <w:rsid w:val="00BD7394"/>
    <w:rsid w:val="00BD7417"/>
    <w:rsid w:val="00BD74DF"/>
    <w:rsid w:val="00BD75C2"/>
    <w:rsid w:val="00BD7749"/>
    <w:rsid w:val="00BD782B"/>
    <w:rsid w:val="00BD78B8"/>
    <w:rsid w:val="00BD7A59"/>
    <w:rsid w:val="00BD7B9E"/>
    <w:rsid w:val="00BD7DA5"/>
    <w:rsid w:val="00BD7E1A"/>
    <w:rsid w:val="00BD7ED4"/>
    <w:rsid w:val="00BD7EED"/>
    <w:rsid w:val="00BD7EF6"/>
    <w:rsid w:val="00BD7FC6"/>
    <w:rsid w:val="00BE0013"/>
    <w:rsid w:val="00BE0022"/>
    <w:rsid w:val="00BE00BF"/>
    <w:rsid w:val="00BE0100"/>
    <w:rsid w:val="00BE0131"/>
    <w:rsid w:val="00BE013E"/>
    <w:rsid w:val="00BE0211"/>
    <w:rsid w:val="00BE0235"/>
    <w:rsid w:val="00BE02B9"/>
    <w:rsid w:val="00BE02D9"/>
    <w:rsid w:val="00BE0329"/>
    <w:rsid w:val="00BE0478"/>
    <w:rsid w:val="00BE0499"/>
    <w:rsid w:val="00BE04A6"/>
    <w:rsid w:val="00BE0521"/>
    <w:rsid w:val="00BE057E"/>
    <w:rsid w:val="00BE0581"/>
    <w:rsid w:val="00BE05BA"/>
    <w:rsid w:val="00BE0615"/>
    <w:rsid w:val="00BE065E"/>
    <w:rsid w:val="00BE06AF"/>
    <w:rsid w:val="00BE06E6"/>
    <w:rsid w:val="00BE071D"/>
    <w:rsid w:val="00BE0726"/>
    <w:rsid w:val="00BE08C7"/>
    <w:rsid w:val="00BE0928"/>
    <w:rsid w:val="00BE0997"/>
    <w:rsid w:val="00BE09CA"/>
    <w:rsid w:val="00BE0A2C"/>
    <w:rsid w:val="00BE0B0C"/>
    <w:rsid w:val="00BE0B23"/>
    <w:rsid w:val="00BE0B34"/>
    <w:rsid w:val="00BE0C65"/>
    <w:rsid w:val="00BE0CE9"/>
    <w:rsid w:val="00BE0CF3"/>
    <w:rsid w:val="00BE0E44"/>
    <w:rsid w:val="00BE103B"/>
    <w:rsid w:val="00BE1054"/>
    <w:rsid w:val="00BE107F"/>
    <w:rsid w:val="00BE1121"/>
    <w:rsid w:val="00BE1192"/>
    <w:rsid w:val="00BE1200"/>
    <w:rsid w:val="00BE1232"/>
    <w:rsid w:val="00BE134B"/>
    <w:rsid w:val="00BE1401"/>
    <w:rsid w:val="00BE1564"/>
    <w:rsid w:val="00BE175F"/>
    <w:rsid w:val="00BE1910"/>
    <w:rsid w:val="00BE1977"/>
    <w:rsid w:val="00BE199C"/>
    <w:rsid w:val="00BE19AD"/>
    <w:rsid w:val="00BE19E9"/>
    <w:rsid w:val="00BE1A16"/>
    <w:rsid w:val="00BE1A1A"/>
    <w:rsid w:val="00BE1A6D"/>
    <w:rsid w:val="00BE1B64"/>
    <w:rsid w:val="00BE1BFA"/>
    <w:rsid w:val="00BE1CF5"/>
    <w:rsid w:val="00BE1D15"/>
    <w:rsid w:val="00BE1DCE"/>
    <w:rsid w:val="00BE1E53"/>
    <w:rsid w:val="00BE1F3C"/>
    <w:rsid w:val="00BE2008"/>
    <w:rsid w:val="00BE20CA"/>
    <w:rsid w:val="00BE20F7"/>
    <w:rsid w:val="00BE21C6"/>
    <w:rsid w:val="00BE21F6"/>
    <w:rsid w:val="00BE2227"/>
    <w:rsid w:val="00BE227F"/>
    <w:rsid w:val="00BE230B"/>
    <w:rsid w:val="00BE236C"/>
    <w:rsid w:val="00BE2429"/>
    <w:rsid w:val="00BE247D"/>
    <w:rsid w:val="00BE2543"/>
    <w:rsid w:val="00BE255A"/>
    <w:rsid w:val="00BE25AC"/>
    <w:rsid w:val="00BE25E0"/>
    <w:rsid w:val="00BE2654"/>
    <w:rsid w:val="00BE270A"/>
    <w:rsid w:val="00BE2766"/>
    <w:rsid w:val="00BE279C"/>
    <w:rsid w:val="00BE28F5"/>
    <w:rsid w:val="00BE294F"/>
    <w:rsid w:val="00BE299D"/>
    <w:rsid w:val="00BE29AD"/>
    <w:rsid w:val="00BE29BE"/>
    <w:rsid w:val="00BE2A7E"/>
    <w:rsid w:val="00BE2B04"/>
    <w:rsid w:val="00BE2BF8"/>
    <w:rsid w:val="00BE2C51"/>
    <w:rsid w:val="00BE2C52"/>
    <w:rsid w:val="00BE2C56"/>
    <w:rsid w:val="00BE2C8F"/>
    <w:rsid w:val="00BE2CF1"/>
    <w:rsid w:val="00BE2D77"/>
    <w:rsid w:val="00BE2D88"/>
    <w:rsid w:val="00BE2EEA"/>
    <w:rsid w:val="00BE2F5F"/>
    <w:rsid w:val="00BE2F6F"/>
    <w:rsid w:val="00BE2FA1"/>
    <w:rsid w:val="00BE3037"/>
    <w:rsid w:val="00BE3066"/>
    <w:rsid w:val="00BE30DC"/>
    <w:rsid w:val="00BE312D"/>
    <w:rsid w:val="00BE3344"/>
    <w:rsid w:val="00BE3376"/>
    <w:rsid w:val="00BE33FB"/>
    <w:rsid w:val="00BE341F"/>
    <w:rsid w:val="00BE34B4"/>
    <w:rsid w:val="00BE3522"/>
    <w:rsid w:val="00BE355E"/>
    <w:rsid w:val="00BE3631"/>
    <w:rsid w:val="00BE3633"/>
    <w:rsid w:val="00BE36DF"/>
    <w:rsid w:val="00BE3718"/>
    <w:rsid w:val="00BE3822"/>
    <w:rsid w:val="00BE3830"/>
    <w:rsid w:val="00BE3934"/>
    <w:rsid w:val="00BE3996"/>
    <w:rsid w:val="00BE39B6"/>
    <w:rsid w:val="00BE39DA"/>
    <w:rsid w:val="00BE39EC"/>
    <w:rsid w:val="00BE3AF9"/>
    <w:rsid w:val="00BE3B36"/>
    <w:rsid w:val="00BE3B88"/>
    <w:rsid w:val="00BE3CA8"/>
    <w:rsid w:val="00BE3CDC"/>
    <w:rsid w:val="00BE3D1F"/>
    <w:rsid w:val="00BE3D2E"/>
    <w:rsid w:val="00BE3D81"/>
    <w:rsid w:val="00BE3E7E"/>
    <w:rsid w:val="00BE3ED8"/>
    <w:rsid w:val="00BE3F1F"/>
    <w:rsid w:val="00BE4069"/>
    <w:rsid w:val="00BE4110"/>
    <w:rsid w:val="00BE4148"/>
    <w:rsid w:val="00BE416D"/>
    <w:rsid w:val="00BE41AC"/>
    <w:rsid w:val="00BE41DB"/>
    <w:rsid w:val="00BE4344"/>
    <w:rsid w:val="00BE43A4"/>
    <w:rsid w:val="00BE44F7"/>
    <w:rsid w:val="00BE455B"/>
    <w:rsid w:val="00BE4573"/>
    <w:rsid w:val="00BE4596"/>
    <w:rsid w:val="00BE45F5"/>
    <w:rsid w:val="00BE462C"/>
    <w:rsid w:val="00BE46AD"/>
    <w:rsid w:val="00BE46CA"/>
    <w:rsid w:val="00BE46E4"/>
    <w:rsid w:val="00BE475A"/>
    <w:rsid w:val="00BE487A"/>
    <w:rsid w:val="00BE48CE"/>
    <w:rsid w:val="00BE4967"/>
    <w:rsid w:val="00BE4A35"/>
    <w:rsid w:val="00BE4AD8"/>
    <w:rsid w:val="00BE4B5E"/>
    <w:rsid w:val="00BE4BB1"/>
    <w:rsid w:val="00BE4C59"/>
    <w:rsid w:val="00BE4C6D"/>
    <w:rsid w:val="00BE4D5E"/>
    <w:rsid w:val="00BE4DB9"/>
    <w:rsid w:val="00BE4F28"/>
    <w:rsid w:val="00BE4FF9"/>
    <w:rsid w:val="00BE501B"/>
    <w:rsid w:val="00BE5053"/>
    <w:rsid w:val="00BE507D"/>
    <w:rsid w:val="00BE50AB"/>
    <w:rsid w:val="00BE50B2"/>
    <w:rsid w:val="00BE524E"/>
    <w:rsid w:val="00BE524F"/>
    <w:rsid w:val="00BE5254"/>
    <w:rsid w:val="00BE525B"/>
    <w:rsid w:val="00BE525D"/>
    <w:rsid w:val="00BE528E"/>
    <w:rsid w:val="00BE537E"/>
    <w:rsid w:val="00BE5396"/>
    <w:rsid w:val="00BE54B7"/>
    <w:rsid w:val="00BE54FF"/>
    <w:rsid w:val="00BE55E8"/>
    <w:rsid w:val="00BE5645"/>
    <w:rsid w:val="00BE56BC"/>
    <w:rsid w:val="00BE56F7"/>
    <w:rsid w:val="00BE5876"/>
    <w:rsid w:val="00BE58D8"/>
    <w:rsid w:val="00BE5972"/>
    <w:rsid w:val="00BE599C"/>
    <w:rsid w:val="00BE59E1"/>
    <w:rsid w:val="00BE5A04"/>
    <w:rsid w:val="00BE5A15"/>
    <w:rsid w:val="00BE5A9F"/>
    <w:rsid w:val="00BE5AAA"/>
    <w:rsid w:val="00BE5AF8"/>
    <w:rsid w:val="00BE5BB7"/>
    <w:rsid w:val="00BE5C8C"/>
    <w:rsid w:val="00BE5D25"/>
    <w:rsid w:val="00BE5E3D"/>
    <w:rsid w:val="00BE5EA6"/>
    <w:rsid w:val="00BE5EBD"/>
    <w:rsid w:val="00BE5F99"/>
    <w:rsid w:val="00BE60FA"/>
    <w:rsid w:val="00BE6121"/>
    <w:rsid w:val="00BE6191"/>
    <w:rsid w:val="00BE6293"/>
    <w:rsid w:val="00BE6342"/>
    <w:rsid w:val="00BE63C7"/>
    <w:rsid w:val="00BE63CA"/>
    <w:rsid w:val="00BE63D4"/>
    <w:rsid w:val="00BE63FF"/>
    <w:rsid w:val="00BE6493"/>
    <w:rsid w:val="00BE64CA"/>
    <w:rsid w:val="00BE65E2"/>
    <w:rsid w:val="00BE6702"/>
    <w:rsid w:val="00BE6732"/>
    <w:rsid w:val="00BE6774"/>
    <w:rsid w:val="00BE6827"/>
    <w:rsid w:val="00BE683C"/>
    <w:rsid w:val="00BE6959"/>
    <w:rsid w:val="00BE6986"/>
    <w:rsid w:val="00BE6A6E"/>
    <w:rsid w:val="00BE6AC5"/>
    <w:rsid w:val="00BE6AD4"/>
    <w:rsid w:val="00BE6ADD"/>
    <w:rsid w:val="00BE6B2C"/>
    <w:rsid w:val="00BE6B50"/>
    <w:rsid w:val="00BE6CC3"/>
    <w:rsid w:val="00BE6CD7"/>
    <w:rsid w:val="00BE6CE4"/>
    <w:rsid w:val="00BE6D1E"/>
    <w:rsid w:val="00BE6D7A"/>
    <w:rsid w:val="00BE6E6D"/>
    <w:rsid w:val="00BE6EC8"/>
    <w:rsid w:val="00BE6ECE"/>
    <w:rsid w:val="00BE6EF4"/>
    <w:rsid w:val="00BE6F4E"/>
    <w:rsid w:val="00BE6FE4"/>
    <w:rsid w:val="00BE6FEB"/>
    <w:rsid w:val="00BE7077"/>
    <w:rsid w:val="00BE7086"/>
    <w:rsid w:val="00BE708A"/>
    <w:rsid w:val="00BE70ED"/>
    <w:rsid w:val="00BE71B9"/>
    <w:rsid w:val="00BE74D8"/>
    <w:rsid w:val="00BE74F7"/>
    <w:rsid w:val="00BE751B"/>
    <w:rsid w:val="00BE7555"/>
    <w:rsid w:val="00BE75C8"/>
    <w:rsid w:val="00BE75E2"/>
    <w:rsid w:val="00BE761C"/>
    <w:rsid w:val="00BE76BC"/>
    <w:rsid w:val="00BE7706"/>
    <w:rsid w:val="00BE770E"/>
    <w:rsid w:val="00BE77B5"/>
    <w:rsid w:val="00BE77DC"/>
    <w:rsid w:val="00BE77E5"/>
    <w:rsid w:val="00BE78D3"/>
    <w:rsid w:val="00BE78F3"/>
    <w:rsid w:val="00BE7949"/>
    <w:rsid w:val="00BE7951"/>
    <w:rsid w:val="00BE7984"/>
    <w:rsid w:val="00BE79B3"/>
    <w:rsid w:val="00BE79CF"/>
    <w:rsid w:val="00BE7A55"/>
    <w:rsid w:val="00BE7B5C"/>
    <w:rsid w:val="00BE7B9F"/>
    <w:rsid w:val="00BE7D00"/>
    <w:rsid w:val="00BE7D8F"/>
    <w:rsid w:val="00BE7D93"/>
    <w:rsid w:val="00BE7DD7"/>
    <w:rsid w:val="00BE7E29"/>
    <w:rsid w:val="00BE7E95"/>
    <w:rsid w:val="00BE7EA5"/>
    <w:rsid w:val="00BE7F09"/>
    <w:rsid w:val="00BF0055"/>
    <w:rsid w:val="00BF0079"/>
    <w:rsid w:val="00BF013B"/>
    <w:rsid w:val="00BF015E"/>
    <w:rsid w:val="00BF02EE"/>
    <w:rsid w:val="00BF0382"/>
    <w:rsid w:val="00BF03E2"/>
    <w:rsid w:val="00BF03E7"/>
    <w:rsid w:val="00BF042B"/>
    <w:rsid w:val="00BF0437"/>
    <w:rsid w:val="00BF04B8"/>
    <w:rsid w:val="00BF04D8"/>
    <w:rsid w:val="00BF0535"/>
    <w:rsid w:val="00BF0686"/>
    <w:rsid w:val="00BF068A"/>
    <w:rsid w:val="00BF0766"/>
    <w:rsid w:val="00BF0772"/>
    <w:rsid w:val="00BF07EC"/>
    <w:rsid w:val="00BF0831"/>
    <w:rsid w:val="00BF083A"/>
    <w:rsid w:val="00BF08D0"/>
    <w:rsid w:val="00BF08EC"/>
    <w:rsid w:val="00BF099F"/>
    <w:rsid w:val="00BF0A85"/>
    <w:rsid w:val="00BF0B2B"/>
    <w:rsid w:val="00BF0B3E"/>
    <w:rsid w:val="00BF0B4C"/>
    <w:rsid w:val="00BF0BC3"/>
    <w:rsid w:val="00BF0BD4"/>
    <w:rsid w:val="00BF0C85"/>
    <w:rsid w:val="00BF0D48"/>
    <w:rsid w:val="00BF0DE8"/>
    <w:rsid w:val="00BF0E78"/>
    <w:rsid w:val="00BF0F0B"/>
    <w:rsid w:val="00BF105C"/>
    <w:rsid w:val="00BF1082"/>
    <w:rsid w:val="00BF1096"/>
    <w:rsid w:val="00BF110A"/>
    <w:rsid w:val="00BF11F1"/>
    <w:rsid w:val="00BF1334"/>
    <w:rsid w:val="00BF1364"/>
    <w:rsid w:val="00BF13AB"/>
    <w:rsid w:val="00BF13F2"/>
    <w:rsid w:val="00BF13F4"/>
    <w:rsid w:val="00BF1424"/>
    <w:rsid w:val="00BF1430"/>
    <w:rsid w:val="00BF14E1"/>
    <w:rsid w:val="00BF1506"/>
    <w:rsid w:val="00BF152D"/>
    <w:rsid w:val="00BF15DB"/>
    <w:rsid w:val="00BF1693"/>
    <w:rsid w:val="00BF170F"/>
    <w:rsid w:val="00BF1834"/>
    <w:rsid w:val="00BF1872"/>
    <w:rsid w:val="00BF1895"/>
    <w:rsid w:val="00BF189A"/>
    <w:rsid w:val="00BF1945"/>
    <w:rsid w:val="00BF19CE"/>
    <w:rsid w:val="00BF19E3"/>
    <w:rsid w:val="00BF1A1A"/>
    <w:rsid w:val="00BF1A27"/>
    <w:rsid w:val="00BF1A97"/>
    <w:rsid w:val="00BF1BAB"/>
    <w:rsid w:val="00BF1C71"/>
    <w:rsid w:val="00BF1C9D"/>
    <w:rsid w:val="00BF1CF2"/>
    <w:rsid w:val="00BF1D7F"/>
    <w:rsid w:val="00BF1E54"/>
    <w:rsid w:val="00BF1E61"/>
    <w:rsid w:val="00BF1EA8"/>
    <w:rsid w:val="00BF1EB8"/>
    <w:rsid w:val="00BF1FC4"/>
    <w:rsid w:val="00BF2085"/>
    <w:rsid w:val="00BF20CB"/>
    <w:rsid w:val="00BF2179"/>
    <w:rsid w:val="00BF2199"/>
    <w:rsid w:val="00BF225D"/>
    <w:rsid w:val="00BF22AC"/>
    <w:rsid w:val="00BF22E8"/>
    <w:rsid w:val="00BF2387"/>
    <w:rsid w:val="00BF247E"/>
    <w:rsid w:val="00BF251A"/>
    <w:rsid w:val="00BF256B"/>
    <w:rsid w:val="00BF2620"/>
    <w:rsid w:val="00BF279F"/>
    <w:rsid w:val="00BF2851"/>
    <w:rsid w:val="00BF28EC"/>
    <w:rsid w:val="00BF29D7"/>
    <w:rsid w:val="00BF2A08"/>
    <w:rsid w:val="00BF2A98"/>
    <w:rsid w:val="00BF2AA7"/>
    <w:rsid w:val="00BF2B67"/>
    <w:rsid w:val="00BF2BA2"/>
    <w:rsid w:val="00BF2BD5"/>
    <w:rsid w:val="00BF2CD6"/>
    <w:rsid w:val="00BF2ECB"/>
    <w:rsid w:val="00BF2EF4"/>
    <w:rsid w:val="00BF2EF5"/>
    <w:rsid w:val="00BF2F5B"/>
    <w:rsid w:val="00BF319D"/>
    <w:rsid w:val="00BF31DF"/>
    <w:rsid w:val="00BF3280"/>
    <w:rsid w:val="00BF328B"/>
    <w:rsid w:val="00BF32F1"/>
    <w:rsid w:val="00BF334C"/>
    <w:rsid w:val="00BF33F4"/>
    <w:rsid w:val="00BF33F7"/>
    <w:rsid w:val="00BF3491"/>
    <w:rsid w:val="00BF352B"/>
    <w:rsid w:val="00BF354C"/>
    <w:rsid w:val="00BF3587"/>
    <w:rsid w:val="00BF3602"/>
    <w:rsid w:val="00BF361E"/>
    <w:rsid w:val="00BF3772"/>
    <w:rsid w:val="00BF37A2"/>
    <w:rsid w:val="00BF383B"/>
    <w:rsid w:val="00BF38B0"/>
    <w:rsid w:val="00BF3970"/>
    <w:rsid w:val="00BF397A"/>
    <w:rsid w:val="00BF39C1"/>
    <w:rsid w:val="00BF3A89"/>
    <w:rsid w:val="00BF3A99"/>
    <w:rsid w:val="00BF3B9C"/>
    <w:rsid w:val="00BF3BAE"/>
    <w:rsid w:val="00BF3C83"/>
    <w:rsid w:val="00BF3CD4"/>
    <w:rsid w:val="00BF3D2A"/>
    <w:rsid w:val="00BF3D3C"/>
    <w:rsid w:val="00BF3DD0"/>
    <w:rsid w:val="00BF3E61"/>
    <w:rsid w:val="00BF3E67"/>
    <w:rsid w:val="00BF3E97"/>
    <w:rsid w:val="00BF3EE4"/>
    <w:rsid w:val="00BF3F7B"/>
    <w:rsid w:val="00BF4127"/>
    <w:rsid w:val="00BF413A"/>
    <w:rsid w:val="00BF4159"/>
    <w:rsid w:val="00BF41E3"/>
    <w:rsid w:val="00BF4361"/>
    <w:rsid w:val="00BF43C9"/>
    <w:rsid w:val="00BF441D"/>
    <w:rsid w:val="00BF44E0"/>
    <w:rsid w:val="00BF44E6"/>
    <w:rsid w:val="00BF452A"/>
    <w:rsid w:val="00BF45B4"/>
    <w:rsid w:val="00BF45E4"/>
    <w:rsid w:val="00BF46EF"/>
    <w:rsid w:val="00BF46FE"/>
    <w:rsid w:val="00BF4787"/>
    <w:rsid w:val="00BF4818"/>
    <w:rsid w:val="00BF482D"/>
    <w:rsid w:val="00BF4865"/>
    <w:rsid w:val="00BF4878"/>
    <w:rsid w:val="00BF489A"/>
    <w:rsid w:val="00BF4912"/>
    <w:rsid w:val="00BF4929"/>
    <w:rsid w:val="00BF49D4"/>
    <w:rsid w:val="00BF49EA"/>
    <w:rsid w:val="00BF4A30"/>
    <w:rsid w:val="00BF4A47"/>
    <w:rsid w:val="00BF4B8B"/>
    <w:rsid w:val="00BF4CFE"/>
    <w:rsid w:val="00BF4D8E"/>
    <w:rsid w:val="00BF4ED4"/>
    <w:rsid w:val="00BF4F3A"/>
    <w:rsid w:val="00BF4F6C"/>
    <w:rsid w:val="00BF4FA3"/>
    <w:rsid w:val="00BF4FFE"/>
    <w:rsid w:val="00BF5026"/>
    <w:rsid w:val="00BF5050"/>
    <w:rsid w:val="00BF50E9"/>
    <w:rsid w:val="00BF517B"/>
    <w:rsid w:val="00BF51C7"/>
    <w:rsid w:val="00BF51D1"/>
    <w:rsid w:val="00BF51F7"/>
    <w:rsid w:val="00BF53D7"/>
    <w:rsid w:val="00BF542C"/>
    <w:rsid w:val="00BF545E"/>
    <w:rsid w:val="00BF5535"/>
    <w:rsid w:val="00BF55B4"/>
    <w:rsid w:val="00BF55F5"/>
    <w:rsid w:val="00BF567F"/>
    <w:rsid w:val="00BF56BC"/>
    <w:rsid w:val="00BF5786"/>
    <w:rsid w:val="00BF580E"/>
    <w:rsid w:val="00BF5823"/>
    <w:rsid w:val="00BF5918"/>
    <w:rsid w:val="00BF5963"/>
    <w:rsid w:val="00BF5A2B"/>
    <w:rsid w:val="00BF5B80"/>
    <w:rsid w:val="00BF5C16"/>
    <w:rsid w:val="00BF5CFD"/>
    <w:rsid w:val="00BF5D5E"/>
    <w:rsid w:val="00BF6107"/>
    <w:rsid w:val="00BF6144"/>
    <w:rsid w:val="00BF6249"/>
    <w:rsid w:val="00BF62BE"/>
    <w:rsid w:val="00BF63FB"/>
    <w:rsid w:val="00BF6452"/>
    <w:rsid w:val="00BF6454"/>
    <w:rsid w:val="00BF6516"/>
    <w:rsid w:val="00BF65DC"/>
    <w:rsid w:val="00BF66B9"/>
    <w:rsid w:val="00BF674E"/>
    <w:rsid w:val="00BF67A6"/>
    <w:rsid w:val="00BF682D"/>
    <w:rsid w:val="00BF6851"/>
    <w:rsid w:val="00BF69D8"/>
    <w:rsid w:val="00BF6A19"/>
    <w:rsid w:val="00BF6A7A"/>
    <w:rsid w:val="00BF6BFD"/>
    <w:rsid w:val="00BF6CDB"/>
    <w:rsid w:val="00BF6D3E"/>
    <w:rsid w:val="00BF6D9D"/>
    <w:rsid w:val="00BF6DFD"/>
    <w:rsid w:val="00BF6E40"/>
    <w:rsid w:val="00BF6F24"/>
    <w:rsid w:val="00BF6F63"/>
    <w:rsid w:val="00BF6F7D"/>
    <w:rsid w:val="00BF6F97"/>
    <w:rsid w:val="00BF6FB9"/>
    <w:rsid w:val="00BF701D"/>
    <w:rsid w:val="00BF702B"/>
    <w:rsid w:val="00BF7095"/>
    <w:rsid w:val="00BF71CA"/>
    <w:rsid w:val="00BF7252"/>
    <w:rsid w:val="00BF728D"/>
    <w:rsid w:val="00BF72A8"/>
    <w:rsid w:val="00BF73A8"/>
    <w:rsid w:val="00BF73C2"/>
    <w:rsid w:val="00BF73E6"/>
    <w:rsid w:val="00BF7441"/>
    <w:rsid w:val="00BF74CB"/>
    <w:rsid w:val="00BF74F7"/>
    <w:rsid w:val="00BF75FF"/>
    <w:rsid w:val="00BF7640"/>
    <w:rsid w:val="00BF7651"/>
    <w:rsid w:val="00BF7692"/>
    <w:rsid w:val="00BF7775"/>
    <w:rsid w:val="00BF7960"/>
    <w:rsid w:val="00BF79BA"/>
    <w:rsid w:val="00BF79DA"/>
    <w:rsid w:val="00BF7A20"/>
    <w:rsid w:val="00BF7A36"/>
    <w:rsid w:val="00BF7ADD"/>
    <w:rsid w:val="00BF7B29"/>
    <w:rsid w:val="00BF7B2B"/>
    <w:rsid w:val="00BF7C61"/>
    <w:rsid w:val="00BF7C7F"/>
    <w:rsid w:val="00BF7CB0"/>
    <w:rsid w:val="00BF7CC9"/>
    <w:rsid w:val="00BF7D21"/>
    <w:rsid w:val="00BF7D5A"/>
    <w:rsid w:val="00BF7E0F"/>
    <w:rsid w:val="00BF7E2B"/>
    <w:rsid w:val="00BF7E37"/>
    <w:rsid w:val="00BF7EA8"/>
    <w:rsid w:val="00BF7ED4"/>
    <w:rsid w:val="00BF7EDA"/>
    <w:rsid w:val="00BF7F73"/>
    <w:rsid w:val="00C00052"/>
    <w:rsid w:val="00C0007C"/>
    <w:rsid w:val="00C00270"/>
    <w:rsid w:val="00C0031B"/>
    <w:rsid w:val="00C003A6"/>
    <w:rsid w:val="00C003C9"/>
    <w:rsid w:val="00C004A2"/>
    <w:rsid w:val="00C004C4"/>
    <w:rsid w:val="00C00533"/>
    <w:rsid w:val="00C005FC"/>
    <w:rsid w:val="00C0064E"/>
    <w:rsid w:val="00C00736"/>
    <w:rsid w:val="00C007E7"/>
    <w:rsid w:val="00C00841"/>
    <w:rsid w:val="00C008EE"/>
    <w:rsid w:val="00C00942"/>
    <w:rsid w:val="00C00980"/>
    <w:rsid w:val="00C00982"/>
    <w:rsid w:val="00C009E1"/>
    <w:rsid w:val="00C00A5C"/>
    <w:rsid w:val="00C00AD6"/>
    <w:rsid w:val="00C00B73"/>
    <w:rsid w:val="00C00BA0"/>
    <w:rsid w:val="00C00C79"/>
    <w:rsid w:val="00C00D08"/>
    <w:rsid w:val="00C00D2E"/>
    <w:rsid w:val="00C00E26"/>
    <w:rsid w:val="00C00E96"/>
    <w:rsid w:val="00C00EAB"/>
    <w:rsid w:val="00C00EAF"/>
    <w:rsid w:val="00C00ED4"/>
    <w:rsid w:val="00C01060"/>
    <w:rsid w:val="00C01167"/>
    <w:rsid w:val="00C011F3"/>
    <w:rsid w:val="00C011FD"/>
    <w:rsid w:val="00C0131A"/>
    <w:rsid w:val="00C01371"/>
    <w:rsid w:val="00C01513"/>
    <w:rsid w:val="00C0158B"/>
    <w:rsid w:val="00C015CC"/>
    <w:rsid w:val="00C01853"/>
    <w:rsid w:val="00C0185A"/>
    <w:rsid w:val="00C018B3"/>
    <w:rsid w:val="00C01A4A"/>
    <w:rsid w:val="00C01A5B"/>
    <w:rsid w:val="00C01A7E"/>
    <w:rsid w:val="00C01B90"/>
    <w:rsid w:val="00C01CB3"/>
    <w:rsid w:val="00C01DCC"/>
    <w:rsid w:val="00C01DCE"/>
    <w:rsid w:val="00C01DE0"/>
    <w:rsid w:val="00C01DF0"/>
    <w:rsid w:val="00C01E1D"/>
    <w:rsid w:val="00C01EB9"/>
    <w:rsid w:val="00C01EE8"/>
    <w:rsid w:val="00C01F79"/>
    <w:rsid w:val="00C01FDE"/>
    <w:rsid w:val="00C0217C"/>
    <w:rsid w:val="00C0218D"/>
    <w:rsid w:val="00C02273"/>
    <w:rsid w:val="00C022AF"/>
    <w:rsid w:val="00C02302"/>
    <w:rsid w:val="00C02352"/>
    <w:rsid w:val="00C02374"/>
    <w:rsid w:val="00C0239E"/>
    <w:rsid w:val="00C0239F"/>
    <w:rsid w:val="00C023E3"/>
    <w:rsid w:val="00C02444"/>
    <w:rsid w:val="00C024DD"/>
    <w:rsid w:val="00C0259A"/>
    <w:rsid w:val="00C025D0"/>
    <w:rsid w:val="00C025D4"/>
    <w:rsid w:val="00C02653"/>
    <w:rsid w:val="00C0282B"/>
    <w:rsid w:val="00C028A2"/>
    <w:rsid w:val="00C028E5"/>
    <w:rsid w:val="00C029EB"/>
    <w:rsid w:val="00C02B2F"/>
    <w:rsid w:val="00C02B6A"/>
    <w:rsid w:val="00C02BC4"/>
    <w:rsid w:val="00C02C61"/>
    <w:rsid w:val="00C02C93"/>
    <w:rsid w:val="00C02D0B"/>
    <w:rsid w:val="00C02D60"/>
    <w:rsid w:val="00C02D75"/>
    <w:rsid w:val="00C02E10"/>
    <w:rsid w:val="00C02E22"/>
    <w:rsid w:val="00C02E36"/>
    <w:rsid w:val="00C02EB1"/>
    <w:rsid w:val="00C02FEA"/>
    <w:rsid w:val="00C0301D"/>
    <w:rsid w:val="00C03076"/>
    <w:rsid w:val="00C03121"/>
    <w:rsid w:val="00C03154"/>
    <w:rsid w:val="00C0315B"/>
    <w:rsid w:val="00C03193"/>
    <w:rsid w:val="00C0319B"/>
    <w:rsid w:val="00C032FF"/>
    <w:rsid w:val="00C03378"/>
    <w:rsid w:val="00C0338A"/>
    <w:rsid w:val="00C033B5"/>
    <w:rsid w:val="00C0346D"/>
    <w:rsid w:val="00C0356F"/>
    <w:rsid w:val="00C0368C"/>
    <w:rsid w:val="00C0374D"/>
    <w:rsid w:val="00C03781"/>
    <w:rsid w:val="00C037ED"/>
    <w:rsid w:val="00C03822"/>
    <w:rsid w:val="00C03958"/>
    <w:rsid w:val="00C0397E"/>
    <w:rsid w:val="00C039D3"/>
    <w:rsid w:val="00C03A70"/>
    <w:rsid w:val="00C03ACF"/>
    <w:rsid w:val="00C03AE8"/>
    <w:rsid w:val="00C03B50"/>
    <w:rsid w:val="00C03C3F"/>
    <w:rsid w:val="00C03C58"/>
    <w:rsid w:val="00C03C81"/>
    <w:rsid w:val="00C03D87"/>
    <w:rsid w:val="00C03DED"/>
    <w:rsid w:val="00C03E1C"/>
    <w:rsid w:val="00C03E85"/>
    <w:rsid w:val="00C03F03"/>
    <w:rsid w:val="00C03F9A"/>
    <w:rsid w:val="00C03FC0"/>
    <w:rsid w:val="00C04037"/>
    <w:rsid w:val="00C04038"/>
    <w:rsid w:val="00C04048"/>
    <w:rsid w:val="00C040B8"/>
    <w:rsid w:val="00C040DC"/>
    <w:rsid w:val="00C0417D"/>
    <w:rsid w:val="00C041B9"/>
    <w:rsid w:val="00C04271"/>
    <w:rsid w:val="00C04369"/>
    <w:rsid w:val="00C044F7"/>
    <w:rsid w:val="00C04667"/>
    <w:rsid w:val="00C046D1"/>
    <w:rsid w:val="00C04771"/>
    <w:rsid w:val="00C0484F"/>
    <w:rsid w:val="00C0496E"/>
    <w:rsid w:val="00C049D0"/>
    <w:rsid w:val="00C049E5"/>
    <w:rsid w:val="00C049EB"/>
    <w:rsid w:val="00C049F7"/>
    <w:rsid w:val="00C04AB3"/>
    <w:rsid w:val="00C04B0A"/>
    <w:rsid w:val="00C04C77"/>
    <w:rsid w:val="00C04D5C"/>
    <w:rsid w:val="00C04D5D"/>
    <w:rsid w:val="00C04DC2"/>
    <w:rsid w:val="00C04DC3"/>
    <w:rsid w:val="00C04E2B"/>
    <w:rsid w:val="00C04F79"/>
    <w:rsid w:val="00C04FF8"/>
    <w:rsid w:val="00C05082"/>
    <w:rsid w:val="00C051B4"/>
    <w:rsid w:val="00C05286"/>
    <w:rsid w:val="00C052DD"/>
    <w:rsid w:val="00C053A9"/>
    <w:rsid w:val="00C053C0"/>
    <w:rsid w:val="00C05401"/>
    <w:rsid w:val="00C05431"/>
    <w:rsid w:val="00C05480"/>
    <w:rsid w:val="00C055C1"/>
    <w:rsid w:val="00C055DA"/>
    <w:rsid w:val="00C05627"/>
    <w:rsid w:val="00C05659"/>
    <w:rsid w:val="00C057BD"/>
    <w:rsid w:val="00C058A4"/>
    <w:rsid w:val="00C058C9"/>
    <w:rsid w:val="00C058DB"/>
    <w:rsid w:val="00C058ED"/>
    <w:rsid w:val="00C05958"/>
    <w:rsid w:val="00C05991"/>
    <w:rsid w:val="00C05A03"/>
    <w:rsid w:val="00C05B7B"/>
    <w:rsid w:val="00C05BCD"/>
    <w:rsid w:val="00C05BDB"/>
    <w:rsid w:val="00C05C48"/>
    <w:rsid w:val="00C05C8D"/>
    <w:rsid w:val="00C05CBE"/>
    <w:rsid w:val="00C05D41"/>
    <w:rsid w:val="00C05DDE"/>
    <w:rsid w:val="00C05E41"/>
    <w:rsid w:val="00C05F73"/>
    <w:rsid w:val="00C05FC1"/>
    <w:rsid w:val="00C05FE3"/>
    <w:rsid w:val="00C06070"/>
    <w:rsid w:val="00C0613C"/>
    <w:rsid w:val="00C06141"/>
    <w:rsid w:val="00C06199"/>
    <w:rsid w:val="00C0619A"/>
    <w:rsid w:val="00C061D5"/>
    <w:rsid w:val="00C061EA"/>
    <w:rsid w:val="00C061F6"/>
    <w:rsid w:val="00C062E1"/>
    <w:rsid w:val="00C06314"/>
    <w:rsid w:val="00C06376"/>
    <w:rsid w:val="00C0639B"/>
    <w:rsid w:val="00C063A2"/>
    <w:rsid w:val="00C063B4"/>
    <w:rsid w:val="00C063E3"/>
    <w:rsid w:val="00C063FA"/>
    <w:rsid w:val="00C06543"/>
    <w:rsid w:val="00C06561"/>
    <w:rsid w:val="00C06577"/>
    <w:rsid w:val="00C06586"/>
    <w:rsid w:val="00C0661A"/>
    <w:rsid w:val="00C06624"/>
    <w:rsid w:val="00C06675"/>
    <w:rsid w:val="00C06679"/>
    <w:rsid w:val="00C06785"/>
    <w:rsid w:val="00C06822"/>
    <w:rsid w:val="00C068BE"/>
    <w:rsid w:val="00C069FB"/>
    <w:rsid w:val="00C06A0C"/>
    <w:rsid w:val="00C06A99"/>
    <w:rsid w:val="00C06BC7"/>
    <w:rsid w:val="00C06C4F"/>
    <w:rsid w:val="00C06C50"/>
    <w:rsid w:val="00C06CD6"/>
    <w:rsid w:val="00C06D68"/>
    <w:rsid w:val="00C06DDA"/>
    <w:rsid w:val="00C06EA8"/>
    <w:rsid w:val="00C06F08"/>
    <w:rsid w:val="00C06F6E"/>
    <w:rsid w:val="00C06FB3"/>
    <w:rsid w:val="00C06FFB"/>
    <w:rsid w:val="00C0700E"/>
    <w:rsid w:val="00C0706C"/>
    <w:rsid w:val="00C0710F"/>
    <w:rsid w:val="00C07269"/>
    <w:rsid w:val="00C07293"/>
    <w:rsid w:val="00C072E6"/>
    <w:rsid w:val="00C072F1"/>
    <w:rsid w:val="00C073A2"/>
    <w:rsid w:val="00C07466"/>
    <w:rsid w:val="00C07479"/>
    <w:rsid w:val="00C074A1"/>
    <w:rsid w:val="00C0752B"/>
    <w:rsid w:val="00C07558"/>
    <w:rsid w:val="00C075DA"/>
    <w:rsid w:val="00C07838"/>
    <w:rsid w:val="00C07933"/>
    <w:rsid w:val="00C07BAA"/>
    <w:rsid w:val="00C07C31"/>
    <w:rsid w:val="00C07C3D"/>
    <w:rsid w:val="00C07C80"/>
    <w:rsid w:val="00C07CB8"/>
    <w:rsid w:val="00C07D1A"/>
    <w:rsid w:val="00C07F43"/>
    <w:rsid w:val="00C07F56"/>
    <w:rsid w:val="00C100D4"/>
    <w:rsid w:val="00C10114"/>
    <w:rsid w:val="00C10195"/>
    <w:rsid w:val="00C101AE"/>
    <w:rsid w:val="00C101AF"/>
    <w:rsid w:val="00C10377"/>
    <w:rsid w:val="00C103DC"/>
    <w:rsid w:val="00C10423"/>
    <w:rsid w:val="00C10500"/>
    <w:rsid w:val="00C105B4"/>
    <w:rsid w:val="00C105B6"/>
    <w:rsid w:val="00C105CE"/>
    <w:rsid w:val="00C10712"/>
    <w:rsid w:val="00C1073A"/>
    <w:rsid w:val="00C1080A"/>
    <w:rsid w:val="00C10824"/>
    <w:rsid w:val="00C1089F"/>
    <w:rsid w:val="00C10943"/>
    <w:rsid w:val="00C10946"/>
    <w:rsid w:val="00C109E5"/>
    <w:rsid w:val="00C10A0A"/>
    <w:rsid w:val="00C10A2F"/>
    <w:rsid w:val="00C10A65"/>
    <w:rsid w:val="00C10A6E"/>
    <w:rsid w:val="00C10AE8"/>
    <w:rsid w:val="00C10B1B"/>
    <w:rsid w:val="00C10CCD"/>
    <w:rsid w:val="00C10D6C"/>
    <w:rsid w:val="00C10D7B"/>
    <w:rsid w:val="00C10DD6"/>
    <w:rsid w:val="00C10E1C"/>
    <w:rsid w:val="00C10E8F"/>
    <w:rsid w:val="00C10E9E"/>
    <w:rsid w:val="00C10F38"/>
    <w:rsid w:val="00C10FFB"/>
    <w:rsid w:val="00C11026"/>
    <w:rsid w:val="00C1104B"/>
    <w:rsid w:val="00C11190"/>
    <w:rsid w:val="00C11257"/>
    <w:rsid w:val="00C113DA"/>
    <w:rsid w:val="00C11439"/>
    <w:rsid w:val="00C1149A"/>
    <w:rsid w:val="00C116B0"/>
    <w:rsid w:val="00C11766"/>
    <w:rsid w:val="00C117C8"/>
    <w:rsid w:val="00C1183C"/>
    <w:rsid w:val="00C11898"/>
    <w:rsid w:val="00C118A7"/>
    <w:rsid w:val="00C118C6"/>
    <w:rsid w:val="00C11968"/>
    <w:rsid w:val="00C11981"/>
    <w:rsid w:val="00C11998"/>
    <w:rsid w:val="00C11A46"/>
    <w:rsid w:val="00C11A50"/>
    <w:rsid w:val="00C11B48"/>
    <w:rsid w:val="00C11B7E"/>
    <w:rsid w:val="00C11B7F"/>
    <w:rsid w:val="00C11BAA"/>
    <w:rsid w:val="00C11C80"/>
    <w:rsid w:val="00C11D7A"/>
    <w:rsid w:val="00C11DD3"/>
    <w:rsid w:val="00C11E01"/>
    <w:rsid w:val="00C11E2A"/>
    <w:rsid w:val="00C11F23"/>
    <w:rsid w:val="00C11F51"/>
    <w:rsid w:val="00C120AC"/>
    <w:rsid w:val="00C12111"/>
    <w:rsid w:val="00C12223"/>
    <w:rsid w:val="00C12247"/>
    <w:rsid w:val="00C12252"/>
    <w:rsid w:val="00C12257"/>
    <w:rsid w:val="00C12262"/>
    <w:rsid w:val="00C12283"/>
    <w:rsid w:val="00C12345"/>
    <w:rsid w:val="00C123C4"/>
    <w:rsid w:val="00C1241C"/>
    <w:rsid w:val="00C12474"/>
    <w:rsid w:val="00C1251E"/>
    <w:rsid w:val="00C12597"/>
    <w:rsid w:val="00C12640"/>
    <w:rsid w:val="00C1266E"/>
    <w:rsid w:val="00C12720"/>
    <w:rsid w:val="00C127A6"/>
    <w:rsid w:val="00C128CC"/>
    <w:rsid w:val="00C12957"/>
    <w:rsid w:val="00C129F3"/>
    <w:rsid w:val="00C12D25"/>
    <w:rsid w:val="00C12E05"/>
    <w:rsid w:val="00C12EF8"/>
    <w:rsid w:val="00C12F5D"/>
    <w:rsid w:val="00C12F7A"/>
    <w:rsid w:val="00C12FC3"/>
    <w:rsid w:val="00C13033"/>
    <w:rsid w:val="00C13058"/>
    <w:rsid w:val="00C13077"/>
    <w:rsid w:val="00C13117"/>
    <w:rsid w:val="00C1319D"/>
    <w:rsid w:val="00C131B0"/>
    <w:rsid w:val="00C131B2"/>
    <w:rsid w:val="00C1324F"/>
    <w:rsid w:val="00C13290"/>
    <w:rsid w:val="00C133B9"/>
    <w:rsid w:val="00C13464"/>
    <w:rsid w:val="00C136BF"/>
    <w:rsid w:val="00C136ED"/>
    <w:rsid w:val="00C136F1"/>
    <w:rsid w:val="00C13704"/>
    <w:rsid w:val="00C1375C"/>
    <w:rsid w:val="00C13778"/>
    <w:rsid w:val="00C1377A"/>
    <w:rsid w:val="00C139C7"/>
    <w:rsid w:val="00C139F9"/>
    <w:rsid w:val="00C13A36"/>
    <w:rsid w:val="00C13AC9"/>
    <w:rsid w:val="00C13AF4"/>
    <w:rsid w:val="00C13B8C"/>
    <w:rsid w:val="00C13D56"/>
    <w:rsid w:val="00C13D64"/>
    <w:rsid w:val="00C13D6F"/>
    <w:rsid w:val="00C13E17"/>
    <w:rsid w:val="00C13F4D"/>
    <w:rsid w:val="00C13FA7"/>
    <w:rsid w:val="00C13FB1"/>
    <w:rsid w:val="00C140CC"/>
    <w:rsid w:val="00C14121"/>
    <w:rsid w:val="00C14146"/>
    <w:rsid w:val="00C14166"/>
    <w:rsid w:val="00C1422A"/>
    <w:rsid w:val="00C142AA"/>
    <w:rsid w:val="00C1440E"/>
    <w:rsid w:val="00C14435"/>
    <w:rsid w:val="00C14484"/>
    <w:rsid w:val="00C145B8"/>
    <w:rsid w:val="00C1464B"/>
    <w:rsid w:val="00C1466C"/>
    <w:rsid w:val="00C1469D"/>
    <w:rsid w:val="00C1488A"/>
    <w:rsid w:val="00C14B32"/>
    <w:rsid w:val="00C14B3F"/>
    <w:rsid w:val="00C14C53"/>
    <w:rsid w:val="00C14C6D"/>
    <w:rsid w:val="00C14E2B"/>
    <w:rsid w:val="00C14E92"/>
    <w:rsid w:val="00C14EB9"/>
    <w:rsid w:val="00C14F85"/>
    <w:rsid w:val="00C14FE8"/>
    <w:rsid w:val="00C150C7"/>
    <w:rsid w:val="00C1516E"/>
    <w:rsid w:val="00C1524F"/>
    <w:rsid w:val="00C15278"/>
    <w:rsid w:val="00C152BD"/>
    <w:rsid w:val="00C152D9"/>
    <w:rsid w:val="00C1531A"/>
    <w:rsid w:val="00C15339"/>
    <w:rsid w:val="00C153AD"/>
    <w:rsid w:val="00C153B5"/>
    <w:rsid w:val="00C153F9"/>
    <w:rsid w:val="00C15574"/>
    <w:rsid w:val="00C15648"/>
    <w:rsid w:val="00C15689"/>
    <w:rsid w:val="00C156EE"/>
    <w:rsid w:val="00C15711"/>
    <w:rsid w:val="00C15781"/>
    <w:rsid w:val="00C15866"/>
    <w:rsid w:val="00C1591B"/>
    <w:rsid w:val="00C15983"/>
    <w:rsid w:val="00C15985"/>
    <w:rsid w:val="00C15996"/>
    <w:rsid w:val="00C159CE"/>
    <w:rsid w:val="00C15A11"/>
    <w:rsid w:val="00C15ADB"/>
    <w:rsid w:val="00C15AEF"/>
    <w:rsid w:val="00C15B2B"/>
    <w:rsid w:val="00C15B6B"/>
    <w:rsid w:val="00C15BB8"/>
    <w:rsid w:val="00C15C20"/>
    <w:rsid w:val="00C15C62"/>
    <w:rsid w:val="00C15CA0"/>
    <w:rsid w:val="00C15D72"/>
    <w:rsid w:val="00C15DD3"/>
    <w:rsid w:val="00C15E48"/>
    <w:rsid w:val="00C15E63"/>
    <w:rsid w:val="00C15F82"/>
    <w:rsid w:val="00C16043"/>
    <w:rsid w:val="00C16116"/>
    <w:rsid w:val="00C16182"/>
    <w:rsid w:val="00C16193"/>
    <w:rsid w:val="00C1623C"/>
    <w:rsid w:val="00C163BC"/>
    <w:rsid w:val="00C163FD"/>
    <w:rsid w:val="00C1646E"/>
    <w:rsid w:val="00C1661D"/>
    <w:rsid w:val="00C16635"/>
    <w:rsid w:val="00C1663E"/>
    <w:rsid w:val="00C16672"/>
    <w:rsid w:val="00C167B8"/>
    <w:rsid w:val="00C167E5"/>
    <w:rsid w:val="00C168CF"/>
    <w:rsid w:val="00C16956"/>
    <w:rsid w:val="00C16964"/>
    <w:rsid w:val="00C16977"/>
    <w:rsid w:val="00C16A1E"/>
    <w:rsid w:val="00C16B50"/>
    <w:rsid w:val="00C16BFD"/>
    <w:rsid w:val="00C16CAC"/>
    <w:rsid w:val="00C16D5E"/>
    <w:rsid w:val="00C16D6A"/>
    <w:rsid w:val="00C16E09"/>
    <w:rsid w:val="00C16F0E"/>
    <w:rsid w:val="00C170F3"/>
    <w:rsid w:val="00C17101"/>
    <w:rsid w:val="00C1712F"/>
    <w:rsid w:val="00C17243"/>
    <w:rsid w:val="00C172EF"/>
    <w:rsid w:val="00C173F7"/>
    <w:rsid w:val="00C17476"/>
    <w:rsid w:val="00C17498"/>
    <w:rsid w:val="00C17506"/>
    <w:rsid w:val="00C1755E"/>
    <w:rsid w:val="00C17602"/>
    <w:rsid w:val="00C17669"/>
    <w:rsid w:val="00C17695"/>
    <w:rsid w:val="00C176FA"/>
    <w:rsid w:val="00C1773F"/>
    <w:rsid w:val="00C177CA"/>
    <w:rsid w:val="00C179E0"/>
    <w:rsid w:val="00C17A0B"/>
    <w:rsid w:val="00C17A34"/>
    <w:rsid w:val="00C17A5B"/>
    <w:rsid w:val="00C17C18"/>
    <w:rsid w:val="00C17C49"/>
    <w:rsid w:val="00C17C59"/>
    <w:rsid w:val="00C17C89"/>
    <w:rsid w:val="00C17CB6"/>
    <w:rsid w:val="00C17D0D"/>
    <w:rsid w:val="00C17D66"/>
    <w:rsid w:val="00C17DD5"/>
    <w:rsid w:val="00C17E18"/>
    <w:rsid w:val="00C17FD2"/>
    <w:rsid w:val="00C20050"/>
    <w:rsid w:val="00C20065"/>
    <w:rsid w:val="00C20156"/>
    <w:rsid w:val="00C2016F"/>
    <w:rsid w:val="00C201CC"/>
    <w:rsid w:val="00C20273"/>
    <w:rsid w:val="00C202B3"/>
    <w:rsid w:val="00C2038E"/>
    <w:rsid w:val="00C2039C"/>
    <w:rsid w:val="00C20492"/>
    <w:rsid w:val="00C2054F"/>
    <w:rsid w:val="00C20635"/>
    <w:rsid w:val="00C2063E"/>
    <w:rsid w:val="00C2065A"/>
    <w:rsid w:val="00C2081D"/>
    <w:rsid w:val="00C20857"/>
    <w:rsid w:val="00C20902"/>
    <w:rsid w:val="00C20903"/>
    <w:rsid w:val="00C2097A"/>
    <w:rsid w:val="00C20AD8"/>
    <w:rsid w:val="00C20AF8"/>
    <w:rsid w:val="00C20B59"/>
    <w:rsid w:val="00C20BD2"/>
    <w:rsid w:val="00C20CE2"/>
    <w:rsid w:val="00C20D15"/>
    <w:rsid w:val="00C20DBB"/>
    <w:rsid w:val="00C20E44"/>
    <w:rsid w:val="00C20EAE"/>
    <w:rsid w:val="00C210F5"/>
    <w:rsid w:val="00C21100"/>
    <w:rsid w:val="00C2113E"/>
    <w:rsid w:val="00C21207"/>
    <w:rsid w:val="00C21217"/>
    <w:rsid w:val="00C2130C"/>
    <w:rsid w:val="00C213EF"/>
    <w:rsid w:val="00C21424"/>
    <w:rsid w:val="00C21426"/>
    <w:rsid w:val="00C21444"/>
    <w:rsid w:val="00C21446"/>
    <w:rsid w:val="00C214BC"/>
    <w:rsid w:val="00C21596"/>
    <w:rsid w:val="00C215B1"/>
    <w:rsid w:val="00C2166B"/>
    <w:rsid w:val="00C216EA"/>
    <w:rsid w:val="00C216EE"/>
    <w:rsid w:val="00C21789"/>
    <w:rsid w:val="00C2180B"/>
    <w:rsid w:val="00C2181D"/>
    <w:rsid w:val="00C2186E"/>
    <w:rsid w:val="00C218A7"/>
    <w:rsid w:val="00C218D4"/>
    <w:rsid w:val="00C2193A"/>
    <w:rsid w:val="00C2196E"/>
    <w:rsid w:val="00C219D1"/>
    <w:rsid w:val="00C219EA"/>
    <w:rsid w:val="00C21A8E"/>
    <w:rsid w:val="00C21A9A"/>
    <w:rsid w:val="00C21AF2"/>
    <w:rsid w:val="00C21B01"/>
    <w:rsid w:val="00C21B55"/>
    <w:rsid w:val="00C21BCE"/>
    <w:rsid w:val="00C21C25"/>
    <w:rsid w:val="00C21C8C"/>
    <w:rsid w:val="00C21DAC"/>
    <w:rsid w:val="00C21DB2"/>
    <w:rsid w:val="00C21EE0"/>
    <w:rsid w:val="00C21FEC"/>
    <w:rsid w:val="00C22015"/>
    <w:rsid w:val="00C221B3"/>
    <w:rsid w:val="00C2222B"/>
    <w:rsid w:val="00C22265"/>
    <w:rsid w:val="00C2231E"/>
    <w:rsid w:val="00C223FE"/>
    <w:rsid w:val="00C2241A"/>
    <w:rsid w:val="00C22482"/>
    <w:rsid w:val="00C22515"/>
    <w:rsid w:val="00C22528"/>
    <w:rsid w:val="00C2258B"/>
    <w:rsid w:val="00C225E7"/>
    <w:rsid w:val="00C22789"/>
    <w:rsid w:val="00C22796"/>
    <w:rsid w:val="00C227F8"/>
    <w:rsid w:val="00C228A2"/>
    <w:rsid w:val="00C228DD"/>
    <w:rsid w:val="00C22948"/>
    <w:rsid w:val="00C2297E"/>
    <w:rsid w:val="00C22A45"/>
    <w:rsid w:val="00C22A6E"/>
    <w:rsid w:val="00C22C94"/>
    <w:rsid w:val="00C22E06"/>
    <w:rsid w:val="00C22E43"/>
    <w:rsid w:val="00C22E4A"/>
    <w:rsid w:val="00C22E8E"/>
    <w:rsid w:val="00C22EBE"/>
    <w:rsid w:val="00C22EE7"/>
    <w:rsid w:val="00C22F44"/>
    <w:rsid w:val="00C22F6C"/>
    <w:rsid w:val="00C2302B"/>
    <w:rsid w:val="00C23053"/>
    <w:rsid w:val="00C230AA"/>
    <w:rsid w:val="00C230FC"/>
    <w:rsid w:val="00C231BB"/>
    <w:rsid w:val="00C231CE"/>
    <w:rsid w:val="00C23277"/>
    <w:rsid w:val="00C232A6"/>
    <w:rsid w:val="00C232B8"/>
    <w:rsid w:val="00C232DF"/>
    <w:rsid w:val="00C233EC"/>
    <w:rsid w:val="00C234CF"/>
    <w:rsid w:val="00C234E4"/>
    <w:rsid w:val="00C23677"/>
    <w:rsid w:val="00C237DB"/>
    <w:rsid w:val="00C23812"/>
    <w:rsid w:val="00C2395C"/>
    <w:rsid w:val="00C23AD1"/>
    <w:rsid w:val="00C23BA1"/>
    <w:rsid w:val="00C23BDE"/>
    <w:rsid w:val="00C23C13"/>
    <w:rsid w:val="00C23C68"/>
    <w:rsid w:val="00C23CFF"/>
    <w:rsid w:val="00C23D09"/>
    <w:rsid w:val="00C23D58"/>
    <w:rsid w:val="00C23D6F"/>
    <w:rsid w:val="00C23D7F"/>
    <w:rsid w:val="00C23FAB"/>
    <w:rsid w:val="00C24033"/>
    <w:rsid w:val="00C240CF"/>
    <w:rsid w:val="00C2410E"/>
    <w:rsid w:val="00C24145"/>
    <w:rsid w:val="00C2418E"/>
    <w:rsid w:val="00C24244"/>
    <w:rsid w:val="00C2434E"/>
    <w:rsid w:val="00C243DB"/>
    <w:rsid w:val="00C24492"/>
    <w:rsid w:val="00C245D7"/>
    <w:rsid w:val="00C245E8"/>
    <w:rsid w:val="00C24633"/>
    <w:rsid w:val="00C24771"/>
    <w:rsid w:val="00C24788"/>
    <w:rsid w:val="00C24793"/>
    <w:rsid w:val="00C248A4"/>
    <w:rsid w:val="00C248D5"/>
    <w:rsid w:val="00C24910"/>
    <w:rsid w:val="00C24B0C"/>
    <w:rsid w:val="00C24C6B"/>
    <w:rsid w:val="00C24D99"/>
    <w:rsid w:val="00C24D9E"/>
    <w:rsid w:val="00C24E94"/>
    <w:rsid w:val="00C24F3A"/>
    <w:rsid w:val="00C24F5D"/>
    <w:rsid w:val="00C24FCF"/>
    <w:rsid w:val="00C24FEF"/>
    <w:rsid w:val="00C25075"/>
    <w:rsid w:val="00C2509B"/>
    <w:rsid w:val="00C250DB"/>
    <w:rsid w:val="00C250F3"/>
    <w:rsid w:val="00C2516A"/>
    <w:rsid w:val="00C2516F"/>
    <w:rsid w:val="00C25196"/>
    <w:rsid w:val="00C251D2"/>
    <w:rsid w:val="00C251D9"/>
    <w:rsid w:val="00C25329"/>
    <w:rsid w:val="00C2536F"/>
    <w:rsid w:val="00C253A1"/>
    <w:rsid w:val="00C253F2"/>
    <w:rsid w:val="00C25400"/>
    <w:rsid w:val="00C2543D"/>
    <w:rsid w:val="00C25517"/>
    <w:rsid w:val="00C255CC"/>
    <w:rsid w:val="00C25601"/>
    <w:rsid w:val="00C2562D"/>
    <w:rsid w:val="00C256B4"/>
    <w:rsid w:val="00C2578F"/>
    <w:rsid w:val="00C257A7"/>
    <w:rsid w:val="00C257D4"/>
    <w:rsid w:val="00C25816"/>
    <w:rsid w:val="00C2586E"/>
    <w:rsid w:val="00C258FA"/>
    <w:rsid w:val="00C259BF"/>
    <w:rsid w:val="00C25A06"/>
    <w:rsid w:val="00C25A5D"/>
    <w:rsid w:val="00C25A9C"/>
    <w:rsid w:val="00C25AFB"/>
    <w:rsid w:val="00C25B49"/>
    <w:rsid w:val="00C25BB9"/>
    <w:rsid w:val="00C25C16"/>
    <w:rsid w:val="00C25C76"/>
    <w:rsid w:val="00C25C91"/>
    <w:rsid w:val="00C25EE5"/>
    <w:rsid w:val="00C25F21"/>
    <w:rsid w:val="00C25F6C"/>
    <w:rsid w:val="00C25F8A"/>
    <w:rsid w:val="00C25F90"/>
    <w:rsid w:val="00C2602E"/>
    <w:rsid w:val="00C26046"/>
    <w:rsid w:val="00C261A2"/>
    <w:rsid w:val="00C261B6"/>
    <w:rsid w:val="00C262D7"/>
    <w:rsid w:val="00C262FB"/>
    <w:rsid w:val="00C2630E"/>
    <w:rsid w:val="00C263C0"/>
    <w:rsid w:val="00C263EA"/>
    <w:rsid w:val="00C2645A"/>
    <w:rsid w:val="00C2649C"/>
    <w:rsid w:val="00C2655D"/>
    <w:rsid w:val="00C2663B"/>
    <w:rsid w:val="00C26646"/>
    <w:rsid w:val="00C2671F"/>
    <w:rsid w:val="00C26783"/>
    <w:rsid w:val="00C2679A"/>
    <w:rsid w:val="00C267E8"/>
    <w:rsid w:val="00C267EF"/>
    <w:rsid w:val="00C26ACE"/>
    <w:rsid w:val="00C26ADF"/>
    <w:rsid w:val="00C26AED"/>
    <w:rsid w:val="00C26B86"/>
    <w:rsid w:val="00C26B94"/>
    <w:rsid w:val="00C26C0D"/>
    <w:rsid w:val="00C26C1E"/>
    <w:rsid w:val="00C26C5F"/>
    <w:rsid w:val="00C26CC8"/>
    <w:rsid w:val="00C26DDF"/>
    <w:rsid w:val="00C26E51"/>
    <w:rsid w:val="00C26E86"/>
    <w:rsid w:val="00C26EC7"/>
    <w:rsid w:val="00C26F05"/>
    <w:rsid w:val="00C26F93"/>
    <w:rsid w:val="00C2707D"/>
    <w:rsid w:val="00C27090"/>
    <w:rsid w:val="00C2710A"/>
    <w:rsid w:val="00C271B8"/>
    <w:rsid w:val="00C27277"/>
    <w:rsid w:val="00C273AB"/>
    <w:rsid w:val="00C27428"/>
    <w:rsid w:val="00C27445"/>
    <w:rsid w:val="00C27449"/>
    <w:rsid w:val="00C2753F"/>
    <w:rsid w:val="00C27809"/>
    <w:rsid w:val="00C27852"/>
    <w:rsid w:val="00C279BB"/>
    <w:rsid w:val="00C279F1"/>
    <w:rsid w:val="00C27A29"/>
    <w:rsid w:val="00C27AA1"/>
    <w:rsid w:val="00C27AE9"/>
    <w:rsid w:val="00C27B0F"/>
    <w:rsid w:val="00C27BC5"/>
    <w:rsid w:val="00C27C8D"/>
    <w:rsid w:val="00C27EF5"/>
    <w:rsid w:val="00C3000B"/>
    <w:rsid w:val="00C30010"/>
    <w:rsid w:val="00C30194"/>
    <w:rsid w:val="00C30254"/>
    <w:rsid w:val="00C30263"/>
    <w:rsid w:val="00C30297"/>
    <w:rsid w:val="00C304EB"/>
    <w:rsid w:val="00C304F0"/>
    <w:rsid w:val="00C3053D"/>
    <w:rsid w:val="00C30547"/>
    <w:rsid w:val="00C3065C"/>
    <w:rsid w:val="00C3067E"/>
    <w:rsid w:val="00C30731"/>
    <w:rsid w:val="00C30774"/>
    <w:rsid w:val="00C30790"/>
    <w:rsid w:val="00C30793"/>
    <w:rsid w:val="00C307AC"/>
    <w:rsid w:val="00C307F8"/>
    <w:rsid w:val="00C30817"/>
    <w:rsid w:val="00C30829"/>
    <w:rsid w:val="00C30863"/>
    <w:rsid w:val="00C30A3A"/>
    <w:rsid w:val="00C30A5D"/>
    <w:rsid w:val="00C30AAF"/>
    <w:rsid w:val="00C30BCF"/>
    <w:rsid w:val="00C30CA3"/>
    <w:rsid w:val="00C30D37"/>
    <w:rsid w:val="00C30D8E"/>
    <w:rsid w:val="00C30DA7"/>
    <w:rsid w:val="00C30DED"/>
    <w:rsid w:val="00C30E1A"/>
    <w:rsid w:val="00C30E4D"/>
    <w:rsid w:val="00C30EB3"/>
    <w:rsid w:val="00C30EFB"/>
    <w:rsid w:val="00C31010"/>
    <w:rsid w:val="00C310AF"/>
    <w:rsid w:val="00C310C8"/>
    <w:rsid w:val="00C31169"/>
    <w:rsid w:val="00C311BD"/>
    <w:rsid w:val="00C312CC"/>
    <w:rsid w:val="00C31301"/>
    <w:rsid w:val="00C31369"/>
    <w:rsid w:val="00C3136B"/>
    <w:rsid w:val="00C313F9"/>
    <w:rsid w:val="00C31460"/>
    <w:rsid w:val="00C31501"/>
    <w:rsid w:val="00C3150D"/>
    <w:rsid w:val="00C317E5"/>
    <w:rsid w:val="00C3183A"/>
    <w:rsid w:val="00C318A2"/>
    <w:rsid w:val="00C31917"/>
    <w:rsid w:val="00C319F7"/>
    <w:rsid w:val="00C31A8B"/>
    <w:rsid w:val="00C31BB4"/>
    <w:rsid w:val="00C31D82"/>
    <w:rsid w:val="00C31DA8"/>
    <w:rsid w:val="00C31E67"/>
    <w:rsid w:val="00C31E93"/>
    <w:rsid w:val="00C31EF5"/>
    <w:rsid w:val="00C31F0E"/>
    <w:rsid w:val="00C31F10"/>
    <w:rsid w:val="00C31F34"/>
    <w:rsid w:val="00C31FA9"/>
    <w:rsid w:val="00C31FEC"/>
    <w:rsid w:val="00C32041"/>
    <w:rsid w:val="00C3204A"/>
    <w:rsid w:val="00C320A6"/>
    <w:rsid w:val="00C320B9"/>
    <w:rsid w:val="00C3217C"/>
    <w:rsid w:val="00C321CB"/>
    <w:rsid w:val="00C321CD"/>
    <w:rsid w:val="00C321CE"/>
    <w:rsid w:val="00C32200"/>
    <w:rsid w:val="00C3226B"/>
    <w:rsid w:val="00C32421"/>
    <w:rsid w:val="00C3242F"/>
    <w:rsid w:val="00C3246F"/>
    <w:rsid w:val="00C324C5"/>
    <w:rsid w:val="00C32523"/>
    <w:rsid w:val="00C325D5"/>
    <w:rsid w:val="00C325E3"/>
    <w:rsid w:val="00C326E5"/>
    <w:rsid w:val="00C32719"/>
    <w:rsid w:val="00C3273B"/>
    <w:rsid w:val="00C32755"/>
    <w:rsid w:val="00C32A6D"/>
    <w:rsid w:val="00C32AB6"/>
    <w:rsid w:val="00C32ACA"/>
    <w:rsid w:val="00C32B0C"/>
    <w:rsid w:val="00C32B2F"/>
    <w:rsid w:val="00C32B50"/>
    <w:rsid w:val="00C32BBE"/>
    <w:rsid w:val="00C32C4C"/>
    <w:rsid w:val="00C32CCF"/>
    <w:rsid w:val="00C32CE5"/>
    <w:rsid w:val="00C32CF1"/>
    <w:rsid w:val="00C32D99"/>
    <w:rsid w:val="00C32DA9"/>
    <w:rsid w:val="00C32E3B"/>
    <w:rsid w:val="00C32E53"/>
    <w:rsid w:val="00C32EF4"/>
    <w:rsid w:val="00C32FD1"/>
    <w:rsid w:val="00C330D4"/>
    <w:rsid w:val="00C33119"/>
    <w:rsid w:val="00C3314C"/>
    <w:rsid w:val="00C331E7"/>
    <w:rsid w:val="00C332C2"/>
    <w:rsid w:val="00C333A5"/>
    <w:rsid w:val="00C33400"/>
    <w:rsid w:val="00C336A2"/>
    <w:rsid w:val="00C337CD"/>
    <w:rsid w:val="00C33939"/>
    <w:rsid w:val="00C339D9"/>
    <w:rsid w:val="00C33A56"/>
    <w:rsid w:val="00C33AC2"/>
    <w:rsid w:val="00C33B52"/>
    <w:rsid w:val="00C33C21"/>
    <w:rsid w:val="00C33D70"/>
    <w:rsid w:val="00C33DC7"/>
    <w:rsid w:val="00C33E36"/>
    <w:rsid w:val="00C33E77"/>
    <w:rsid w:val="00C33F4C"/>
    <w:rsid w:val="00C33FA8"/>
    <w:rsid w:val="00C33FE1"/>
    <w:rsid w:val="00C3407E"/>
    <w:rsid w:val="00C3421B"/>
    <w:rsid w:val="00C344F2"/>
    <w:rsid w:val="00C34506"/>
    <w:rsid w:val="00C345E0"/>
    <w:rsid w:val="00C34618"/>
    <w:rsid w:val="00C3464B"/>
    <w:rsid w:val="00C3465F"/>
    <w:rsid w:val="00C3467D"/>
    <w:rsid w:val="00C346A8"/>
    <w:rsid w:val="00C346B3"/>
    <w:rsid w:val="00C346EE"/>
    <w:rsid w:val="00C347C6"/>
    <w:rsid w:val="00C348EE"/>
    <w:rsid w:val="00C34986"/>
    <w:rsid w:val="00C349A5"/>
    <w:rsid w:val="00C349BF"/>
    <w:rsid w:val="00C34A4E"/>
    <w:rsid w:val="00C34AC8"/>
    <w:rsid w:val="00C34BD7"/>
    <w:rsid w:val="00C34BE7"/>
    <w:rsid w:val="00C34C02"/>
    <w:rsid w:val="00C34C16"/>
    <w:rsid w:val="00C34C3C"/>
    <w:rsid w:val="00C34C4B"/>
    <w:rsid w:val="00C34DE1"/>
    <w:rsid w:val="00C34DED"/>
    <w:rsid w:val="00C34E41"/>
    <w:rsid w:val="00C34E72"/>
    <w:rsid w:val="00C34EBE"/>
    <w:rsid w:val="00C34ED7"/>
    <w:rsid w:val="00C34EFE"/>
    <w:rsid w:val="00C34F38"/>
    <w:rsid w:val="00C34F62"/>
    <w:rsid w:val="00C350B8"/>
    <w:rsid w:val="00C350C8"/>
    <w:rsid w:val="00C350CD"/>
    <w:rsid w:val="00C352BA"/>
    <w:rsid w:val="00C3531E"/>
    <w:rsid w:val="00C3538B"/>
    <w:rsid w:val="00C353B3"/>
    <w:rsid w:val="00C353C9"/>
    <w:rsid w:val="00C3540B"/>
    <w:rsid w:val="00C3548B"/>
    <w:rsid w:val="00C354EA"/>
    <w:rsid w:val="00C35536"/>
    <w:rsid w:val="00C35562"/>
    <w:rsid w:val="00C35581"/>
    <w:rsid w:val="00C3559E"/>
    <w:rsid w:val="00C35683"/>
    <w:rsid w:val="00C35696"/>
    <w:rsid w:val="00C35761"/>
    <w:rsid w:val="00C35775"/>
    <w:rsid w:val="00C357CF"/>
    <w:rsid w:val="00C357D0"/>
    <w:rsid w:val="00C35813"/>
    <w:rsid w:val="00C3583C"/>
    <w:rsid w:val="00C35869"/>
    <w:rsid w:val="00C3599B"/>
    <w:rsid w:val="00C359A7"/>
    <w:rsid w:val="00C35A3F"/>
    <w:rsid w:val="00C35AB9"/>
    <w:rsid w:val="00C35AD3"/>
    <w:rsid w:val="00C35B0C"/>
    <w:rsid w:val="00C35B36"/>
    <w:rsid w:val="00C35B99"/>
    <w:rsid w:val="00C35BAE"/>
    <w:rsid w:val="00C35C3B"/>
    <w:rsid w:val="00C35CAB"/>
    <w:rsid w:val="00C35E10"/>
    <w:rsid w:val="00C35E1E"/>
    <w:rsid w:val="00C35E34"/>
    <w:rsid w:val="00C35E48"/>
    <w:rsid w:val="00C35E8A"/>
    <w:rsid w:val="00C35ED0"/>
    <w:rsid w:val="00C35F10"/>
    <w:rsid w:val="00C35F14"/>
    <w:rsid w:val="00C35F99"/>
    <w:rsid w:val="00C36076"/>
    <w:rsid w:val="00C3618F"/>
    <w:rsid w:val="00C361C9"/>
    <w:rsid w:val="00C361CE"/>
    <w:rsid w:val="00C362D7"/>
    <w:rsid w:val="00C363E8"/>
    <w:rsid w:val="00C363FA"/>
    <w:rsid w:val="00C36428"/>
    <w:rsid w:val="00C3644E"/>
    <w:rsid w:val="00C36463"/>
    <w:rsid w:val="00C364AA"/>
    <w:rsid w:val="00C364E5"/>
    <w:rsid w:val="00C36591"/>
    <w:rsid w:val="00C365A8"/>
    <w:rsid w:val="00C366F8"/>
    <w:rsid w:val="00C3677D"/>
    <w:rsid w:val="00C367FB"/>
    <w:rsid w:val="00C36893"/>
    <w:rsid w:val="00C368C7"/>
    <w:rsid w:val="00C36979"/>
    <w:rsid w:val="00C3697E"/>
    <w:rsid w:val="00C36A05"/>
    <w:rsid w:val="00C36A99"/>
    <w:rsid w:val="00C36B38"/>
    <w:rsid w:val="00C36B98"/>
    <w:rsid w:val="00C36BC5"/>
    <w:rsid w:val="00C36BC7"/>
    <w:rsid w:val="00C36C23"/>
    <w:rsid w:val="00C36CD9"/>
    <w:rsid w:val="00C36D8A"/>
    <w:rsid w:val="00C36E78"/>
    <w:rsid w:val="00C36EF4"/>
    <w:rsid w:val="00C36F24"/>
    <w:rsid w:val="00C36F3C"/>
    <w:rsid w:val="00C36F5F"/>
    <w:rsid w:val="00C3734A"/>
    <w:rsid w:val="00C3737E"/>
    <w:rsid w:val="00C37380"/>
    <w:rsid w:val="00C373AC"/>
    <w:rsid w:val="00C374E6"/>
    <w:rsid w:val="00C374F3"/>
    <w:rsid w:val="00C3754A"/>
    <w:rsid w:val="00C37616"/>
    <w:rsid w:val="00C37682"/>
    <w:rsid w:val="00C37692"/>
    <w:rsid w:val="00C37739"/>
    <w:rsid w:val="00C377A4"/>
    <w:rsid w:val="00C37848"/>
    <w:rsid w:val="00C37859"/>
    <w:rsid w:val="00C37965"/>
    <w:rsid w:val="00C379DD"/>
    <w:rsid w:val="00C379E1"/>
    <w:rsid w:val="00C37A04"/>
    <w:rsid w:val="00C37ABC"/>
    <w:rsid w:val="00C37ABE"/>
    <w:rsid w:val="00C37AC4"/>
    <w:rsid w:val="00C37B4F"/>
    <w:rsid w:val="00C37B5B"/>
    <w:rsid w:val="00C37BAD"/>
    <w:rsid w:val="00C37C0B"/>
    <w:rsid w:val="00C37C11"/>
    <w:rsid w:val="00C37C42"/>
    <w:rsid w:val="00C37D37"/>
    <w:rsid w:val="00C37D7F"/>
    <w:rsid w:val="00C37D9F"/>
    <w:rsid w:val="00C37DEE"/>
    <w:rsid w:val="00C37DF5"/>
    <w:rsid w:val="00C37EBF"/>
    <w:rsid w:val="00C37FBD"/>
    <w:rsid w:val="00C37FF7"/>
    <w:rsid w:val="00C4004C"/>
    <w:rsid w:val="00C401CC"/>
    <w:rsid w:val="00C401F8"/>
    <w:rsid w:val="00C402D1"/>
    <w:rsid w:val="00C40421"/>
    <w:rsid w:val="00C4043E"/>
    <w:rsid w:val="00C404DF"/>
    <w:rsid w:val="00C40512"/>
    <w:rsid w:val="00C40567"/>
    <w:rsid w:val="00C406B3"/>
    <w:rsid w:val="00C40703"/>
    <w:rsid w:val="00C40715"/>
    <w:rsid w:val="00C40734"/>
    <w:rsid w:val="00C40785"/>
    <w:rsid w:val="00C407F4"/>
    <w:rsid w:val="00C40945"/>
    <w:rsid w:val="00C40997"/>
    <w:rsid w:val="00C40A91"/>
    <w:rsid w:val="00C40ACE"/>
    <w:rsid w:val="00C40AF0"/>
    <w:rsid w:val="00C40B82"/>
    <w:rsid w:val="00C40B93"/>
    <w:rsid w:val="00C40C70"/>
    <w:rsid w:val="00C40D28"/>
    <w:rsid w:val="00C40D31"/>
    <w:rsid w:val="00C40E14"/>
    <w:rsid w:val="00C40E24"/>
    <w:rsid w:val="00C40E2F"/>
    <w:rsid w:val="00C40E7A"/>
    <w:rsid w:val="00C40EF8"/>
    <w:rsid w:val="00C40F32"/>
    <w:rsid w:val="00C40F91"/>
    <w:rsid w:val="00C40FCA"/>
    <w:rsid w:val="00C411B1"/>
    <w:rsid w:val="00C41235"/>
    <w:rsid w:val="00C41241"/>
    <w:rsid w:val="00C4128B"/>
    <w:rsid w:val="00C41338"/>
    <w:rsid w:val="00C413EE"/>
    <w:rsid w:val="00C41402"/>
    <w:rsid w:val="00C4144E"/>
    <w:rsid w:val="00C4150B"/>
    <w:rsid w:val="00C41558"/>
    <w:rsid w:val="00C41578"/>
    <w:rsid w:val="00C415CD"/>
    <w:rsid w:val="00C4162B"/>
    <w:rsid w:val="00C41633"/>
    <w:rsid w:val="00C4166B"/>
    <w:rsid w:val="00C41757"/>
    <w:rsid w:val="00C4175D"/>
    <w:rsid w:val="00C41892"/>
    <w:rsid w:val="00C4191F"/>
    <w:rsid w:val="00C419AC"/>
    <w:rsid w:val="00C41C10"/>
    <w:rsid w:val="00C41D85"/>
    <w:rsid w:val="00C41E93"/>
    <w:rsid w:val="00C41F40"/>
    <w:rsid w:val="00C42019"/>
    <w:rsid w:val="00C420D4"/>
    <w:rsid w:val="00C4214E"/>
    <w:rsid w:val="00C421B8"/>
    <w:rsid w:val="00C4248C"/>
    <w:rsid w:val="00C424E8"/>
    <w:rsid w:val="00C424F2"/>
    <w:rsid w:val="00C4263B"/>
    <w:rsid w:val="00C4269B"/>
    <w:rsid w:val="00C4270A"/>
    <w:rsid w:val="00C4272E"/>
    <w:rsid w:val="00C427AE"/>
    <w:rsid w:val="00C427BA"/>
    <w:rsid w:val="00C427FD"/>
    <w:rsid w:val="00C42870"/>
    <w:rsid w:val="00C42926"/>
    <w:rsid w:val="00C42B51"/>
    <w:rsid w:val="00C42BBA"/>
    <w:rsid w:val="00C42C4D"/>
    <w:rsid w:val="00C42CA4"/>
    <w:rsid w:val="00C42CCF"/>
    <w:rsid w:val="00C42CF5"/>
    <w:rsid w:val="00C42D19"/>
    <w:rsid w:val="00C42D8C"/>
    <w:rsid w:val="00C42D9C"/>
    <w:rsid w:val="00C42E5D"/>
    <w:rsid w:val="00C42FAD"/>
    <w:rsid w:val="00C42FF8"/>
    <w:rsid w:val="00C43004"/>
    <w:rsid w:val="00C4305E"/>
    <w:rsid w:val="00C430AC"/>
    <w:rsid w:val="00C43145"/>
    <w:rsid w:val="00C431B2"/>
    <w:rsid w:val="00C431D4"/>
    <w:rsid w:val="00C431D6"/>
    <w:rsid w:val="00C432C5"/>
    <w:rsid w:val="00C432E4"/>
    <w:rsid w:val="00C433C3"/>
    <w:rsid w:val="00C433E6"/>
    <w:rsid w:val="00C43414"/>
    <w:rsid w:val="00C434F4"/>
    <w:rsid w:val="00C4353E"/>
    <w:rsid w:val="00C435BD"/>
    <w:rsid w:val="00C435CD"/>
    <w:rsid w:val="00C435E3"/>
    <w:rsid w:val="00C435F4"/>
    <w:rsid w:val="00C43654"/>
    <w:rsid w:val="00C4369A"/>
    <w:rsid w:val="00C43748"/>
    <w:rsid w:val="00C437D5"/>
    <w:rsid w:val="00C437E7"/>
    <w:rsid w:val="00C43844"/>
    <w:rsid w:val="00C4388C"/>
    <w:rsid w:val="00C4397C"/>
    <w:rsid w:val="00C43A7A"/>
    <w:rsid w:val="00C43ABC"/>
    <w:rsid w:val="00C43AD7"/>
    <w:rsid w:val="00C43B1C"/>
    <w:rsid w:val="00C43CBB"/>
    <w:rsid w:val="00C43CE5"/>
    <w:rsid w:val="00C43D44"/>
    <w:rsid w:val="00C43D92"/>
    <w:rsid w:val="00C43DA0"/>
    <w:rsid w:val="00C43DB4"/>
    <w:rsid w:val="00C43DFC"/>
    <w:rsid w:val="00C43E23"/>
    <w:rsid w:val="00C43FB6"/>
    <w:rsid w:val="00C43FC3"/>
    <w:rsid w:val="00C44034"/>
    <w:rsid w:val="00C44058"/>
    <w:rsid w:val="00C44102"/>
    <w:rsid w:val="00C44172"/>
    <w:rsid w:val="00C44252"/>
    <w:rsid w:val="00C44495"/>
    <w:rsid w:val="00C4449A"/>
    <w:rsid w:val="00C44569"/>
    <w:rsid w:val="00C445ED"/>
    <w:rsid w:val="00C44732"/>
    <w:rsid w:val="00C44743"/>
    <w:rsid w:val="00C4474A"/>
    <w:rsid w:val="00C44778"/>
    <w:rsid w:val="00C447D1"/>
    <w:rsid w:val="00C447ED"/>
    <w:rsid w:val="00C44844"/>
    <w:rsid w:val="00C448E2"/>
    <w:rsid w:val="00C448F0"/>
    <w:rsid w:val="00C44941"/>
    <w:rsid w:val="00C44948"/>
    <w:rsid w:val="00C44972"/>
    <w:rsid w:val="00C449CA"/>
    <w:rsid w:val="00C44B18"/>
    <w:rsid w:val="00C44B33"/>
    <w:rsid w:val="00C44C60"/>
    <w:rsid w:val="00C44C74"/>
    <w:rsid w:val="00C44CC0"/>
    <w:rsid w:val="00C44CEA"/>
    <w:rsid w:val="00C44DBC"/>
    <w:rsid w:val="00C44E06"/>
    <w:rsid w:val="00C44EED"/>
    <w:rsid w:val="00C44F5D"/>
    <w:rsid w:val="00C44F68"/>
    <w:rsid w:val="00C44FDF"/>
    <w:rsid w:val="00C45163"/>
    <w:rsid w:val="00C45223"/>
    <w:rsid w:val="00C45227"/>
    <w:rsid w:val="00C45270"/>
    <w:rsid w:val="00C45321"/>
    <w:rsid w:val="00C45382"/>
    <w:rsid w:val="00C454E8"/>
    <w:rsid w:val="00C455CA"/>
    <w:rsid w:val="00C4564F"/>
    <w:rsid w:val="00C456AE"/>
    <w:rsid w:val="00C45722"/>
    <w:rsid w:val="00C457DC"/>
    <w:rsid w:val="00C457FA"/>
    <w:rsid w:val="00C4594C"/>
    <w:rsid w:val="00C459CC"/>
    <w:rsid w:val="00C459D1"/>
    <w:rsid w:val="00C45AC3"/>
    <w:rsid w:val="00C45AE7"/>
    <w:rsid w:val="00C45B03"/>
    <w:rsid w:val="00C45B84"/>
    <w:rsid w:val="00C45B9D"/>
    <w:rsid w:val="00C45BA6"/>
    <w:rsid w:val="00C45BB1"/>
    <w:rsid w:val="00C45C5B"/>
    <w:rsid w:val="00C45C5E"/>
    <w:rsid w:val="00C45C8D"/>
    <w:rsid w:val="00C45DB6"/>
    <w:rsid w:val="00C45DF6"/>
    <w:rsid w:val="00C45F1D"/>
    <w:rsid w:val="00C45FB8"/>
    <w:rsid w:val="00C45FF6"/>
    <w:rsid w:val="00C4606C"/>
    <w:rsid w:val="00C4616E"/>
    <w:rsid w:val="00C46186"/>
    <w:rsid w:val="00C461D5"/>
    <w:rsid w:val="00C463AE"/>
    <w:rsid w:val="00C4649A"/>
    <w:rsid w:val="00C464B2"/>
    <w:rsid w:val="00C4655B"/>
    <w:rsid w:val="00C465C5"/>
    <w:rsid w:val="00C46648"/>
    <w:rsid w:val="00C46654"/>
    <w:rsid w:val="00C466B7"/>
    <w:rsid w:val="00C46708"/>
    <w:rsid w:val="00C46982"/>
    <w:rsid w:val="00C469E8"/>
    <w:rsid w:val="00C46A20"/>
    <w:rsid w:val="00C46A7D"/>
    <w:rsid w:val="00C46BDB"/>
    <w:rsid w:val="00C46BED"/>
    <w:rsid w:val="00C46C08"/>
    <w:rsid w:val="00C46C41"/>
    <w:rsid w:val="00C46CAD"/>
    <w:rsid w:val="00C46CF5"/>
    <w:rsid w:val="00C46DEA"/>
    <w:rsid w:val="00C46E8A"/>
    <w:rsid w:val="00C46F72"/>
    <w:rsid w:val="00C46FBE"/>
    <w:rsid w:val="00C46FFD"/>
    <w:rsid w:val="00C4718D"/>
    <w:rsid w:val="00C47199"/>
    <w:rsid w:val="00C471B1"/>
    <w:rsid w:val="00C47291"/>
    <w:rsid w:val="00C472EC"/>
    <w:rsid w:val="00C47380"/>
    <w:rsid w:val="00C473E9"/>
    <w:rsid w:val="00C4751A"/>
    <w:rsid w:val="00C47600"/>
    <w:rsid w:val="00C4761D"/>
    <w:rsid w:val="00C4769C"/>
    <w:rsid w:val="00C477E7"/>
    <w:rsid w:val="00C477F8"/>
    <w:rsid w:val="00C47831"/>
    <w:rsid w:val="00C4783A"/>
    <w:rsid w:val="00C47895"/>
    <w:rsid w:val="00C4789D"/>
    <w:rsid w:val="00C47A10"/>
    <w:rsid w:val="00C47A61"/>
    <w:rsid w:val="00C47A66"/>
    <w:rsid w:val="00C47A9F"/>
    <w:rsid w:val="00C47AC7"/>
    <w:rsid w:val="00C47B9E"/>
    <w:rsid w:val="00C47BE9"/>
    <w:rsid w:val="00C47BF7"/>
    <w:rsid w:val="00C47C44"/>
    <w:rsid w:val="00C47CC9"/>
    <w:rsid w:val="00C47CCE"/>
    <w:rsid w:val="00C47D12"/>
    <w:rsid w:val="00C47D25"/>
    <w:rsid w:val="00C47DC3"/>
    <w:rsid w:val="00C47DF5"/>
    <w:rsid w:val="00C47F85"/>
    <w:rsid w:val="00C47FCA"/>
    <w:rsid w:val="00C50047"/>
    <w:rsid w:val="00C500B1"/>
    <w:rsid w:val="00C50116"/>
    <w:rsid w:val="00C5011E"/>
    <w:rsid w:val="00C5027E"/>
    <w:rsid w:val="00C50283"/>
    <w:rsid w:val="00C5033A"/>
    <w:rsid w:val="00C503B5"/>
    <w:rsid w:val="00C503BE"/>
    <w:rsid w:val="00C5040E"/>
    <w:rsid w:val="00C5056D"/>
    <w:rsid w:val="00C50639"/>
    <w:rsid w:val="00C5066D"/>
    <w:rsid w:val="00C5067C"/>
    <w:rsid w:val="00C506C2"/>
    <w:rsid w:val="00C5071B"/>
    <w:rsid w:val="00C5071C"/>
    <w:rsid w:val="00C50793"/>
    <w:rsid w:val="00C5082F"/>
    <w:rsid w:val="00C50853"/>
    <w:rsid w:val="00C5086E"/>
    <w:rsid w:val="00C50891"/>
    <w:rsid w:val="00C508AF"/>
    <w:rsid w:val="00C508BB"/>
    <w:rsid w:val="00C50A68"/>
    <w:rsid w:val="00C50ABE"/>
    <w:rsid w:val="00C50B36"/>
    <w:rsid w:val="00C50B48"/>
    <w:rsid w:val="00C50B97"/>
    <w:rsid w:val="00C50C06"/>
    <w:rsid w:val="00C50C5B"/>
    <w:rsid w:val="00C50DDB"/>
    <w:rsid w:val="00C50E09"/>
    <w:rsid w:val="00C50E2A"/>
    <w:rsid w:val="00C50FB1"/>
    <w:rsid w:val="00C50FF6"/>
    <w:rsid w:val="00C50FF9"/>
    <w:rsid w:val="00C5105A"/>
    <w:rsid w:val="00C5106A"/>
    <w:rsid w:val="00C510A0"/>
    <w:rsid w:val="00C510B8"/>
    <w:rsid w:val="00C510EB"/>
    <w:rsid w:val="00C510F0"/>
    <w:rsid w:val="00C510F9"/>
    <w:rsid w:val="00C5111C"/>
    <w:rsid w:val="00C5112D"/>
    <w:rsid w:val="00C511A4"/>
    <w:rsid w:val="00C51256"/>
    <w:rsid w:val="00C512E5"/>
    <w:rsid w:val="00C512F2"/>
    <w:rsid w:val="00C51351"/>
    <w:rsid w:val="00C51373"/>
    <w:rsid w:val="00C513EC"/>
    <w:rsid w:val="00C514AC"/>
    <w:rsid w:val="00C51566"/>
    <w:rsid w:val="00C516AF"/>
    <w:rsid w:val="00C516E2"/>
    <w:rsid w:val="00C517A5"/>
    <w:rsid w:val="00C51815"/>
    <w:rsid w:val="00C5181F"/>
    <w:rsid w:val="00C5185E"/>
    <w:rsid w:val="00C51940"/>
    <w:rsid w:val="00C519F8"/>
    <w:rsid w:val="00C51A60"/>
    <w:rsid w:val="00C51A7B"/>
    <w:rsid w:val="00C51BF4"/>
    <w:rsid w:val="00C51C58"/>
    <w:rsid w:val="00C51CC0"/>
    <w:rsid w:val="00C51D5F"/>
    <w:rsid w:val="00C51D6B"/>
    <w:rsid w:val="00C51E07"/>
    <w:rsid w:val="00C51E08"/>
    <w:rsid w:val="00C51E40"/>
    <w:rsid w:val="00C51E65"/>
    <w:rsid w:val="00C51ED7"/>
    <w:rsid w:val="00C51F0D"/>
    <w:rsid w:val="00C52008"/>
    <w:rsid w:val="00C5206A"/>
    <w:rsid w:val="00C5206D"/>
    <w:rsid w:val="00C5206E"/>
    <w:rsid w:val="00C520D0"/>
    <w:rsid w:val="00C52159"/>
    <w:rsid w:val="00C52265"/>
    <w:rsid w:val="00C52297"/>
    <w:rsid w:val="00C52492"/>
    <w:rsid w:val="00C5254A"/>
    <w:rsid w:val="00C525C5"/>
    <w:rsid w:val="00C5260C"/>
    <w:rsid w:val="00C52648"/>
    <w:rsid w:val="00C52800"/>
    <w:rsid w:val="00C5291D"/>
    <w:rsid w:val="00C52AB4"/>
    <w:rsid w:val="00C52CBF"/>
    <w:rsid w:val="00C52E50"/>
    <w:rsid w:val="00C52EB6"/>
    <w:rsid w:val="00C52F54"/>
    <w:rsid w:val="00C52F5A"/>
    <w:rsid w:val="00C5302B"/>
    <w:rsid w:val="00C53032"/>
    <w:rsid w:val="00C5308C"/>
    <w:rsid w:val="00C5309C"/>
    <w:rsid w:val="00C530E6"/>
    <w:rsid w:val="00C53201"/>
    <w:rsid w:val="00C53244"/>
    <w:rsid w:val="00C532FE"/>
    <w:rsid w:val="00C53679"/>
    <w:rsid w:val="00C536F4"/>
    <w:rsid w:val="00C537B6"/>
    <w:rsid w:val="00C5388B"/>
    <w:rsid w:val="00C53900"/>
    <w:rsid w:val="00C53938"/>
    <w:rsid w:val="00C5393F"/>
    <w:rsid w:val="00C539DF"/>
    <w:rsid w:val="00C53A30"/>
    <w:rsid w:val="00C53A40"/>
    <w:rsid w:val="00C53B34"/>
    <w:rsid w:val="00C53C92"/>
    <w:rsid w:val="00C53CC0"/>
    <w:rsid w:val="00C53CE4"/>
    <w:rsid w:val="00C53F18"/>
    <w:rsid w:val="00C53F3F"/>
    <w:rsid w:val="00C53FEC"/>
    <w:rsid w:val="00C54120"/>
    <w:rsid w:val="00C54157"/>
    <w:rsid w:val="00C5420A"/>
    <w:rsid w:val="00C5421B"/>
    <w:rsid w:val="00C54247"/>
    <w:rsid w:val="00C54270"/>
    <w:rsid w:val="00C542D6"/>
    <w:rsid w:val="00C5436C"/>
    <w:rsid w:val="00C543BE"/>
    <w:rsid w:val="00C543E9"/>
    <w:rsid w:val="00C544B4"/>
    <w:rsid w:val="00C5455B"/>
    <w:rsid w:val="00C5460D"/>
    <w:rsid w:val="00C546FC"/>
    <w:rsid w:val="00C54777"/>
    <w:rsid w:val="00C54784"/>
    <w:rsid w:val="00C54973"/>
    <w:rsid w:val="00C54979"/>
    <w:rsid w:val="00C5498E"/>
    <w:rsid w:val="00C54998"/>
    <w:rsid w:val="00C549E7"/>
    <w:rsid w:val="00C54A63"/>
    <w:rsid w:val="00C54B4A"/>
    <w:rsid w:val="00C54B6C"/>
    <w:rsid w:val="00C54BB3"/>
    <w:rsid w:val="00C54CB1"/>
    <w:rsid w:val="00C54DC9"/>
    <w:rsid w:val="00C54EA6"/>
    <w:rsid w:val="00C54EAB"/>
    <w:rsid w:val="00C54EF2"/>
    <w:rsid w:val="00C54EFC"/>
    <w:rsid w:val="00C54F5D"/>
    <w:rsid w:val="00C54F66"/>
    <w:rsid w:val="00C54FF6"/>
    <w:rsid w:val="00C55055"/>
    <w:rsid w:val="00C550E5"/>
    <w:rsid w:val="00C550E6"/>
    <w:rsid w:val="00C5512B"/>
    <w:rsid w:val="00C5513D"/>
    <w:rsid w:val="00C551BA"/>
    <w:rsid w:val="00C55230"/>
    <w:rsid w:val="00C55294"/>
    <w:rsid w:val="00C5529D"/>
    <w:rsid w:val="00C552B2"/>
    <w:rsid w:val="00C552F6"/>
    <w:rsid w:val="00C5533E"/>
    <w:rsid w:val="00C553F2"/>
    <w:rsid w:val="00C553FD"/>
    <w:rsid w:val="00C554A7"/>
    <w:rsid w:val="00C554BB"/>
    <w:rsid w:val="00C55555"/>
    <w:rsid w:val="00C5558B"/>
    <w:rsid w:val="00C555AC"/>
    <w:rsid w:val="00C555F8"/>
    <w:rsid w:val="00C556C4"/>
    <w:rsid w:val="00C557F5"/>
    <w:rsid w:val="00C55835"/>
    <w:rsid w:val="00C55949"/>
    <w:rsid w:val="00C559B2"/>
    <w:rsid w:val="00C559BC"/>
    <w:rsid w:val="00C55A7E"/>
    <w:rsid w:val="00C55A88"/>
    <w:rsid w:val="00C55AE5"/>
    <w:rsid w:val="00C55B17"/>
    <w:rsid w:val="00C55B47"/>
    <w:rsid w:val="00C55B94"/>
    <w:rsid w:val="00C55C07"/>
    <w:rsid w:val="00C55DA4"/>
    <w:rsid w:val="00C55DEE"/>
    <w:rsid w:val="00C55E61"/>
    <w:rsid w:val="00C55EA5"/>
    <w:rsid w:val="00C55EAE"/>
    <w:rsid w:val="00C55EF9"/>
    <w:rsid w:val="00C55F07"/>
    <w:rsid w:val="00C55F70"/>
    <w:rsid w:val="00C55FA7"/>
    <w:rsid w:val="00C56123"/>
    <w:rsid w:val="00C56133"/>
    <w:rsid w:val="00C56184"/>
    <w:rsid w:val="00C5621C"/>
    <w:rsid w:val="00C56345"/>
    <w:rsid w:val="00C56366"/>
    <w:rsid w:val="00C5637D"/>
    <w:rsid w:val="00C56456"/>
    <w:rsid w:val="00C56515"/>
    <w:rsid w:val="00C56527"/>
    <w:rsid w:val="00C56530"/>
    <w:rsid w:val="00C56568"/>
    <w:rsid w:val="00C5657A"/>
    <w:rsid w:val="00C5658D"/>
    <w:rsid w:val="00C56596"/>
    <w:rsid w:val="00C566A0"/>
    <w:rsid w:val="00C5682C"/>
    <w:rsid w:val="00C568DF"/>
    <w:rsid w:val="00C56986"/>
    <w:rsid w:val="00C569F2"/>
    <w:rsid w:val="00C56AAB"/>
    <w:rsid w:val="00C56AC4"/>
    <w:rsid w:val="00C56AD3"/>
    <w:rsid w:val="00C56B25"/>
    <w:rsid w:val="00C56B8B"/>
    <w:rsid w:val="00C56C23"/>
    <w:rsid w:val="00C56C88"/>
    <w:rsid w:val="00C56C8A"/>
    <w:rsid w:val="00C56D65"/>
    <w:rsid w:val="00C56E34"/>
    <w:rsid w:val="00C56E9D"/>
    <w:rsid w:val="00C56EB0"/>
    <w:rsid w:val="00C56EE5"/>
    <w:rsid w:val="00C56F12"/>
    <w:rsid w:val="00C57076"/>
    <w:rsid w:val="00C57097"/>
    <w:rsid w:val="00C570D5"/>
    <w:rsid w:val="00C570EB"/>
    <w:rsid w:val="00C57260"/>
    <w:rsid w:val="00C5726C"/>
    <w:rsid w:val="00C5729F"/>
    <w:rsid w:val="00C57337"/>
    <w:rsid w:val="00C5737D"/>
    <w:rsid w:val="00C573B1"/>
    <w:rsid w:val="00C57418"/>
    <w:rsid w:val="00C57428"/>
    <w:rsid w:val="00C5742D"/>
    <w:rsid w:val="00C574B4"/>
    <w:rsid w:val="00C574D4"/>
    <w:rsid w:val="00C574D6"/>
    <w:rsid w:val="00C5757D"/>
    <w:rsid w:val="00C575A1"/>
    <w:rsid w:val="00C575B3"/>
    <w:rsid w:val="00C575EA"/>
    <w:rsid w:val="00C57664"/>
    <w:rsid w:val="00C576CC"/>
    <w:rsid w:val="00C577A1"/>
    <w:rsid w:val="00C578A6"/>
    <w:rsid w:val="00C579A5"/>
    <w:rsid w:val="00C57AA1"/>
    <w:rsid w:val="00C57B5D"/>
    <w:rsid w:val="00C57B88"/>
    <w:rsid w:val="00C57C0F"/>
    <w:rsid w:val="00C57D6D"/>
    <w:rsid w:val="00C57DFF"/>
    <w:rsid w:val="00C57F1B"/>
    <w:rsid w:val="00C57F50"/>
    <w:rsid w:val="00C57FB7"/>
    <w:rsid w:val="00C6005F"/>
    <w:rsid w:val="00C600CD"/>
    <w:rsid w:val="00C601A0"/>
    <w:rsid w:val="00C60251"/>
    <w:rsid w:val="00C60299"/>
    <w:rsid w:val="00C602A8"/>
    <w:rsid w:val="00C60308"/>
    <w:rsid w:val="00C605DF"/>
    <w:rsid w:val="00C605E3"/>
    <w:rsid w:val="00C60734"/>
    <w:rsid w:val="00C6085D"/>
    <w:rsid w:val="00C60892"/>
    <w:rsid w:val="00C6093D"/>
    <w:rsid w:val="00C6093F"/>
    <w:rsid w:val="00C609EA"/>
    <w:rsid w:val="00C60A71"/>
    <w:rsid w:val="00C60AF6"/>
    <w:rsid w:val="00C60B41"/>
    <w:rsid w:val="00C60BBB"/>
    <w:rsid w:val="00C60BDC"/>
    <w:rsid w:val="00C60CB7"/>
    <w:rsid w:val="00C60D8F"/>
    <w:rsid w:val="00C60DAB"/>
    <w:rsid w:val="00C60E1A"/>
    <w:rsid w:val="00C60E54"/>
    <w:rsid w:val="00C60E7E"/>
    <w:rsid w:val="00C60E88"/>
    <w:rsid w:val="00C60EFB"/>
    <w:rsid w:val="00C60F2E"/>
    <w:rsid w:val="00C60F8B"/>
    <w:rsid w:val="00C60FAE"/>
    <w:rsid w:val="00C6101D"/>
    <w:rsid w:val="00C61052"/>
    <w:rsid w:val="00C6107A"/>
    <w:rsid w:val="00C610E7"/>
    <w:rsid w:val="00C610F6"/>
    <w:rsid w:val="00C6112D"/>
    <w:rsid w:val="00C61134"/>
    <w:rsid w:val="00C6122C"/>
    <w:rsid w:val="00C612AD"/>
    <w:rsid w:val="00C61318"/>
    <w:rsid w:val="00C6132C"/>
    <w:rsid w:val="00C61398"/>
    <w:rsid w:val="00C613AB"/>
    <w:rsid w:val="00C613BC"/>
    <w:rsid w:val="00C613FA"/>
    <w:rsid w:val="00C6144F"/>
    <w:rsid w:val="00C6147E"/>
    <w:rsid w:val="00C614B7"/>
    <w:rsid w:val="00C614D1"/>
    <w:rsid w:val="00C61506"/>
    <w:rsid w:val="00C61553"/>
    <w:rsid w:val="00C61582"/>
    <w:rsid w:val="00C6165E"/>
    <w:rsid w:val="00C61822"/>
    <w:rsid w:val="00C618FD"/>
    <w:rsid w:val="00C61A2E"/>
    <w:rsid w:val="00C61A3A"/>
    <w:rsid w:val="00C61AD6"/>
    <w:rsid w:val="00C61BDF"/>
    <w:rsid w:val="00C61C2F"/>
    <w:rsid w:val="00C61D89"/>
    <w:rsid w:val="00C61E1C"/>
    <w:rsid w:val="00C62079"/>
    <w:rsid w:val="00C6210B"/>
    <w:rsid w:val="00C62134"/>
    <w:rsid w:val="00C62270"/>
    <w:rsid w:val="00C622A5"/>
    <w:rsid w:val="00C62341"/>
    <w:rsid w:val="00C62349"/>
    <w:rsid w:val="00C62363"/>
    <w:rsid w:val="00C62447"/>
    <w:rsid w:val="00C6245D"/>
    <w:rsid w:val="00C62617"/>
    <w:rsid w:val="00C6265C"/>
    <w:rsid w:val="00C6265E"/>
    <w:rsid w:val="00C62704"/>
    <w:rsid w:val="00C62775"/>
    <w:rsid w:val="00C627F3"/>
    <w:rsid w:val="00C62874"/>
    <w:rsid w:val="00C629C7"/>
    <w:rsid w:val="00C629D7"/>
    <w:rsid w:val="00C629E2"/>
    <w:rsid w:val="00C62A40"/>
    <w:rsid w:val="00C62A68"/>
    <w:rsid w:val="00C62A70"/>
    <w:rsid w:val="00C62C33"/>
    <w:rsid w:val="00C62CAD"/>
    <w:rsid w:val="00C62D58"/>
    <w:rsid w:val="00C62DA7"/>
    <w:rsid w:val="00C62E2A"/>
    <w:rsid w:val="00C62E54"/>
    <w:rsid w:val="00C62FBD"/>
    <w:rsid w:val="00C62FF5"/>
    <w:rsid w:val="00C63015"/>
    <w:rsid w:val="00C63068"/>
    <w:rsid w:val="00C630ED"/>
    <w:rsid w:val="00C631A2"/>
    <w:rsid w:val="00C63216"/>
    <w:rsid w:val="00C63224"/>
    <w:rsid w:val="00C632A2"/>
    <w:rsid w:val="00C6331F"/>
    <w:rsid w:val="00C6333A"/>
    <w:rsid w:val="00C6333E"/>
    <w:rsid w:val="00C63381"/>
    <w:rsid w:val="00C633AD"/>
    <w:rsid w:val="00C633E5"/>
    <w:rsid w:val="00C6342D"/>
    <w:rsid w:val="00C6351C"/>
    <w:rsid w:val="00C6354F"/>
    <w:rsid w:val="00C635B8"/>
    <w:rsid w:val="00C6361F"/>
    <w:rsid w:val="00C6364F"/>
    <w:rsid w:val="00C63683"/>
    <w:rsid w:val="00C6370F"/>
    <w:rsid w:val="00C63745"/>
    <w:rsid w:val="00C6374B"/>
    <w:rsid w:val="00C63792"/>
    <w:rsid w:val="00C6385E"/>
    <w:rsid w:val="00C638A9"/>
    <w:rsid w:val="00C63ABF"/>
    <w:rsid w:val="00C63B68"/>
    <w:rsid w:val="00C63B9B"/>
    <w:rsid w:val="00C63C04"/>
    <w:rsid w:val="00C63D72"/>
    <w:rsid w:val="00C63E1B"/>
    <w:rsid w:val="00C63E30"/>
    <w:rsid w:val="00C63E35"/>
    <w:rsid w:val="00C63EFE"/>
    <w:rsid w:val="00C63F74"/>
    <w:rsid w:val="00C6401D"/>
    <w:rsid w:val="00C64060"/>
    <w:rsid w:val="00C6406C"/>
    <w:rsid w:val="00C64227"/>
    <w:rsid w:val="00C64279"/>
    <w:rsid w:val="00C6432B"/>
    <w:rsid w:val="00C64358"/>
    <w:rsid w:val="00C64365"/>
    <w:rsid w:val="00C644DA"/>
    <w:rsid w:val="00C64511"/>
    <w:rsid w:val="00C645E3"/>
    <w:rsid w:val="00C6469C"/>
    <w:rsid w:val="00C646DC"/>
    <w:rsid w:val="00C64721"/>
    <w:rsid w:val="00C64762"/>
    <w:rsid w:val="00C647AC"/>
    <w:rsid w:val="00C64813"/>
    <w:rsid w:val="00C64990"/>
    <w:rsid w:val="00C649C1"/>
    <w:rsid w:val="00C64A50"/>
    <w:rsid w:val="00C64AD0"/>
    <w:rsid w:val="00C64C6E"/>
    <w:rsid w:val="00C64C94"/>
    <w:rsid w:val="00C64C9E"/>
    <w:rsid w:val="00C64E6D"/>
    <w:rsid w:val="00C64EC2"/>
    <w:rsid w:val="00C64F60"/>
    <w:rsid w:val="00C64FAB"/>
    <w:rsid w:val="00C64FBE"/>
    <w:rsid w:val="00C65027"/>
    <w:rsid w:val="00C65033"/>
    <w:rsid w:val="00C65049"/>
    <w:rsid w:val="00C650A4"/>
    <w:rsid w:val="00C650D6"/>
    <w:rsid w:val="00C65191"/>
    <w:rsid w:val="00C651BB"/>
    <w:rsid w:val="00C654E0"/>
    <w:rsid w:val="00C65520"/>
    <w:rsid w:val="00C6559D"/>
    <w:rsid w:val="00C655B5"/>
    <w:rsid w:val="00C655DF"/>
    <w:rsid w:val="00C65671"/>
    <w:rsid w:val="00C65690"/>
    <w:rsid w:val="00C656CE"/>
    <w:rsid w:val="00C65740"/>
    <w:rsid w:val="00C65787"/>
    <w:rsid w:val="00C657A4"/>
    <w:rsid w:val="00C65A0E"/>
    <w:rsid w:val="00C65B35"/>
    <w:rsid w:val="00C65B6A"/>
    <w:rsid w:val="00C65BC4"/>
    <w:rsid w:val="00C65C4A"/>
    <w:rsid w:val="00C65C9B"/>
    <w:rsid w:val="00C65D40"/>
    <w:rsid w:val="00C65D74"/>
    <w:rsid w:val="00C65D9C"/>
    <w:rsid w:val="00C65DF7"/>
    <w:rsid w:val="00C65E33"/>
    <w:rsid w:val="00C65E90"/>
    <w:rsid w:val="00C65F6B"/>
    <w:rsid w:val="00C65FF5"/>
    <w:rsid w:val="00C661B8"/>
    <w:rsid w:val="00C661C0"/>
    <w:rsid w:val="00C66286"/>
    <w:rsid w:val="00C66291"/>
    <w:rsid w:val="00C664E7"/>
    <w:rsid w:val="00C66569"/>
    <w:rsid w:val="00C6664D"/>
    <w:rsid w:val="00C66718"/>
    <w:rsid w:val="00C66877"/>
    <w:rsid w:val="00C66882"/>
    <w:rsid w:val="00C66911"/>
    <w:rsid w:val="00C669B6"/>
    <w:rsid w:val="00C669BA"/>
    <w:rsid w:val="00C66A75"/>
    <w:rsid w:val="00C66B34"/>
    <w:rsid w:val="00C66B63"/>
    <w:rsid w:val="00C66B69"/>
    <w:rsid w:val="00C66BA5"/>
    <w:rsid w:val="00C66BB0"/>
    <w:rsid w:val="00C66C80"/>
    <w:rsid w:val="00C66CDE"/>
    <w:rsid w:val="00C66D61"/>
    <w:rsid w:val="00C66E76"/>
    <w:rsid w:val="00C66EA6"/>
    <w:rsid w:val="00C67066"/>
    <w:rsid w:val="00C670CE"/>
    <w:rsid w:val="00C670D7"/>
    <w:rsid w:val="00C670EB"/>
    <w:rsid w:val="00C671F8"/>
    <w:rsid w:val="00C67373"/>
    <w:rsid w:val="00C673D0"/>
    <w:rsid w:val="00C67488"/>
    <w:rsid w:val="00C674B2"/>
    <w:rsid w:val="00C6751F"/>
    <w:rsid w:val="00C6754D"/>
    <w:rsid w:val="00C675BE"/>
    <w:rsid w:val="00C67733"/>
    <w:rsid w:val="00C6774E"/>
    <w:rsid w:val="00C677E8"/>
    <w:rsid w:val="00C678B5"/>
    <w:rsid w:val="00C678CB"/>
    <w:rsid w:val="00C678E7"/>
    <w:rsid w:val="00C67928"/>
    <w:rsid w:val="00C67936"/>
    <w:rsid w:val="00C679D4"/>
    <w:rsid w:val="00C67A00"/>
    <w:rsid w:val="00C67AA4"/>
    <w:rsid w:val="00C67AF5"/>
    <w:rsid w:val="00C67B29"/>
    <w:rsid w:val="00C67DA8"/>
    <w:rsid w:val="00C67E5C"/>
    <w:rsid w:val="00C67F35"/>
    <w:rsid w:val="00C67F6B"/>
    <w:rsid w:val="00C7007D"/>
    <w:rsid w:val="00C700B6"/>
    <w:rsid w:val="00C700F8"/>
    <w:rsid w:val="00C70271"/>
    <w:rsid w:val="00C703B6"/>
    <w:rsid w:val="00C703E8"/>
    <w:rsid w:val="00C70418"/>
    <w:rsid w:val="00C70458"/>
    <w:rsid w:val="00C7059F"/>
    <w:rsid w:val="00C705FA"/>
    <w:rsid w:val="00C7060D"/>
    <w:rsid w:val="00C706BE"/>
    <w:rsid w:val="00C70868"/>
    <w:rsid w:val="00C7087F"/>
    <w:rsid w:val="00C70883"/>
    <w:rsid w:val="00C70884"/>
    <w:rsid w:val="00C7094E"/>
    <w:rsid w:val="00C7097A"/>
    <w:rsid w:val="00C70A4B"/>
    <w:rsid w:val="00C70A50"/>
    <w:rsid w:val="00C70AEA"/>
    <w:rsid w:val="00C70C52"/>
    <w:rsid w:val="00C70C55"/>
    <w:rsid w:val="00C70C76"/>
    <w:rsid w:val="00C70D41"/>
    <w:rsid w:val="00C70DA4"/>
    <w:rsid w:val="00C70E10"/>
    <w:rsid w:val="00C70F1B"/>
    <w:rsid w:val="00C70FBD"/>
    <w:rsid w:val="00C71013"/>
    <w:rsid w:val="00C71068"/>
    <w:rsid w:val="00C710E1"/>
    <w:rsid w:val="00C710E3"/>
    <w:rsid w:val="00C711EB"/>
    <w:rsid w:val="00C71222"/>
    <w:rsid w:val="00C71351"/>
    <w:rsid w:val="00C713B4"/>
    <w:rsid w:val="00C713ED"/>
    <w:rsid w:val="00C713FF"/>
    <w:rsid w:val="00C71485"/>
    <w:rsid w:val="00C7155A"/>
    <w:rsid w:val="00C7164B"/>
    <w:rsid w:val="00C71682"/>
    <w:rsid w:val="00C716C8"/>
    <w:rsid w:val="00C7171D"/>
    <w:rsid w:val="00C71849"/>
    <w:rsid w:val="00C718B7"/>
    <w:rsid w:val="00C71926"/>
    <w:rsid w:val="00C7195B"/>
    <w:rsid w:val="00C71984"/>
    <w:rsid w:val="00C71A28"/>
    <w:rsid w:val="00C71B3D"/>
    <w:rsid w:val="00C71CD0"/>
    <w:rsid w:val="00C71CF1"/>
    <w:rsid w:val="00C71E14"/>
    <w:rsid w:val="00C71F13"/>
    <w:rsid w:val="00C71F35"/>
    <w:rsid w:val="00C72061"/>
    <w:rsid w:val="00C72077"/>
    <w:rsid w:val="00C7208A"/>
    <w:rsid w:val="00C7226F"/>
    <w:rsid w:val="00C72318"/>
    <w:rsid w:val="00C7237C"/>
    <w:rsid w:val="00C72446"/>
    <w:rsid w:val="00C7246A"/>
    <w:rsid w:val="00C724E6"/>
    <w:rsid w:val="00C7250B"/>
    <w:rsid w:val="00C725DF"/>
    <w:rsid w:val="00C72609"/>
    <w:rsid w:val="00C7278C"/>
    <w:rsid w:val="00C727D1"/>
    <w:rsid w:val="00C727E9"/>
    <w:rsid w:val="00C72822"/>
    <w:rsid w:val="00C72881"/>
    <w:rsid w:val="00C728E2"/>
    <w:rsid w:val="00C72A32"/>
    <w:rsid w:val="00C72AA3"/>
    <w:rsid w:val="00C72B4E"/>
    <w:rsid w:val="00C72B90"/>
    <w:rsid w:val="00C72D67"/>
    <w:rsid w:val="00C72D8B"/>
    <w:rsid w:val="00C72FAD"/>
    <w:rsid w:val="00C73018"/>
    <w:rsid w:val="00C730DB"/>
    <w:rsid w:val="00C7313C"/>
    <w:rsid w:val="00C73164"/>
    <w:rsid w:val="00C73224"/>
    <w:rsid w:val="00C734E8"/>
    <w:rsid w:val="00C73553"/>
    <w:rsid w:val="00C7357D"/>
    <w:rsid w:val="00C73584"/>
    <w:rsid w:val="00C73630"/>
    <w:rsid w:val="00C7376A"/>
    <w:rsid w:val="00C7380F"/>
    <w:rsid w:val="00C7383F"/>
    <w:rsid w:val="00C73869"/>
    <w:rsid w:val="00C7394C"/>
    <w:rsid w:val="00C73994"/>
    <w:rsid w:val="00C73BE8"/>
    <w:rsid w:val="00C73CE9"/>
    <w:rsid w:val="00C73D44"/>
    <w:rsid w:val="00C73E47"/>
    <w:rsid w:val="00C73E9F"/>
    <w:rsid w:val="00C73F2C"/>
    <w:rsid w:val="00C73FC1"/>
    <w:rsid w:val="00C73FCD"/>
    <w:rsid w:val="00C73FD0"/>
    <w:rsid w:val="00C74079"/>
    <w:rsid w:val="00C740D0"/>
    <w:rsid w:val="00C74158"/>
    <w:rsid w:val="00C74192"/>
    <w:rsid w:val="00C74252"/>
    <w:rsid w:val="00C74281"/>
    <w:rsid w:val="00C7431B"/>
    <w:rsid w:val="00C7439A"/>
    <w:rsid w:val="00C743A5"/>
    <w:rsid w:val="00C743B0"/>
    <w:rsid w:val="00C74455"/>
    <w:rsid w:val="00C74464"/>
    <w:rsid w:val="00C74521"/>
    <w:rsid w:val="00C745B6"/>
    <w:rsid w:val="00C74673"/>
    <w:rsid w:val="00C74784"/>
    <w:rsid w:val="00C747A5"/>
    <w:rsid w:val="00C747B8"/>
    <w:rsid w:val="00C7481E"/>
    <w:rsid w:val="00C74919"/>
    <w:rsid w:val="00C74946"/>
    <w:rsid w:val="00C74993"/>
    <w:rsid w:val="00C74994"/>
    <w:rsid w:val="00C74A3D"/>
    <w:rsid w:val="00C74A9C"/>
    <w:rsid w:val="00C74AC5"/>
    <w:rsid w:val="00C74B04"/>
    <w:rsid w:val="00C74B67"/>
    <w:rsid w:val="00C74C4C"/>
    <w:rsid w:val="00C74CDF"/>
    <w:rsid w:val="00C74D00"/>
    <w:rsid w:val="00C74D1E"/>
    <w:rsid w:val="00C74D42"/>
    <w:rsid w:val="00C74ED8"/>
    <w:rsid w:val="00C74F37"/>
    <w:rsid w:val="00C74FD8"/>
    <w:rsid w:val="00C75070"/>
    <w:rsid w:val="00C7509F"/>
    <w:rsid w:val="00C7514C"/>
    <w:rsid w:val="00C75236"/>
    <w:rsid w:val="00C752AC"/>
    <w:rsid w:val="00C7531C"/>
    <w:rsid w:val="00C753DD"/>
    <w:rsid w:val="00C753FD"/>
    <w:rsid w:val="00C7551E"/>
    <w:rsid w:val="00C755BB"/>
    <w:rsid w:val="00C7571F"/>
    <w:rsid w:val="00C75722"/>
    <w:rsid w:val="00C75740"/>
    <w:rsid w:val="00C75862"/>
    <w:rsid w:val="00C759C8"/>
    <w:rsid w:val="00C759F5"/>
    <w:rsid w:val="00C75A99"/>
    <w:rsid w:val="00C75AE0"/>
    <w:rsid w:val="00C75B14"/>
    <w:rsid w:val="00C75B45"/>
    <w:rsid w:val="00C75BEB"/>
    <w:rsid w:val="00C75C1E"/>
    <w:rsid w:val="00C75C3D"/>
    <w:rsid w:val="00C75C45"/>
    <w:rsid w:val="00C75C53"/>
    <w:rsid w:val="00C75C64"/>
    <w:rsid w:val="00C75CFD"/>
    <w:rsid w:val="00C75DB5"/>
    <w:rsid w:val="00C75DDE"/>
    <w:rsid w:val="00C75E0C"/>
    <w:rsid w:val="00C75E20"/>
    <w:rsid w:val="00C75E32"/>
    <w:rsid w:val="00C75E6A"/>
    <w:rsid w:val="00C75E98"/>
    <w:rsid w:val="00C75EFF"/>
    <w:rsid w:val="00C75F88"/>
    <w:rsid w:val="00C75F98"/>
    <w:rsid w:val="00C75FFF"/>
    <w:rsid w:val="00C76101"/>
    <w:rsid w:val="00C76128"/>
    <w:rsid w:val="00C7616E"/>
    <w:rsid w:val="00C76183"/>
    <w:rsid w:val="00C76205"/>
    <w:rsid w:val="00C762F2"/>
    <w:rsid w:val="00C764EB"/>
    <w:rsid w:val="00C7653E"/>
    <w:rsid w:val="00C76555"/>
    <w:rsid w:val="00C7659B"/>
    <w:rsid w:val="00C7663A"/>
    <w:rsid w:val="00C7678C"/>
    <w:rsid w:val="00C767C3"/>
    <w:rsid w:val="00C7680C"/>
    <w:rsid w:val="00C76899"/>
    <w:rsid w:val="00C7699E"/>
    <w:rsid w:val="00C769A6"/>
    <w:rsid w:val="00C76A3F"/>
    <w:rsid w:val="00C76A4B"/>
    <w:rsid w:val="00C76B93"/>
    <w:rsid w:val="00C76C2D"/>
    <w:rsid w:val="00C76C65"/>
    <w:rsid w:val="00C76CA7"/>
    <w:rsid w:val="00C76CD6"/>
    <w:rsid w:val="00C76D12"/>
    <w:rsid w:val="00C76D61"/>
    <w:rsid w:val="00C76D95"/>
    <w:rsid w:val="00C76D98"/>
    <w:rsid w:val="00C76E06"/>
    <w:rsid w:val="00C76E5C"/>
    <w:rsid w:val="00C76ED0"/>
    <w:rsid w:val="00C76F09"/>
    <w:rsid w:val="00C76FE0"/>
    <w:rsid w:val="00C76FE3"/>
    <w:rsid w:val="00C76FFD"/>
    <w:rsid w:val="00C7706C"/>
    <w:rsid w:val="00C7707B"/>
    <w:rsid w:val="00C77081"/>
    <w:rsid w:val="00C77133"/>
    <w:rsid w:val="00C77144"/>
    <w:rsid w:val="00C77178"/>
    <w:rsid w:val="00C77249"/>
    <w:rsid w:val="00C77260"/>
    <w:rsid w:val="00C772B0"/>
    <w:rsid w:val="00C772EE"/>
    <w:rsid w:val="00C773EB"/>
    <w:rsid w:val="00C77475"/>
    <w:rsid w:val="00C7760F"/>
    <w:rsid w:val="00C77709"/>
    <w:rsid w:val="00C77806"/>
    <w:rsid w:val="00C7784B"/>
    <w:rsid w:val="00C77902"/>
    <w:rsid w:val="00C7790E"/>
    <w:rsid w:val="00C779D9"/>
    <w:rsid w:val="00C779FE"/>
    <w:rsid w:val="00C77A3A"/>
    <w:rsid w:val="00C77A48"/>
    <w:rsid w:val="00C77AA2"/>
    <w:rsid w:val="00C77B14"/>
    <w:rsid w:val="00C77B40"/>
    <w:rsid w:val="00C77B7D"/>
    <w:rsid w:val="00C77B9C"/>
    <w:rsid w:val="00C77BA9"/>
    <w:rsid w:val="00C77C8D"/>
    <w:rsid w:val="00C77CE4"/>
    <w:rsid w:val="00C77CFD"/>
    <w:rsid w:val="00C77D2B"/>
    <w:rsid w:val="00C77E28"/>
    <w:rsid w:val="00C77EB9"/>
    <w:rsid w:val="00C77ED7"/>
    <w:rsid w:val="00C77F02"/>
    <w:rsid w:val="00C77FD4"/>
    <w:rsid w:val="00C80052"/>
    <w:rsid w:val="00C80065"/>
    <w:rsid w:val="00C80073"/>
    <w:rsid w:val="00C8011B"/>
    <w:rsid w:val="00C80132"/>
    <w:rsid w:val="00C8015C"/>
    <w:rsid w:val="00C801B3"/>
    <w:rsid w:val="00C801E6"/>
    <w:rsid w:val="00C8025D"/>
    <w:rsid w:val="00C80306"/>
    <w:rsid w:val="00C80427"/>
    <w:rsid w:val="00C806AF"/>
    <w:rsid w:val="00C806C5"/>
    <w:rsid w:val="00C80723"/>
    <w:rsid w:val="00C8075D"/>
    <w:rsid w:val="00C8085A"/>
    <w:rsid w:val="00C8093A"/>
    <w:rsid w:val="00C80A74"/>
    <w:rsid w:val="00C80ACB"/>
    <w:rsid w:val="00C80B30"/>
    <w:rsid w:val="00C80CBC"/>
    <w:rsid w:val="00C80CE4"/>
    <w:rsid w:val="00C80D1B"/>
    <w:rsid w:val="00C80D84"/>
    <w:rsid w:val="00C80E13"/>
    <w:rsid w:val="00C80EC5"/>
    <w:rsid w:val="00C80ED5"/>
    <w:rsid w:val="00C80EDD"/>
    <w:rsid w:val="00C80F0F"/>
    <w:rsid w:val="00C80F22"/>
    <w:rsid w:val="00C8105D"/>
    <w:rsid w:val="00C81062"/>
    <w:rsid w:val="00C8113E"/>
    <w:rsid w:val="00C81165"/>
    <w:rsid w:val="00C811F8"/>
    <w:rsid w:val="00C813A9"/>
    <w:rsid w:val="00C813AE"/>
    <w:rsid w:val="00C813DA"/>
    <w:rsid w:val="00C813FF"/>
    <w:rsid w:val="00C81403"/>
    <w:rsid w:val="00C814B0"/>
    <w:rsid w:val="00C814E4"/>
    <w:rsid w:val="00C8153C"/>
    <w:rsid w:val="00C815A2"/>
    <w:rsid w:val="00C815A4"/>
    <w:rsid w:val="00C81644"/>
    <w:rsid w:val="00C8172A"/>
    <w:rsid w:val="00C81795"/>
    <w:rsid w:val="00C817A8"/>
    <w:rsid w:val="00C817B2"/>
    <w:rsid w:val="00C81842"/>
    <w:rsid w:val="00C81850"/>
    <w:rsid w:val="00C8189A"/>
    <w:rsid w:val="00C819C7"/>
    <w:rsid w:val="00C81B2B"/>
    <w:rsid w:val="00C81B96"/>
    <w:rsid w:val="00C81BB2"/>
    <w:rsid w:val="00C81D03"/>
    <w:rsid w:val="00C81D24"/>
    <w:rsid w:val="00C81FC0"/>
    <w:rsid w:val="00C81FC1"/>
    <w:rsid w:val="00C821F0"/>
    <w:rsid w:val="00C822A9"/>
    <w:rsid w:val="00C8237C"/>
    <w:rsid w:val="00C8238D"/>
    <w:rsid w:val="00C82392"/>
    <w:rsid w:val="00C8254A"/>
    <w:rsid w:val="00C8256A"/>
    <w:rsid w:val="00C82589"/>
    <w:rsid w:val="00C8271C"/>
    <w:rsid w:val="00C8272C"/>
    <w:rsid w:val="00C8287E"/>
    <w:rsid w:val="00C8290D"/>
    <w:rsid w:val="00C82A48"/>
    <w:rsid w:val="00C82ACF"/>
    <w:rsid w:val="00C82AE8"/>
    <w:rsid w:val="00C82BC5"/>
    <w:rsid w:val="00C82C60"/>
    <w:rsid w:val="00C82D74"/>
    <w:rsid w:val="00C82EF4"/>
    <w:rsid w:val="00C82EFE"/>
    <w:rsid w:val="00C82F22"/>
    <w:rsid w:val="00C82F65"/>
    <w:rsid w:val="00C8300D"/>
    <w:rsid w:val="00C83046"/>
    <w:rsid w:val="00C830E6"/>
    <w:rsid w:val="00C833F2"/>
    <w:rsid w:val="00C833F4"/>
    <w:rsid w:val="00C83413"/>
    <w:rsid w:val="00C83421"/>
    <w:rsid w:val="00C83422"/>
    <w:rsid w:val="00C834AE"/>
    <w:rsid w:val="00C8351A"/>
    <w:rsid w:val="00C8351D"/>
    <w:rsid w:val="00C83524"/>
    <w:rsid w:val="00C835F1"/>
    <w:rsid w:val="00C836E9"/>
    <w:rsid w:val="00C83782"/>
    <w:rsid w:val="00C838B3"/>
    <w:rsid w:val="00C839E3"/>
    <w:rsid w:val="00C83A03"/>
    <w:rsid w:val="00C83A43"/>
    <w:rsid w:val="00C83AFE"/>
    <w:rsid w:val="00C83B3D"/>
    <w:rsid w:val="00C83B51"/>
    <w:rsid w:val="00C83C59"/>
    <w:rsid w:val="00C83C5D"/>
    <w:rsid w:val="00C83C79"/>
    <w:rsid w:val="00C83CE7"/>
    <w:rsid w:val="00C83D7C"/>
    <w:rsid w:val="00C83DCF"/>
    <w:rsid w:val="00C83E17"/>
    <w:rsid w:val="00C83E66"/>
    <w:rsid w:val="00C83EBD"/>
    <w:rsid w:val="00C83EF0"/>
    <w:rsid w:val="00C83F94"/>
    <w:rsid w:val="00C84002"/>
    <w:rsid w:val="00C8402F"/>
    <w:rsid w:val="00C840CB"/>
    <w:rsid w:val="00C840DA"/>
    <w:rsid w:val="00C84150"/>
    <w:rsid w:val="00C8428C"/>
    <w:rsid w:val="00C84307"/>
    <w:rsid w:val="00C84381"/>
    <w:rsid w:val="00C843A6"/>
    <w:rsid w:val="00C84460"/>
    <w:rsid w:val="00C8467D"/>
    <w:rsid w:val="00C8470F"/>
    <w:rsid w:val="00C84792"/>
    <w:rsid w:val="00C8487A"/>
    <w:rsid w:val="00C848FF"/>
    <w:rsid w:val="00C84906"/>
    <w:rsid w:val="00C84960"/>
    <w:rsid w:val="00C849C1"/>
    <w:rsid w:val="00C84A76"/>
    <w:rsid w:val="00C84AA2"/>
    <w:rsid w:val="00C84AE7"/>
    <w:rsid w:val="00C84B51"/>
    <w:rsid w:val="00C84BDA"/>
    <w:rsid w:val="00C84D8A"/>
    <w:rsid w:val="00C84DA3"/>
    <w:rsid w:val="00C84E04"/>
    <w:rsid w:val="00C84E93"/>
    <w:rsid w:val="00C84F22"/>
    <w:rsid w:val="00C84F4B"/>
    <w:rsid w:val="00C84FCA"/>
    <w:rsid w:val="00C85251"/>
    <w:rsid w:val="00C85314"/>
    <w:rsid w:val="00C85381"/>
    <w:rsid w:val="00C853CF"/>
    <w:rsid w:val="00C8547D"/>
    <w:rsid w:val="00C855F4"/>
    <w:rsid w:val="00C8565C"/>
    <w:rsid w:val="00C856F9"/>
    <w:rsid w:val="00C8573D"/>
    <w:rsid w:val="00C8574A"/>
    <w:rsid w:val="00C85818"/>
    <w:rsid w:val="00C8595B"/>
    <w:rsid w:val="00C8595D"/>
    <w:rsid w:val="00C8595F"/>
    <w:rsid w:val="00C85A2C"/>
    <w:rsid w:val="00C85A84"/>
    <w:rsid w:val="00C85AFB"/>
    <w:rsid w:val="00C85B18"/>
    <w:rsid w:val="00C85B5E"/>
    <w:rsid w:val="00C85C85"/>
    <w:rsid w:val="00C85CFA"/>
    <w:rsid w:val="00C85D46"/>
    <w:rsid w:val="00C85E79"/>
    <w:rsid w:val="00C85F3E"/>
    <w:rsid w:val="00C85F90"/>
    <w:rsid w:val="00C860F0"/>
    <w:rsid w:val="00C86115"/>
    <w:rsid w:val="00C861D5"/>
    <w:rsid w:val="00C861D8"/>
    <w:rsid w:val="00C861E0"/>
    <w:rsid w:val="00C862AB"/>
    <w:rsid w:val="00C8633F"/>
    <w:rsid w:val="00C8634B"/>
    <w:rsid w:val="00C86407"/>
    <w:rsid w:val="00C86441"/>
    <w:rsid w:val="00C86529"/>
    <w:rsid w:val="00C865C9"/>
    <w:rsid w:val="00C865CD"/>
    <w:rsid w:val="00C866C3"/>
    <w:rsid w:val="00C8673A"/>
    <w:rsid w:val="00C86761"/>
    <w:rsid w:val="00C8679F"/>
    <w:rsid w:val="00C868D8"/>
    <w:rsid w:val="00C86A1D"/>
    <w:rsid w:val="00C86A28"/>
    <w:rsid w:val="00C86B13"/>
    <w:rsid w:val="00C86BD3"/>
    <w:rsid w:val="00C86CFF"/>
    <w:rsid w:val="00C86E6B"/>
    <w:rsid w:val="00C86EAD"/>
    <w:rsid w:val="00C86EBE"/>
    <w:rsid w:val="00C86F45"/>
    <w:rsid w:val="00C86F7D"/>
    <w:rsid w:val="00C87032"/>
    <w:rsid w:val="00C870B2"/>
    <w:rsid w:val="00C870EB"/>
    <w:rsid w:val="00C8722B"/>
    <w:rsid w:val="00C872B4"/>
    <w:rsid w:val="00C872CD"/>
    <w:rsid w:val="00C8753A"/>
    <w:rsid w:val="00C87592"/>
    <w:rsid w:val="00C875C1"/>
    <w:rsid w:val="00C87604"/>
    <w:rsid w:val="00C8763E"/>
    <w:rsid w:val="00C876B6"/>
    <w:rsid w:val="00C87762"/>
    <w:rsid w:val="00C87769"/>
    <w:rsid w:val="00C877A5"/>
    <w:rsid w:val="00C877AF"/>
    <w:rsid w:val="00C87812"/>
    <w:rsid w:val="00C87819"/>
    <w:rsid w:val="00C8788D"/>
    <w:rsid w:val="00C878DF"/>
    <w:rsid w:val="00C8792E"/>
    <w:rsid w:val="00C879A8"/>
    <w:rsid w:val="00C879DB"/>
    <w:rsid w:val="00C879F2"/>
    <w:rsid w:val="00C879FB"/>
    <w:rsid w:val="00C87A19"/>
    <w:rsid w:val="00C87A58"/>
    <w:rsid w:val="00C87B06"/>
    <w:rsid w:val="00C87C85"/>
    <w:rsid w:val="00C87D2E"/>
    <w:rsid w:val="00C87D77"/>
    <w:rsid w:val="00C87D83"/>
    <w:rsid w:val="00C87EA7"/>
    <w:rsid w:val="00C87F5C"/>
    <w:rsid w:val="00C90047"/>
    <w:rsid w:val="00C900DE"/>
    <w:rsid w:val="00C901F4"/>
    <w:rsid w:val="00C90208"/>
    <w:rsid w:val="00C90217"/>
    <w:rsid w:val="00C90396"/>
    <w:rsid w:val="00C90405"/>
    <w:rsid w:val="00C90429"/>
    <w:rsid w:val="00C90483"/>
    <w:rsid w:val="00C904A7"/>
    <w:rsid w:val="00C905DA"/>
    <w:rsid w:val="00C905F3"/>
    <w:rsid w:val="00C9065F"/>
    <w:rsid w:val="00C906C8"/>
    <w:rsid w:val="00C907D3"/>
    <w:rsid w:val="00C907FF"/>
    <w:rsid w:val="00C908FB"/>
    <w:rsid w:val="00C9091A"/>
    <w:rsid w:val="00C909D0"/>
    <w:rsid w:val="00C90A49"/>
    <w:rsid w:val="00C90AAE"/>
    <w:rsid w:val="00C90AEE"/>
    <w:rsid w:val="00C90CAE"/>
    <w:rsid w:val="00C90D5C"/>
    <w:rsid w:val="00C90D5D"/>
    <w:rsid w:val="00C90E46"/>
    <w:rsid w:val="00C90E53"/>
    <w:rsid w:val="00C90FD9"/>
    <w:rsid w:val="00C91041"/>
    <w:rsid w:val="00C9111D"/>
    <w:rsid w:val="00C91163"/>
    <w:rsid w:val="00C91185"/>
    <w:rsid w:val="00C911A9"/>
    <w:rsid w:val="00C911E0"/>
    <w:rsid w:val="00C91292"/>
    <w:rsid w:val="00C912B6"/>
    <w:rsid w:val="00C91350"/>
    <w:rsid w:val="00C9135E"/>
    <w:rsid w:val="00C913C7"/>
    <w:rsid w:val="00C91473"/>
    <w:rsid w:val="00C9149B"/>
    <w:rsid w:val="00C91540"/>
    <w:rsid w:val="00C915C1"/>
    <w:rsid w:val="00C915E6"/>
    <w:rsid w:val="00C91622"/>
    <w:rsid w:val="00C9169D"/>
    <w:rsid w:val="00C91783"/>
    <w:rsid w:val="00C917B4"/>
    <w:rsid w:val="00C91874"/>
    <w:rsid w:val="00C918CE"/>
    <w:rsid w:val="00C918DF"/>
    <w:rsid w:val="00C919B2"/>
    <w:rsid w:val="00C919B6"/>
    <w:rsid w:val="00C919DD"/>
    <w:rsid w:val="00C91ACB"/>
    <w:rsid w:val="00C91BB2"/>
    <w:rsid w:val="00C91BD0"/>
    <w:rsid w:val="00C91C38"/>
    <w:rsid w:val="00C91C50"/>
    <w:rsid w:val="00C91CC1"/>
    <w:rsid w:val="00C91CC6"/>
    <w:rsid w:val="00C91D46"/>
    <w:rsid w:val="00C91D87"/>
    <w:rsid w:val="00C91E09"/>
    <w:rsid w:val="00C91E3A"/>
    <w:rsid w:val="00C91E3C"/>
    <w:rsid w:val="00C91E83"/>
    <w:rsid w:val="00C91F4D"/>
    <w:rsid w:val="00C91F91"/>
    <w:rsid w:val="00C91F98"/>
    <w:rsid w:val="00C91FB5"/>
    <w:rsid w:val="00C920FC"/>
    <w:rsid w:val="00C921AD"/>
    <w:rsid w:val="00C922F1"/>
    <w:rsid w:val="00C923F5"/>
    <w:rsid w:val="00C924AE"/>
    <w:rsid w:val="00C92656"/>
    <w:rsid w:val="00C926A7"/>
    <w:rsid w:val="00C926AE"/>
    <w:rsid w:val="00C928A6"/>
    <w:rsid w:val="00C929DA"/>
    <w:rsid w:val="00C929DB"/>
    <w:rsid w:val="00C92A3D"/>
    <w:rsid w:val="00C92D3B"/>
    <w:rsid w:val="00C92E25"/>
    <w:rsid w:val="00C92E68"/>
    <w:rsid w:val="00C92ECD"/>
    <w:rsid w:val="00C92F33"/>
    <w:rsid w:val="00C92F9A"/>
    <w:rsid w:val="00C93044"/>
    <w:rsid w:val="00C930DF"/>
    <w:rsid w:val="00C93131"/>
    <w:rsid w:val="00C93148"/>
    <w:rsid w:val="00C931A2"/>
    <w:rsid w:val="00C931C4"/>
    <w:rsid w:val="00C93252"/>
    <w:rsid w:val="00C932D1"/>
    <w:rsid w:val="00C93330"/>
    <w:rsid w:val="00C9336A"/>
    <w:rsid w:val="00C934D0"/>
    <w:rsid w:val="00C93590"/>
    <w:rsid w:val="00C9359E"/>
    <w:rsid w:val="00C935D2"/>
    <w:rsid w:val="00C935F1"/>
    <w:rsid w:val="00C93615"/>
    <w:rsid w:val="00C93725"/>
    <w:rsid w:val="00C937D4"/>
    <w:rsid w:val="00C937E8"/>
    <w:rsid w:val="00C93852"/>
    <w:rsid w:val="00C93857"/>
    <w:rsid w:val="00C93A79"/>
    <w:rsid w:val="00C93AA3"/>
    <w:rsid w:val="00C93AAA"/>
    <w:rsid w:val="00C93B77"/>
    <w:rsid w:val="00C93C47"/>
    <w:rsid w:val="00C93CE5"/>
    <w:rsid w:val="00C93D26"/>
    <w:rsid w:val="00C93D2F"/>
    <w:rsid w:val="00C93FE9"/>
    <w:rsid w:val="00C94074"/>
    <w:rsid w:val="00C940B0"/>
    <w:rsid w:val="00C9415C"/>
    <w:rsid w:val="00C941B1"/>
    <w:rsid w:val="00C9423E"/>
    <w:rsid w:val="00C943A0"/>
    <w:rsid w:val="00C943A8"/>
    <w:rsid w:val="00C943FB"/>
    <w:rsid w:val="00C94489"/>
    <w:rsid w:val="00C945C2"/>
    <w:rsid w:val="00C9465B"/>
    <w:rsid w:val="00C94666"/>
    <w:rsid w:val="00C9480A"/>
    <w:rsid w:val="00C9488B"/>
    <w:rsid w:val="00C9494B"/>
    <w:rsid w:val="00C94A23"/>
    <w:rsid w:val="00C94A3A"/>
    <w:rsid w:val="00C94A61"/>
    <w:rsid w:val="00C94A6B"/>
    <w:rsid w:val="00C94AA2"/>
    <w:rsid w:val="00C94AB2"/>
    <w:rsid w:val="00C94B34"/>
    <w:rsid w:val="00C94B58"/>
    <w:rsid w:val="00C94BB9"/>
    <w:rsid w:val="00C94BC2"/>
    <w:rsid w:val="00C94CFA"/>
    <w:rsid w:val="00C94D6D"/>
    <w:rsid w:val="00C94DD9"/>
    <w:rsid w:val="00C94DDF"/>
    <w:rsid w:val="00C94ECF"/>
    <w:rsid w:val="00C94EF6"/>
    <w:rsid w:val="00C94F5E"/>
    <w:rsid w:val="00C94FA5"/>
    <w:rsid w:val="00C951D1"/>
    <w:rsid w:val="00C9523A"/>
    <w:rsid w:val="00C952EB"/>
    <w:rsid w:val="00C953E8"/>
    <w:rsid w:val="00C9541C"/>
    <w:rsid w:val="00C954AA"/>
    <w:rsid w:val="00C95551"/>
    <w:rsid w:val="00C95555"/>
    <w:rsid w:val="00C9557E"/>
    <w:rsid w:val="00C955BA"/>
    <w:rsid w:val="00C95608"/>
    <w:rsid w:val="00C95614"/>
    <w:rsid w:val="00C95770"/>
    <w:rsid w:val="00C957CE"/>
    <w:rsid w:val="00C95842"/>
    <w:rsid w:val="00C95979"/>
    <w:rsid w:val="00C959AA"/>
    <w:rsid w:val="00C959B1"/>
    <w:rsid w:val="00C95A38"/>
    <w:rsid w:val="00C95B27"/>
    <w:rsid w:val="00C95B45"/>
    <w:rsid w:val="00C95BE2"/>
    <w:rsid w:val="00C95CC3"/>
    <w:rsid w:val="00C95CEE"/>
    <w:rsid w:val="00C95D07"/>
    <w:rsid w:val="00C95E13"/>
    <w:rsid w:val="00C95F31"/>
    <w:rsid w:val="00C95F82"/>
    <w:rsid w:val="00C95FDB"/>
    <w:rsid w:val="00C960F7"/>
    <w:rsid w:val="00C961BA"/>
    <w:rsid w:val="00C96297"/>
    <w:rsid w:val="00C96338"/>
    <w:rsid w:val="00C9636B"/>
    <w:rsid w:val="00C963BC"/>
    <w:rsid w:val="00C963C9"/>
    <w:rsid w:val="00C9643C"/>
    <w:rsid w:val="00C964E0"/>
    <w:rsid w:val="00C96617"/>
    <w:rsid w:val="00C96643"/>
    <w:rsid w:val="00C966A3"/>
    <w:rsid w:val="00C966D5"/>
    <w:rsid w:val="00C967B2"/>
    <w:rsid w:val="00C96856"/>
    <w:rsid w:val="00C968E3"/>
    <w:rsid w:val="00C96A1E"/>
    <w:rsid w:val="00C96A35"/>
    <w:rsid w:val="00C96CE4"/>
    <w:rsid w:val="00C96E2F"/>
    <w:rsid w:val="00C96E9C"/>
    <w:rsid w:val="00C96FCE"/>
    <w:rsid w:val="00C97069"/>
    <w:rsid w:val="00C971BF"/>
    <w:rsid w:val="00C97272"/>
    <w:rsid w:val="00C9729A"/>
    <w:rsid w:val="00C972A3"/>
    <w:rsid w:val="00C972A7"/>
    <w:rsid w:val="00C973FC"/>
    <w:rsid w:val="00C974C3"/>
    <w:rsid w:val="00C9778C"/>
    <w:rsid w:val="00C977AD"/>
    <w:rsid w:val="00C97802"/>
    <w:rsid w:val="00C97849"/>
    <w:rsid w:val="00C978DA"/>
    <w:rsid w:val="00C979B6"/>
    <w:rsid w:val="00C97A42"/>
    <w:rsid w:val="00C97A7C"/>
    <w:rsid w:val="00C97A87"/>
    <w:rsid w:val="00C97B7A"/>
    <w:rsid w:val="00C97BC3"/>
    <w:rsid w:val="00C97BD1"/>
    <w:rsid w:val="00C97C89"/>
    <w:rsid w:val="00C97C94"/>
    <w:rsid w:val="00C97CA5"/>
    <w:rsid w:val="00C97CB8"/>
    <w:rsid w:val="00C97DF5"/>
    <w:rsid w:val="00C97E29"/>
    <w:rsid w:val="00C97F58"/>
    <w:rsid w:val="00C97F69"/>
    <w:rsid w:val="00CA00DB"/>
    <w:rsid w:val="00CA0116"/>
    <w:rsid w:val="00CA0206"/>
    <w:rsid w:val="00CA0214"/>
    <w:rsid w:val="00CA023A"/>
    <w:rsid w:val="00CA0247"/>
    <w:rsid w:val="00CA0249"/>
    <w:rsid w:val="00CA02A2"/>
    <w:rsid w:val="00CA02DC"/>
    <w:rsid w:val="00CA042B"/>
    <w:rsid w:val="00CA0431"/>
    <w:rsid w:val="00CA063A"/>
    <w:rsid w:val="00CA0734"/>
    <w:rsid w:val="00CA079E"/>
    <w:rsid w:val="00CA093C"/>
    <w:rsid w:val="00CA0A1E"/>
    <w:rsid w:val="00CA0B74"/>
    <w:rsid w:val="00CA0BE8"/>
    <w:rsid w:val="00CA0C43"/>
    <w:rsid w:val="00CA0CAF"/>
    <w:rsid w:val="00CA0CE6"/>
    <w:rsid w:val="00CA0DB3"/>
    <w:rsid w:val="00CA0DFA"/>
    <w:rsid w:val="00CA0E86"/>
    <w:rsid w:val="00CA0EF7"/>
    <w:rsid w:val="00CA0F1F"/>
    <w:rsid w:val="00CA0F60"/>
    <w:rsid w:val="00CA10BC"/>
    <w:rsid w:val="00CA10F6"/>
    <w:rsid w:val="00CA1177"/>
    <w:rsid w:val="00CA11E6"/>
    <w:rsid w:val="00CA1207"/>
    <w:rsid w:val="00CA1224"/>
    <w:rsid w:val="00CA129F"/>
    <w:rsid w:val="00CA1339"/>
    <w:rsid w:val="00CA1441"/>
    <w:rsid w:val="00CA14CB"/>
    <w:rsid w:val="00CA157E"/>
    <w:rsid w:val="00CA15AA"/>
    <w:rsid w:val="00CA16C9"/>
    <w:rsid w:val="00CA1957"/>
    <w:rsid w:val="00CA19AF"/>
    <w:rsid w:val="00CA19D0"/>
    <w:rsid w:val="00CA1A84"/>
    <w:rsid w:val="00CA1AEC"/>
    <w:rsid w:val="00CA1CAC"/>
    <w:rsid w:val="00CA1CAE"/>
    <w:rsid w:val="00CA1CB9"/>
    <w:rsid w:val="00CA1CC8"/>
    <w:rsid w:val="00CA1CF5"/>
    <w:rsid w:val="00CA1D61"/>
    <w:rsid w:val="00CA1EC3"/>
    <w:rsid w:val="00CA1F0E"/>
    <w:rsid w:val="00CA1F2C"/>
    <w:rsid w:val="00CA1F51"/>
    <w:rsid w:val="00CA1FAA"/>
    <w:rsid w:val="00CA20D0"/>
    <w:rsid w:val="00CA20E3"/>
    <w:rsid w:val="00CA20E6"/>
    <w:rsid w:val="00CA22F1"/>
    <w:rsid w:val="00CA2307"/>
    <w:rsid w:val="00CA2357"/>
    <w:rsid w:val="00CA2359"/>
    <w:rsid w:val="00CA245C"/>
    <w:rsid w:val="00CA25B5"/>
    <w:rsid w:val="00CA2611"/>
    <w:rsid w:val="00CA2652"/>
    <w:rsid w:val="00CA2661"/>
    <w:rsid w:val="00CA26B0"/>
    <w:rsid w:val="00CA27B9"/>
    <w:rsid w:val="00CA27E1"/>
    <w:rsid w:val="00CA2863"/>
    <w:rsid w:val="00CA2877"/>
    <w:rsid w:val="00CA289F"/>
    <w:rsid w:val="00CA28AA"/>
    <w:rsid w:val="00CA28D5"/>
    <w:rsid w:val="00CA28E8"/>
    <w:rsid w:val="00CA291B"/>
    <w:rsid w:val="00CA29A0"/>
    <w:rsid w:val="00CA29A4"/>
    <w:rsid w:val="00CA2A0A"/>
    <w:rsid w:val="00CA2A17"/>
    <w:rsid w:val="00CA2AAA"/>
    <w:rsid w:val="00CA2AC8"/>
    <w:rsid w:val="00CA2B79"/>
    <w:rsid w:val="00CA2BBD"/>
    <w:rsid w:val="00CA2C8A"/>
    <w:rsid w:val="00CA2CAB"/>
    <w:rsid w:val="00CA2D63"/>
    <w:rsid w:val="00CA2DC1"/>
    <w:rsid w:val="00CA2DF3"/>
    <w:rsid w:val="00CA2E3F"/>
    <w:rsid w:val="00CA2E99"/>
    <w:rsid w:val="00CA2EC6"/>
    <w:rsid w:val="00CA2EE1"/>
    <w:rsid w:val="00CA3054"/>
    <w:rsid w:val="00CA305E"/>
    <w:rsid w:val="00CA3065"/>
    <w:rsid w:val="00CA30F8"/>
    <w:rsid w:val="00CA3138"/>
    <w:rsid w:val="00CA31B9"/>
    <w:rsid w:val="00CA31CF"/>
    <w:rsid w:val="00CA3204"/>
    <w:rsid w:val="00CA3250"/>
    <w:rsid w:val="00CA333C"/>
    <w:rsid w:val="00CA3375"/>
    <w:rsid w:val="00CA339B"/>
    <w:rsid w:val="00CA33A6"/>
    <w:rsid w:val="00CA33B6"/>
    <w:rsid w:val="00CA3485"/>
    <w:rsid w:val="00CA34E0"/>
    <w:rsid w:val="00CA3516"/>
    <w:rsid w:val="00CA35B8"/>
    <w:rsid w:val="00CA35FE"/>
    <w:rsid w:val="00CA3667"/>
    <w:rsid w:val="00CA368A"/>
    <w:rsid w:val="00CA36B7"/>
    <w:rsid w:val="00CA3715"/>
    <w:rsid w:val="00CA377C"/>
    <w:rsid w:val="00CA37D7"/>
    <w:rsid w:val="00CA37DF"/>
    <w:rsid w:val="00CA3811"/>
    <w:rsid w:val="00CA3820"/>
    <w:rsid w:val="00CA386B"/>
    <w:rsid w:val="00CA38AD"/>
    <w:rsid w:val="00CA38C3"/>
    <w:rsid w:val="00CA392C"/>
    <w:rsid w:val="00CA392F"/>
    <w:rsid w:val="00CA394C"/>
    <w:rsid w:val="00CA3A18"/>
    <w:rsid w:val="00CA3A2F"/>
    <w:rsid w:val="00CA3A74"/>
    <w:rsid w:val="00CA3A7A"/>
    <w:rsid w:val="00CA3A8E"/>
    <w:rsid w:val="00CA3ABD"/>
    <w:rsid w:val="00CA3B51"/>
    <w:rsid w:val="00CA3B90"/>
    <w:rsid w:val="00CA3C0E"/>
    <w:rsid w:val="00CA3C11"/>
    <w:rsid w:val="00CA3CC6"/>
    <w:rsid w:val="00CA3CF4"/>
    <w:rsid w:val="00CA3CF5"/>
    <w:rsid w:val="00CA3D33"/>
    <w:rsid w:val="00CA3DDB"/>
    <w:rsid w:val="00CA3ECC"/>
    <w:rsid w:val="00CA3ED0"/>
    <w:rsid w:val="00CA3F17"/>
    <w:rsid w:val="00CA3F71"/>
    <w:rsid w:val="00CA4267"/>
    <w:rsid w:val="00CA42E5"/>
    <w:rsid w:val="00CA42EA"/>
    <w:rsid w:val="00CA4309"/>
    <w:rsid w:val="00CA433F"/>
    <w:rsid w:val="00CA434F"/>
    <w:rsid w:val="00CA4357"/>
    <w:rsid w:val="00CA4361"/>
    <w:rsid w:val="00CA43A1"/>
    <w:rsid w:val="00CA43BA"/>
    <w:rsid w:val="00CA442A"/>
    <w:rsid w:val="00CA4478"/>
    <w:rsid w:val="00CA450D"/>
    <w:rsid w:val="00CA4520"/>
    <w:rsid w:val="00CA458A"/>
    <w:rsid w:val="00CA45BC"/>
    <w:rsid w:val="00CA469E"/>
    <w:rsid w:val="00CA46B1"/>
    <w:rsid w:val="00CA477C"/>
    <w:rsid w:val="00CA47A8"/>
    <w:rsid w:val="00CA47C4"/>
    <w:rsid w:val="00CA488A"/>
    <w:rsid w:val="00CA49BA"/>
    <w:rsid w:val="00CA4A05"/>
    <w:rsid w:val="00CA4A5A"/>
    <w:rsid w:val="00CA4AA0"/>
    <w:rsid w:val="00CA4AC1"/>
    <w:rsid w:val="00CA4BC0"/>
    <w:rsid w:val="00CA4BEB"/>
    <w:rsid w:val="00CA4C39"/>
    <w:rsid w:val="00CA4F2B"/>
    <w:rsid w:val="00CA4F9D"/>
    <w:rsid w:val="00CA5069"/>
    <w:rsid w:val="00CA509F"/>
    <w:rsid w:val="00CA50C3"/>
    <w:rsid w:val="00CA51EB"/>
    <w:rsid w:val="00CA528F"/>
    <w:rsid w:val="00CA52D5"/>
    <w:rsid w:val="00CA52F0"/>
    <w:rsid w:val="00CA5362"/>
    <w:rsid w:val="00CA538F"/>
    <w:rsid w:val="00CA53D5"/>
    <w:rsid w:val="00CA5424"/>
    <w:rsid w:val="00CA5477"/>
    <w:rsid w:val="00CA5537"/>
    <w:rsid w:val="00CA55AC"/>
    <w:rsid w:val="00CA55C4"/>
    <w:rsid w:val="00CA55D4"/>
    <w:rsid w:val="00CA5606"/>
    <w:rsid w:val="00CA5722"/>
    <w:rsid w:val="00CA5726"/>
    <w:rsid w:val="00CA576F"/>
    <w:rsid w:val="00CA57C7"/>
    <w:rsid w:val="00CA586A"/>
    <w:rsid w:val="00CA5876"/>
    <w:rsid w:val="00CA59D3"/>
    <w:rsid w:val="00CA59EB"/>
    <w:rsid w:val="00CA59F1"/>
    <w:rsid w:val="00CA5A2C"/>
    <w:rsid w:val="00CA5AD7"/>
    <w:rsid w:val="00CA5C02"/>
    <w:rsid w:val="00CA5C74"/>
    <w:rsid w:val="00CA5CA8"/>
    <w:rsid w:val="00CA5CBC"/>
    <w:rsid w:val="00CA5CE6"/>
    <w:rsid w:val="00CA5E3E"/>
    <w:rsid w:val="00CA5EFC"/>
    <w:rsid w:val="00CA5F60"/>
    <w:rsid w:val="00CA5F80"/>
    <w:rsid w:val="00CA5FC3"/>
    <w:rsid w:val="00CA6040"/>
    <w:rsid w:val="00CA60BB"/>
    <w:rsid w:val="00CA60D5"/>
    <w:rsid w:val="00CA6117"/>
    <w:rsid w:val="00CA6214"/>
    <w:rsid w:val="00CA625D"/>
    <w:rsid w:val="00CA625E"/>
    <w:rsid w:val="00CA62DC"/>
    <w:rsid w:val="00CA6357"/>
    <w:rsid w:val="00CA63AA"/>
    <w:rsid w:val="00CA63D2"/>
    <w:rsid w:val="00CA64A0"/>
    <w:rsid w:val="00CA64B0"/>
    <w:rsid w:val="00CA64CC"/>
    <w:rsid w:val="00CA6545"/>
    <w:rsid w:val="00CA6642"/>
    <w:rsid w:val="00CA66D6"/>
    <w:rsid w:val="00CA66F0"/>
    <w:rsid w:val="00CA6719"/>
    <w:rsid w:val="00CA67D7"/>
    <w:rsid w:val="00CA6814"/>
    <w:rsid w:val="00CA68FB"/>
    <w:rsid w:val="00CA6A51"/>
    <w:rsid w:val="00CA6AC3"/>
    <w:rsid w:val="00CA6B81"/>
    <w:rsid w:val="00CA6CC5"/>
    <w:rsid w:val="00CA6CDB"/>
    <w:rsid w:val="00CA6D32"/>
    <w:rsid w:val="00CA6D7C"/>
    <w:rsid w:val="00CA6EE2"/>
    <w:rsid w:val="00CA6F4B"/>
    <w:rsid w:val="00CA6F4E"/>
    <w:rsid w:val="00CA6F74"/>
    <w:rsid w:val="00CA7026"/>
    <w:rsid w:val="00CA7044"/>
    <w:rsid w:val="00CA70A3"/>
    <w:rsid w:val="00CA70DF"/>
    <w:rsid w:val="00CA7397"/>
    <w:rsid w:val="00CA742F"/>
    <w:rsid w:val="00CA74D6"/>
    <w:rsid w:val="00CA7554"/>
    <w:rsid w:val="00CA75C7"/>
    <w:rsid w:val="00CA767C"/>
    <w:rsid w:val="00CA76C6"/>
    <w:rsid w:val="00CA76FF"/>
    <w:rsid w:val="00CA7707"/>
    <w:rsid w:val="00CA770F"/>
    <w:rsid w:val="00CA777B"/>
    <w:rsid w:val="00CA7843"/>
    <w:rsid w:val="00CA784D"/>
    <w:rsid w:val="00CA7894"/>
    <w:rsid w:val="00CA791B"/>
    <w:rsid w:val="00CA7934"/>
    <w:rsid w:val="00CA79BE"/>
    <w:rsid w:val="00CA79D4"/>
    <w:rsid w:val="00CA79F9"/>
    <w:rsid w:val="00CA7B37"/>
    <w:rsid w:val="00CA7BAB"/>
    <w:rsid w:val="00CA7C15"/>
    <w:rsid w:val="00CA7C66"/>
    <w:rsid w:val="00CA7CD7"/>
    <w:rsid w:val="00CA7E39"/>
    <w:rsid w:val="00CA7E3D"/>
    <w:rsid w:val="00CA7F0E"/>
    <w:rsid w:val="00CA7F65"/>
    <w:rsid w:val="00CA7FD8"/>
    <w:rsid w:val="00CB00CD"/>
    <w:rsid w:val="00CB0157"/>
    <w:rsid w:val="00CB020D"/>
    <w:rsid w:val="00CB0340"/>
    <w:rsid w:val="00CB03E4"/>
    <w:rsid w:val="00CB04C9"/>
    <w:rsid w:val="00CB05B2"/>
    <w:rsid w:val="00CB06E0"/>
    <w:rsid w:val="00CB0743"/>
    <w:rsid w:val="00CB0930"/>
    <w:rsid w:val="00CB0971"/>
    <w:rsid w:val="00CB0A17"/>
    <w:rsid w:val="00CB0ADE"/>
    <w:rsid w:val="00CB0AE3"/>
    <w:rsid w:val="00CB0D9F"/>
    <w:rsid w:val="00CB0DDA"/>
    <w:rsid w:val="00CB0E91"/>
    <w:rsid w:val="00CB0F39"/>
    <w:rsid w:val="00CB0F6F"/>
    <w:rsid w:val="00CB0FC5"/>
    <w:rsid w:val="00CB102F"/>
    <w:rsid w:val="00CB10B5"/>
    <w:rsid w:val="00CB10FB"/>
    <w:rsid w:val="00CB1130"/>
    <w:rsid w:val="00CB1145"/>
    <w:rsid w:val="00CB115C"/>
    <w:rsid w:val="00CB127D"/>
    <w:rsid w:val="00CB128E"/>
    <w:rsid w:val="00CB12B5"/>
    <w:rsid w:val="00CB12D1"/>
    <w:rsid w:val="00CB1355"/>
    <w:rsid w:val="00CB13A7"/>
    <w:rsid w:val="00CB1479"/>
    <w:rsid w:val="00CB14D8"/>
    <w:rsid w:val="00CB1718"/>
    <w:rsid w:val="00CB18B2"/>
    <w:rsid w:val="00CB18E7"/>
    <w:rsid w:val="00CB194B"/>
    <w:rsid w:val="00CB197A"/>
    <w:rsid w:val="00CB199D"/>
    <w:rsid w:val="00CB1A17"/>
    <w:rsid w:val="00CB1A33"/>
    <w:rsid w:val="00CB1A84"/>
    <w:rsid w:val="00CB1B75"/>
    <w:rsid w:val="00CB1BAA"/>
    <w:rsid w:val="00CB1CD5"/>
    <w:rsid w:val="00CB1D0B"/>
    <w:rsid w:val="00CB1D58"/>
    <w:rsid w:val="00CB1DDB"/>
    <w:rsid w:val="00CB1F3E"/>
    <w:rsid w:val="00CB1F79"/>
    <w:rsid w:val="00CB1F93"/>
    <w:rsid w:val="00CB20A2"/>
    <w:rsid w:val="00CB20EF"/>
    <w:rsid w:val="00CB2125"/>
    <w:rsid w:val="00CB213C"/>
    <w:rsid w:val="00CB215D"/>
    <w:rsid w:val="00CB21B9"/>
    <w:rsid w:val="00CB21EA"/>
    <w:rsid w:val="00CB2235"/>
    <w:rsid w:val="00CB2270"/>
    <w:rsid w:val="00CB228B"/>
    <w:rsid w:val="00CB228D"/>
    <w:rsid w:val="00CB22F2"/>
    <w:rsid w:val="00CB2304"/>
    <w:rsid w:val="00CB2367"/>
    <w:rsid w:val="00CB23E9"/>
    <w:rsid w:val="00CB23EF"/>
    <w:rsid w:val="00CB2497"/>
    <w:rsid w:val="00CB24B7"/>
    <w:rsid w:val="00CB24D7"/>
    <w:rsid w:val="00CB24EB"/>
    <w:rsid w:val="00CB24ED"/>
    <w:rsid w:val="00CB25EF"/>
    <w:rsid w:val="00CB264D"/>
    <w:rsid w:val="00CB266E"/>
    <w:rsid w:val="00CB2695"/>
    <w:rsid w:val="00CB26D7"/>
    <w:rsid w:val="00CB26EB"/>
    <w:rsid w:val="00CB275A"/>
    <w:rsid w:val="00CB276A"/>
    <w:rsid w:val="00CB2794"/>
    <w:rsid w:val="00CB27F6"/>
    <w:rsid w:val="00CB27FC"/>
    <w:rsid w:val="00CB28D4"/>
    <w:rsid w:val="00CB28E9"/>
    <w:rsid w:val="00CB29BD"/>
    <w:rsid w:val="00CB2A72"/>
    <w:rsid w:val="00CB2B28"/>
    <w:rsid w:val="00CB2CC4"/>
    <w:rsid w:val="00CB2D73"/>
    <w:rsid w:val="00CB2DF7"/>
    <w:rsid w:val="00CB2E0B"/>
    <w:rsid w:val="00CB2E20"/>
    <w:rsid w:val="00CB2E5F"/>
    <w:rsid w:val="00CB2E98"/>
    <w:rsid w:val="00CB2F39"/>
    <w:rsid w:val="00CB2FE1"/>
    <w:rsid w:val="00CB2FF7"/>
    <w:rsid w:val="00CB303C"/>
    <w:rsid w:val="00CB308A"/>
    <w:rsid w:val="00CB3262"/>
    <w:rsid w:val="00CB328E"/>
    <w:rsid w:val="00CB3379"/>
    <w:rsid w:val="00CB34EA"/>
    <w:rsid w:val="00CB3587"/>
    <w:rsid w:val="00CB36AF"/>
    <w:rsid w:val="00CB36DD"/>
    <w:rsid w:val="00CB377D"/>
    <w:rsid w:val="00CB3792"/>
    <w:rsid w:val="00CB3797"/>
    <w:rsid w:val="00CB3827"/>
    <w:rsid w:val="00CB38E0"/>
    <w:rsid w:val="00CB3A9E"/>
    <w:rsid w:val="00CB3BCD"/>
    <w:rsid w:val="00CB3C35"/>
    <w:rsid w:val="00CB3C84"/>
    <w:rsid w:val="00CB3D8B"/>
    <w:rsid w:val="00CB3DB6"/>
    <w:rsid w:val="00CB3DEF"/>
    <w:rsid w:val="00CB40EF"/>
    <w:rsid w:val="00CB4157"/>
    <w:rsid w:val="00CB421B"/>
    <w:rsid w:val="00CB4279"/>
    <w:rsid w:val="00CB4285"/>
    <w:rsid w:val="00CB4298"/>
    <w:rsid w:val="00CB42E6"/>
    <w:rsid w:val="00CB4395"/>
    <w:rsid w:val="00CB43E7"/>
    <w:rsid w:val="00CB44CF"/>
    <w:rsid w:val="00CB4504"/>
    <w:rsid w:val="00CB483E"/>
    <w:rsid w:val="00CB485B"/>
    <w:rsid w:val="00CB48BE"/>
    <w:rsid w:val="00CB48DE"/>
    <w:rsid w:val="00CB48DF"/>
    <w:rsid w:val="00CB4954"/>
    <w:rsid w:val="00CB4A10"/>
    <w:rsid w:val="00CB4C16"/>
    <w:rsid w:val="00CB4C64"/>
    <w:rsid w:val="00CB4D22"/>
    <w:rsid w:val="00CB4DCF"/>
    <w:rsid w:val="00CB4EF6"/>
    <w:rsid w:val="00CB4EFB"/>
    <w:rsid w:val="00CB4F5F"/>
    <w:rsid w:val="00CB5077"/>
    <w:rsid w:val="00CB50E7"/>
    <w:rsid w:val="00CB514C"/>
    <w:rsid w:val="00CB5161"/>
    <w:rsid w:val="00CB5178"/>
    <w:rsid w:val="00CB5196"/>
    <w:rsid w:val="00CB51EC"/>
    <w:rsid w:val="00CB5205"/>
    <w:rsid w:val="00CB52AF"/>
    <w:rsid w:val="00CB533A"/>
    <w:rsid w:val="00CB536F"/>
    <w:rsid w:val="00CB5531"/>
    <w:rsid w:val="00CB5598"/>
    <w:rsid w:val="00CB5776"/>
    <w:rsid w:val="00CB591C"/>
    <w:rsid w:val="00CB5A84"/>
    <w:rsid w:val="00CB5B0C"/>
    <w:rsid w:val="00CB5B2B"/>
    <w:rsid w:val="00CB5BE1"/>
    <w:rsid w:val="00CB5C04"/>
    <w:rsid w:val="00CB5C13"/>
    <w:rsid w:val="00CB5C74"/>
    <w:rsid w:val="00CB5C8A"/>
    <w:rsid w:val="00CB5CC4"/>
    <w:rsid w:val="00CB5E80"/>
    <w:rsid w:val="00CB5E84"/>
    <w:rsid w:val="00CB5F1A"/>
    <w:rsid w:val="00CB5F21"/>
    <w:rsid w:val="00CB5FF9"/>
    <w:rsid w:val="00CB6031"/>
    <w:rsid w:val="00CB617F"/>
    <w:rsid w:val="00CB61A3"/>
    <w:rsid w:val="00CB61E7"/>
    <w:rsid w:val="00CB61FF"/>
    <w:rsid w:val="00CB6267"/>
    <w:rsid w:val="00CB62BC"/>
    <w:rsid w:val="00CB62EF"/>
    <w:rsid w:val="00CB6339"/>
    <w:rsid w:val="00CB64BE"/>
    <w:rsid w:val="00CB65B5"/>
    <w:rsid w:val="00CB65E2"/>
    <w:rsid w:val="00CB6618"/>
    <w:rsid w:val="00CB6665"/>
    <w:rsid w:val="00CB66A6"/>
    <w:rsid w:val="00CB67DA"/>
    <w:rsid w:val="00CB6970"/>
    <w:rsid w:val="00CB6A0B"/>
    <w:rsid w:val="00CB6A46"/>
    <w:rsid w:val="00CB6A4E"/>
    <w:rsid w:val="00CB6B39"/>
    <w:rsid w:val="00CB6BAA"/>
    <w:rsid w:val="00CB6C25"/>
    <w:rsid w:val="00CB6D91"/>
    <w:rsid w:val="00CB6DF0"/>
    <w:rsid w:val="00CB6E53"/>
    <w:rsid w:val="00CB6EDB"/>
    <w:rsid w:val="00CB6FC5"/>
    <w:rsid w:val="00CB6FF7"/>
    <w:rsid w:val="00CB7190"/>
    <w:rsid w:val="00CB71E4"/>
    <w:rsid w:val="00CB720B"/>
    <w:rsid w:val="00CB7245"/>
    <w:rsid w:val="00CB72B7"/>
    <w:rsid w:val="00CB72CA"/>
    <w:rsid w:val="00CB7385"/>
    <w:rsid w:val="00CB740C"/>
    <w:rsid w:val="00CB749D"/>
    <w:rsid w:val="00CB74B4"/>
    <w:rsid w:val="00CB7544"/>
    <w:rsid w:val="00CB75A6"/>
    <w:rsid w:val="00CB75F6"/>
    <w:rsid w:val="00CB761B"/>
    <w:rsid w:val="00CB766B"/>
    <w:rsid w:val="00CB78F0"/>
    <w:rsid w:val="00CB78F8"/>
    <w:rsid w:val="00CB797D"/>
    <w:rsid w:val="00CB79B4"/>
    <w:rsid w:val="00CB79D5"/>
    <w:rsid w:val="00CB7AB5"/>
    <w:rsid w:val="00CB7AC5"/>
    <w:rsid w:val="00CB7AEA"/>
    <w:rsid w:val="00CB7BA2"/>
    <w:rsid w:val="00CB7C42"/>
    <w:rsid w:val="00CB7D60"/>
    <w:rsid w:val="00CB7D67"/>
    <w:rsid w:val="00CB7D8B"/>
    <w:rsid w:val="00CB7E2A"/>
    <w:rsid w:val="00CB7E3B"/>
    <w:rsid w:val="00CB7E54"/>
    <w:rsid w:val="00CC001E"/>
    <w:rsid w:val="00CC0097"/>
    <w:rsid w:val="00CC0120"/>
    <w:rsid w:val="00CC0138"/>
    <w:rsid w:val="00CC024D"/>
    <w:rsid w:val="00CC0278"/>
    <w:rsid w:val="00CC0288"/>
    <w:rsid w:val="00CC0304"/>
    <w:rsid w:val="00CC03E4"/>
    <w:rsid w:val="00CC044F"/>
    <w:rsid w:val="00CC046E"/>
    <w:rsid w:val="00CC04B3"/>
    <w:rsid w:val="00CC0541"/>
    <w:rsid w:val="00CC05FE"/>
    <w:rsid w:val="00CC064F"/>
    <w:rsid w:val="00CC06DB"/>
    <w:rsid w:val="00CC074D"/>
    <w:rsid w:val="00CC0773"/>
    <w:rsid w:val="00CC07C1"/>
    <w:rsid w:val="00CC0815"/>
    <w:rsid w:val="00CC09EC"/>
    <w:rsid w:val="00CC0AA5"/>
    <w:rsid w:val="00CC0AE1"/>
    <w:rsid w:val="00CC0B1A"/>
    <w:rsid w:val="00CC0B4E"/>
    <w:rsid w:val="00CC0BB0"/>
    <w:rsid w:val="00CC0C10"/>
    <w:rsid w:val="00CC0DB2"/>
    <w:rsid w:val="00CC0DBE"/>
    <w:rsid w:val="00CC0DEC"/>
    <w:rsid w:val="00CC0EAE"/>
    <w:rsid w:val="00CC0F1F"/>
    <w:rsid w:val="00CC0F5B"/>
    <w:rsid w:val="00CC1080"/>
    <w:rsid w:val="00CC1081"/>
    <w:rsid w:val="00CC10B6"/>
    <w:rsid w:val="00CC10C2"/>
    <w:rsid w:val="00CC112F"/>
    <w:rsid w:val="00CC1243"/>
    <w:rsid w:val="00CC13A3"/>
    <w:rsid w:val="00CC13C3"/>
    <w:rsid w:val="00CC1472"/>
    <w:rsid w:val="00CC1494"/>
    <w:rsid w:val="00CC15BD"/>
    <w:rsid w:val="00CC15C6"/>
    <w:rsid w:val="00CC1601"/>
    <w:rsid w:val="00CC178D"/>
    <w:rsid w:val="00CC188A"/>
    <w:rsid w:val="00CC18BB"/>
    <w:rsid w:val="00CC193B"/>
    <w:rsid w:val="00CC1963"/>
    <w:rsid w:val="00CC1A2D"/>
    <w:rsid w:val="00CC1A81"/>
    <w:rsid w:val="00CC1A83"/>
    <w:rsid w:val="00CC1C04"/>
    <w:rsid w:val="00CC1C42"/>
    <w:rsid w:val="00CC1CBE"/>
    <w:rsid w:val="00CC1DAA"/>
    <w:rsid w:val="00CC1E75"/>
    <w:rsid w:val="00CC1F31"/>
    <w:rsid w:val="00CC1F84"/>
    <w:rsid w:val="00CC208E"/>
    <w:rsid w:val="00CC218D"/>
    <w:rsid w:val="00CC21BE"/>
    <w:rsid w:val="00CC21D6"/>
    <w:rsid w:val="00CC21DA"/>
    <w:rsid w:val="00CC220C"/>
    <w:rsid w:val="00CC2225"/>
    <w:rsid w:val="00CC2315"/>
    <w:rsid w:val="00CC2336"/>
    <w:rsid w:val="00CC2356"/>
    <w:rsid w:val="00CC236F"/>
    <w:rsid w:val="00CC2382"/>
    <w:rsid w:val="00CC239E"/>
    <w:rsid w:val="00CC23C2"/>
    <w:rsid w:val="00CC23F7"/>
    <w:rsid w:val="00CC2532"/>
    <w:rsid w:val="00CC2666"/>
    <w:rsid w:val="00CC26EF"/>
    <w:rsid w:val="00CC2739"/>
    <w:rsid w:val="00CC2741"/>
    <w:rsid w:val="00CC275A"/>
    <w:rsid w:val="00CC277D"/>
    <w:rsid w:val="00CC27A4"/>
    <w:rsid w:val="00CC282F"/>
    <w:rsid w:val="00CC28D3"/>
    <w:rsid w:val="00CC290F"/>
    <w:rsid w:val="00CC296B"/>
    <w:rsid w:val="00CC29BE"/>
    <w:rsid w:val="00CC2B9A"/>
    <w:rsid w:val="00CC2C0A"/>
    <w:rsid w:val="00CC2C8D"/>
    <w:rsid w:val="00CC2C92"/>
    <w:rsid w:val="00CC2D00"/>
    <w:rsid w:val="00CC2D36"/>
    <w:rsid w:val="00CC2E46"/>
    <w:rsid w:val="00CC2E8B"/>
    <w:rsid w:val="00CC2F0F"/>
    <w:rsid w:val="00CC2F9D"/>
    <w:rsid w:val="00CC3061"/>
    <w:rsid w:val="00CC31D4"/>
    <w:rsid w:val="00CC3249"/>
    <w:rsid w:val="00CC32C8"/>
    <w:rsid w:val="00CC32D3"/>
    <w:rsid w:val="00CC3372"/>
    <w:rsid w:val="00CC33E9"/>
    <w:rsid w:val="00CC33FA"/>
    <w:rsid w:val="00CC345D"/>
    <w:rsid w:val="00CC34B4"/>
    <w:rsid w:val="00CC35CC"/>
    <w:rsid w:val="00CC3605"/>
    <w:rsid w:val="00CC360B"/>
    <w:rsid w:val="00CC3616"/>
    <w:rsid w:val="00CC3642"/>
    <w:rsid w:val="00CC3684"/>
    <w:rsid w:val="00CC36D4"/>
    <w:rsid w:val="00CC378A"/>
    <w:rsid w:val="00CC382A"/>
    <w:rsid w:val="00CC3856"/>
    <w:rsid w:val="00CC3860"/>
    <w:rsid w:val="00CC3876"/>
    <w:rsid w:val="00CC38AC"/>
    <w:rsid w:val="00CC3993"/>
    <w:rsid w:val="00CC39E0"/>
    <w:rsid w:val="00CC3A13"/>
    <w:rsid w:val="00CC3A7E"/>
    <w:rsid w:val="00CC3AF8"/>
    <w:rsid w:val="00CC3B5D"/>
    <w:rsid w:val="00CC3B5E"/>
    <w:rsid w:val="00CC3B78"/>
    <w:rsid w:val="00CC3BBF"/>
    <w:rsid w:val="00CC3C68"/>
    <w:rsid w:val="00CC3C84"/>
    <w:rsid w:val="00CC3C91"/>
    <w:rsid w:val="00CC3CE0"/>
    <w:rsid w:val="00CC3D45"/>
    <w:rsid w:val="00CC3D77"/>
    <w:rsid w:val="00CC3DEC"/>
    <w:rsid w:val="00CC3F65"/>
    <w:rsid w:val="00CC3F72"/>
    <w:rsid w:val="00CC3F98"/>
    <w:rsid w:val="00CC4115"/>
    <w:rsid w:val="00CC4322"/>
    <w:rsid w:val="00CC4481"/>
    <w:rsid w:val="00CC44B1"/>
    <w:rsid w:val="00CC4562"/>
    <w:rsid w:val="00CC45E4"/>
    <w:rsid w:val="00CC4764"/>
    <w:rsid w:val="00CC47C5"/>
    <w:rsid w:val="00CC480E"/>
    <w:rsid w:val="00CC4943"/>
    <w:rsid w:val="00CC496D"/>
    <w:rsid w:val="00CC497B"/>
    <w:rsid w:val="00CC4A9A"/>
    <w:rsid w:val="00CC4AF6"/>
    <w:rsid w:val="00CC4BFD"/>
    <w:rsid w:val="00CC4D75"/>
    <w:rsid w:val="00CC4DF3"/>
    <w:rsid w:val="00CC5095"/>
    <w:rsid w:val="00CC5096"/>
    <w:rsid w:val="00CC50E5"/>
    <w:rsid w:val="00CC519C"/>
    <w:rsid w:val="00CC51C2"/>
    <w:rsid w:val="00CC51DA"/>
    <w:rsid w:val="00CC53C3"/>
    <w:rsid w:val="00CC540A"/>
    <w:rsid w:val="00CC541D"/>
    <w:rsid w:val="00CC5443"/>
    <w:rsid w:val="00CC544F"/>
    <w:rsid w:val="00CC554F"/>
    <w:rsid w:val="00CC559D"/>
    <w:rsid w:val="00CC55BB"/>
    <w:rsid w:val="00CC55F1"/>
    <w:rsid w:val="00CC5603"/>
    <w:rsid w:val="00CC5652"/>
    <w:rsid w:val="00CC5719"/>
    <w:rsid w:val="00CC585A"/>
    <w:rsid w:val="00CC5982"/>
    <w:rsid w:val="00CC599D"/>
    <w:rsid w:val="00CC5AA7"/>
    <w:rsid w:val="00CC5ABF"/>
    <w:rsid w:val="00CC5AD3"/>
    <w:rsid w:val="00CC5AEB"/>
    <w:rsid w:val="00CC5B52"/>
    <w:rsid w:val="00CC5BF1"/>
    <w:rsid w:val="00CC5DDC"/>
    <w:rsid w:val="00CC5EA6"/>
    <w:rsid w:val="00CC5F21"/>
    <w:rsid w:val="00CC5F32"/>
    <w:rsid w:val="00CC5F9A"/>
    <w:rsid w:val="00CC60D6"/>
    <w:rsid w:val="00CC6170"/>
    <w:rsid w:val="00CC627F"/>
    <w:rsid w:val="00CC631A"/>
    <w:rsid w:val="00CC63BB"/>
    <w:rsid w:val="00CC63EF"/>
    <w:rsid w:val="00CC63F5"/>
    <w:rsid w:val="00CC6467"/>
    <w:rsid w:val="00CC654C"/>
    <w:rsid w:val="00CC675F"/>
    <w:rsid w:val="00CC68D0"/>
    <w:rsid w:val="00CC6949"/>
    <w:rsid w:val="00CC6A98"/>
    <w:rsid w:val="00CC6B59"/>
    <w:rsid w:val="00CC6BC1"/>
    <w:rsid w:val="00CC6C03"/>
    <w:rsid w:val="00CC6C80"/>
    <w:rsid w:val="00CC6D52"/>
    <w:rsid w:val="00CC6DCA"/>
    <w:rsid w:val="00CC6E3E"/>
    <w:rsid w:val="00CC6E42"/>
    <w:rsid w:val="00CC6E7B"/>
    <w:rsid w:val="00CC6EA3"/>
    <w:rsid w:val="00CC6F79"/>
    <w:rsid w:val="00CC6FC3"/>
    <w:rsid w:val="00CC6FE4"/>
    <w:rsid w:val="00CC70A7"/>
    <w:rsid w:val="00CC7102"/>
    <w:rsid w:val="00CC71AB"/>
    <w:rsid w:val="00CC74FE"/>
    <w:rsid w:val="00CC7545"/>
    <w:rsid w:val="00CC7566"/>
    <w:rsid w:val="00CC75DA"/>
    <w:rsid w:val="00CC75E1"/>
    <w:rsid w:val="00CC7694"/>
    <w:rsid w:val="00CC7739"/>
    <w:rsid w:val="00CC77C7"/>
    <w:rsid w:val="00CC77F4"/>
    <w:rsid w:val="00CC7892"/>
    <w:rsid w:val="00CC78A2"/>
    <w:rsid w:val="00CC7910"/>
    <w:rsid w:val="00CC794F"/>
    <w:rsid w:val="00CC7951"/>
    <w:rsid w:val="00CC7964"/>
    <w:rsid w:val="00CC79A3"/>
    <w:rsid w:val="00CC79D8"/>
    <w:rsid w:val="00CC7A13"/>
    <w:rsid w:val="00CC7A2D"/>
    <w:rsid w:val="00CC7AB9"/>
    <w:rsid w:val="00CC7C2A"/>
    <w:rsid w:val="00CC7C85"/>
    <w:rsid w:val="00CC7D35"/>
    <w:rsid w:val="00CC7D90"/>
    <w:rsid w:val="00CC7EE7"/>
    <w:rsid w:val="00CC7F04"/>
    <w:rsid w:val="00CD00E3"/>
    <w:rsid w:val="00CD0173"/>
    <w:rsid w:val="00CD0187"/>
    <w:rsid w:val="00CD0192"/>
    <w:rsid w:val="00CD02A8"/>
    <w:rsid w:val="00CD0369"/>
    <w:rsid w:val="00CD0390"/>
    <w:rsid w:val="00CD03A7"/>
    <w:rsid w:val="00CD0415"/>
    <w:rsid w:val="00CD0432"/>
    <w:rsid w:val="00CD04AB"/>
    <w:rsid w:val="00CD056A"/>
    <w:rsid w:val="00CD05D1"/>
    <w:rsid w:val="00CD0651"/>
    <w:rsid w:val="00CD065C"/>
    <w:rsid w:val="00CD0792"/>
    <w:rsid w:val="00CD0799"/>
    <w:rsid w:val="00CD07CB"/>
    <w:rsid w:val="00CD0894"/>
    <w:rsid w:val="00CD08D6"/>
    <w:rsid w:val="00CD090C"/>
    <w:rsid w:val="00CD093C"/>
    <w:rsid w:val="00CD0A44"/>
    <w:rsid w:val="00CD0A5F"/>
    <w:rsid w:val="00CD0A6E"/>
    <w:rsid w:val="00CD0AD0"/>
    <w:rsid w:val="00CD0B08"/>
    <w:rsid w:val="00CD0B1A"/>
    <w:rsid w:val="00CD0BEC"/>
    <w:rsid w:val="00CD0C13"/>
    <w:rsid w:val="00CD0C92"/>
    <w:rsid w:val="00CD0C9A"/>
    <w:rsid w:val="00CD0D35"/>
    <w:rsid w:val="00CD0D56"/>
    <w:rsid w:val="00CD0D95"/>
    <w:rsid w:val="00CD0DA7"/>
    <w:rsid w:val="00CD0F8C"/>
    <w:rsid w:val="00CD0FAD"/>
    <w:rsid w:val="00CD105D"/>
    <w:rsid w:val="00CD10D8"/>
    <w:rsid w:val="00CD10DA"/>
    <w:rsid w:val="00CD1123"/>
    <w:rsid w:val="00CD1128"/>
    <w:rsid w:val="00CD1146"/>
    <w:rsid w:val="00CD1166"/>
    <w:rsid w:val="00CD11C8"/>
    <w:rsid w:val="00CD1230"/>
    <w:rsid w:val="00CD139F"/>
    <w:rsid w:val="00CD143E"/>
    <w:rsid w:val="00CD148B"/>
    <w:rsid w:val="00CD14DF"/>
    <w:rsid w:val="00CD151C"/>
    <w:rsid w:val="00CD16A8"/>
    <w:rsid w:val="00CD17AB"/>
    <w:rsid w:val="00CD1931"/>
    <w:rsid w:val="00CD19F3"/>
    <w:rsid w:val="00CD1A35"/>
    <w:rsid w:val="00CD1A7B"/>
    <w:rsid w:val="00CD1BB0"/>
    <w:rsid w:val="00CD1C16"/>
    <w:rsid w:val="00CD1C29"/>
    <w:rsid w:val="00CD1C79"/>
    <w:rsid w:val="00CD1D7E"/>
    <w:rsid w:val="00CD1F44"/>
    <w:rsid w:val="00CD1F4D"/>
    <w:rsid w:val="00CD1F5B"/>
    <w:rsid w:val="00CD200D"/>
    <w:rsid w:val="00CD2015"/>
    <w:rsid w:val="00CD202B"/>
    <w:rsid w:val="00CD2067"/>
    <w:rsid w:val="00CD228C"/>
    <w:rsid w:val="00CD2323"/>
    <w:rsid w:val="00CD23E4"/>
    <w:rsid w:val="00CD2557"/>
    <w:rsid w:val="00CD26EA"/>
    <w:rsid w:val="00CD27BC"/>
    <w:rsid w:val="00CD288C"/>
    <w:rsid w:val="00CD2899"/>
    <w:rsid w:val="00CD2A4D"/>
    <w:rsid w:val="00CD2A5E"/>
    <w:rsid w:val="00CD2AD1"/>
    <w:rsid w:val="00CD2AD6"/>
    <w:rsid w:val="00CD2B15"/>
    <w:rsid w:val="00CD2B49"/>
    <w:rsid w:val="00CD2B57"/>
    <w:rsid w:val="00CD2B9A"/>
    <w:rsid w:val="00CD2C0E"/>
    <w:rsid w:val="00CD2C31"/>
    <w:rsid w:val="00CD2CB1"/>
    <w:rsid w:val="00CD2CB6"/>
    <w:rsid w:val="00CD2CEE"/>
    <w:rsid w:val="00CD2DA1"/>
    <w:rsid w:val="00CD2F70"/>
    <w:rsid w:val="00CD3118"/>
    <w:rsid w:val="00CD313A"/>
    <w:rsid w:val="00CD3166"/>
    <w:rsid w:val="00CD31D7"/>
    <w:rsid w:val="00CD324D"/>
    <w:rsid w:val="00CD334F"/>
    <w:rsid w:val="00CD33F9"/>
    <w:rsid w:val="00CD34C1"/>
    <w:rsid w:val="00CD34E2"/>
    <w:rsid w:val="00CD35D5"/>
    <w:rsid w:val="00CD35E3"/>
    <w:rsid w:val="00CD3640"/>
    <w:rsid w:val="00CD3656"/>
    <w:rsid w:val="00CD3739"/>
    <w:rsid w:val="00CD377F"/>
    <w:rsid w:val="00CD37C7"/>
    <w:rsid w:val="00CD381F"/>
    <w:rsid w:val="00CD3839"/>
    <w:rsid w:val="00CD38D7"/>
    <w:rsid w:val="00CD3945"/>
    <w:rsid w:val="00CD3991"/>
    <w:rsid w:val="00CD39F3"/>
    <w:rsid w:val="00CD3A3C"/>
    <w:rsid w:val="00CD3A77"/>
    <w:rsid w:val="00CD3A7C"/>
    <w:rsid w:val="00CD3B0A"/>
    <w:rsid w:val="00CD3C44"/>
    <w:rsid w:val="00CD3CDC"/>
    <w:rsid w:val="00CD3D6B"/>
    <w:rsid w:val="00CD3D6F"/>
    <w:rsid w:val="00CD3E14"/>
    <w:rsid w:val="00CD3E63"/>
    <w:rsid w:val="00CD3E73"/>
    <w:rsid w:val="00CD4031"/>
    <w:rsid w:val="00CD40F3"/>
    <w:rsid w:val="00CD41A6"/>
    <w:rsid w:val="00CD41C5"/>
    <w:rsid w:val="00CD42F4"/>
    <w:rsid w:val="00CD434C"/>
    <w:rsid w:val="00CD440A"/>
    <w:rsid w:val="00CD4477"/>
    <w:rsid w:val="00CD448A"/>
    <w:rsid w:val="00CD44A5"/>
    <w:rsid w:val="00CD44B0"/>
    <w:rsid w:val="00CD44DA"/>
    <w:rsid w:val="00CD44F0"/>
    <w:rsid w:val="00CD450A"/>
    <w:rsid w:val="00CD45A2"/>
    <w:rsid w:val="00CD466D"/>
    <w:rsid w:val="00CD4688"/>
    <w:rsid w:val="00CD46C2"/>
    <w:rsid w:val="00CD46EC"/>
    <w:rsid w:val="00CD4730"/>
    <w:rsid w:val="00CD4798"/>
    <w:rsid w:val="00CD4806"/>
    <w:rsid w:val="00CD482B"/>
    <w:rsid w:val="00CD4838"/>
    <w:rsid w:val="00CD4843"/>
    <w:rsid w:val="00CD48A0"/>
    <w:rsid w:val="00CD48CC"/>
    <w:rsid w:val="00CD48DC"/>
    <w:rsid w:val="00CD49E0"/>
    <w:rsid w:val="00CD4C09"/>
    <w:rsid w:val="00CD4E57"/>
    <w:rsid w:val="00CD4E6C"/>
    <w:rsid w:val="00CD4E88"/>
    <w:rsid w:val="00CD4E99"/>
    <w:rsid w:val="00CD4F62"/>
    <w:rsid w:val="00CD4FCA"/>
    <w:rsid w:val="00CD500F"/>
    <w:rsid w:val="00CD50A7"/>
    <w:rsid w:val="00CD50F0"/>
    <w:rsid w:val="00CD512B"/>
    <w:rsid w:val="00CD517F"/>
    <w:rsid w:val="00CD51E4"/>
    <w:rsid w:val="00CD5200"/>
    <w:rsid w:val="00CD52BF"/>
    <w:rsid w:val="00CD52E1"/>
    <w:rsid w:val="00CD536F"/>
    <w:rsid w:val="00CD5396"/>
    <w:rsid w:val="00CD5414"/>
    <w:rsid w:val="00CD5475"/>
    <w:rsid w:val="00CD5506"/>
    <w:rsid w:val="00CD556F"/>
    <w:rsid w:val="00CD55CA"/>
    <w:rsid w:val="00CD565B"/>
    <w:rsid w:val="00CD5662"/>
    <w:rsid w:val="00CD566A"/>
    <w:rsid w:val="00CD56F5"/>
    <w:rsid w:val="00CD589E"/>
    <w:rsid w:val="00CD592D"/>
    <w:rsid w:val="00CD5990"/>
    <w:rsid w:val="00CD5A08"/>
    <w:rsid w:val="00CD5A0E"/>
    <w:rsid w:val="00CD5A14"/>
    <w:rsid w:val="00CD5AC6"/>
    <w:rsid w:val="00CD5AC8"/>
    <w:rsid w:val="00CD5AFB"/>
    <w:rsid w:val="00CD5B81"/>
    <w:rsid w:val="00CD5BB4"/>
    <w:rsid w:val="00CD5BFC"/>
    <w:rsid w:val="00CD5C8A"/>
    <w:rsid w:val="00CD5CED"/>
    <w:rsid w:val="00CD5D69"/>
    <w:rsid w:val="00CD5E46"/>
    <w:rsid w:val="00CD5E54"/>
    <w:rsid w:val="00CD5EEA"/>
    <w:rsid w:val="00CD6015"/>
    <w:rsid w:val="00CD6031"/>
    <w:rsid w:val="00CD605F"/>
    <w:rsid w:val="00CD6097"/>
    <w:rsid w:val="00CD6127"/>
    <w:rsid w:val="00CD6131"/>
    <w:rsid w:val="00CD6159"/>
    <w:rsid w:val="00CD61FB"/>
    <w:rsid w:val="00CD6238"/>
    <w:rsid w:val="00CD633E"/>
    <w:rsid w:val="00CD63C1"/>
    <w:rsid w:val="00CD6451"/>
    <w:rsid w:val="00CD6453"/>
    <w:rsid w:val="00CD64EE"/>
    <w:rsid w:val="00CD6549"/>
    <w:rsid w:val="00CD654B"/>
    <w:rsid w:val="00CD663F"/>
    <w:rsid w:val="00CD667A"/>
    <w:rsid w:val="00CD6695"/>
    <w:rsid w:val="00CD66A1"/>
    <w:rsid w:val="00CD66DE"/>
    <w:rsid w:val="00CD692A"/>
    <w:rsid w:val="00CD695A"/>
    <w:rsid w:val="00CD6B27"/>
    <w:rsid w:val="00CD6B62"/>
    <w:rsid w:val="00CD6B93"/>
    <w:rsid w:val="00CD6BBF"/>
    <w:rsid w:val="00CD6BC3"/>
    <w:rsid w:val="00CD6DA2"/>
    <w:rsid w:val="00CD6DFF"/>
    <w:rsid w:val="00CD6E1D"/>
    <w:rsid w:val="00CD6E48"/>
    <w:rsid w:val="00CD6ECA"/>
    <w:rsid w:val="00CD6FAC"/>
    <w:rsid w:val="00CD7049"/>
    <w:rsid w:val="00CD7073"/>
    <w:rsid w:val="00CD70C6"/>
    <w:rsid w:val="00CD70C7"/>
    <w:rsid w:val="00CD7134"/>
    <w:rsid w:val="00CD7159"/>
    <w:rsid w:val="00CD7186"/>
    <w:rsid w:val="00CD71A8"/>
    <w:rsid w:val="00CD71B7"/>
    <w:rsid w:val="00CD728C"/>
    <w:rsid w:val="00CD7397"/>
    <w:rsid w:val="00CD73B5"/>
    <w:rsid w:val="00CD7438"/>
    <w:rsid w:val="00CD74A3"/>
    <w:rsid w:val="00CD74A8"/>
    <w:rsid w:val="00CD7502"/>
    <w:rsid w:val="00CD76CE"/>
    <w:rsid w:val="00CD772D"/>
    <w:rsid w:val="00CD7783"/>
    <w:rsid w:val="00CD77C9"/>
    <w:rsid w:val="00CD77CE"/>
    <w:rsid w:val="00CD7834"/>
    <w:rsid w:val="00CD7934"/>
    <w:rsid w:val="00CD79DB"/>
    <w:rsid w:val="00CD7A50"/>
    <w:rsid w:val="00CD7A55"/>
    <w:rsid w:val="00CD7A71"/>
    <w:rsid w:val="00CD7A74"/>
    <w:rsid w:val="00CD7B08"/>
    <w:rsid w:val="00CD7B1B"/>
    <w:rsid w:val="00CD7B33"/>
    <w:rsid w:val="00CD7C77"/>
    <w:rsid w:val="00CD7D3C"/>
    <w:rsid w:val="00CD7D68"/>
    <w:rsid w:val="00CE0017"/>
    <w:rsid w:val="00CE002E"/>
    <w:rsid w:val="00CE00AC"/>
    <w:rsid w:val="00CE019E"/>
    <w:rsid w:val="00CE025C"/>
    <w:rsid w:val="00CE0297"/>
    <w:rsid w:val="00CE0305"/>
    <w:rsid w:val="00CE0443"/>
    <w:rsid w:val="00CE0456"/>
    <w:rsid w:val="00CE04D7"/>
    <w:rsid w:val="00CE0543"/>
    <w:rsid w:val="00CE0626"/>
    <w:rsid w:val="00CE06A8"/>
    <w:rsid w:val="00CE06B0"/>
    <w:rsid w:val="00CE06B1"/>
    <w:rsid w:val="00CE0753"/>
    <w:rsid w:val="00CE0853"/>
    <w:rsid w:val="00CE0868"/>
    <w:rsid w:val="00CE086E"/>
    <w:rsid w:val="00CE0881"/>
    <w:rsid w:val="00CE08B3"/>
    <w:rsid w:val="00CE0952"/>
    <w:rsid w:val="00CE0A46"/>
    <w:rsid w:val="00CE0B45"/>
    <w:rsid w:val="00CE0B94"/>
    <w:rsid w:val="00CE0C6D"/>
    <w:rsid w:val="00CE0CD4"/>
    <w:rsid w:val="00CE0DB7"/>
    <w:rsid w:val="00CE0E79"/>
    <w:rsid w:val="00CE0F70"/>
    <w:rsid w:val="00CE0F75"/>
    <w:rsid w:val="00CE0FD9"/>
    <w:rsid w:val="00CE0FDC"/>
    <w:rsid w:val="00CE10D4"/>
    <w:rsid w:val="00CE1122"/>
    <w:rsid w:val="00CE1175"/>
    <w:rsid w:val="00CE11AB"/>
    <w:rsid w:val="00CE11C4"/>
    <w:rsid w:val="00CE121D"/>
    <w:rsid w:val="00CE1242"/>
    <w:rsid w:val="00CE125B"/>
    <w:rsid w:val="00CE128A"/>
    <w:rsid w:val="00CE12DD"/>
    <w:rsid w:val="00CE1441"/>
    <w:rsid w:val="00CE1451"/>
    <w:rsid w:val="00CE145B"/>
    <w:rsid w:val="00CE14B7"/>
    <w:rsid w:val="00CE163D"/>
    <w:rsid w:val="00CE170E"/>
    <w:rsid w:val="00CE17CC"/>
    <w:rsid w:val="00CE184C"/>
    <w:rsid w:val="00CE18B6"/>
    <w:rsid w:val="00CE190C"/>
    <w:rsid w:val="00CE1945"/>
    <w:rsid w:val="00CE1984"/>
    <w:rsid w:val="00CE19DC"/>
    <w:rsid w:val="00CE1A43"/>
    <w:rsid w:val="00CE1A9D"/>
    <w:rsid w:val="00CE1AA9"/>
    <w:rsid w:val="00CE1B92"/>
    <w:rsid w:val="00CE1C05"/>
    <w:rsid w:val="00CE1C1A"/>
    <w:rsid w:val="00CE1C8A"/>
    <w:rsid w:val="00CE1D00"/>
    <w:rsid w:val="00CE1D45"/>
    <w:rsid w:val="00CE1D6C"/>
    <w:rsid w:val="00CE1D88"/>
    <w:rsid w:val="00CE1DC3"/>
    <w:rsid w:val="00CE1E0B"/>
    <w:rsid w:val="00CE1F64"/>
    <w:rsid w:val="00CE1FBD"/>
    <w:rsid w:val="00CE204A"/>
    <w:rsid w:val="00CE2069"/>
    <w:rsid w:val="00CE2134"/>
    <w:rsid w:val="00CE219B"/>
    <w:rsid w:val="00CE21E1"/>
    <w:rsid w:val="00CE223E"/>
    <w:rsid w:val="00CE22C2"/>
    <w:rsid w:val="00CE2351"/>
    <w:rsid w:val="00CE23BF"/>
    <w:rsid w:val="00CE23E1"/>
    <w:rsid w:val="00CE23E6"/>
    <w:rsid w:val="00CE23EE"/>
    <w:rsid w:val="00CE240D"/>
    <w:rsid w:val="00CE2485"/>
    <w:rsid w:val="00CE2506"/>
    <w:rsid w:val="00CE2616"/>
    <w:rsid w:val="00CE2662"/>
    <w:rsid w:val="00CE2676"/>
    <w:rsid w:val="00CE26BC"/>
    <w:rsid w:val="00CE2813"/>
    <w:rsid w:val="00CE28BC"/>
    <w:rsid w:val="00CE28C4"/>
    <w:rsid w:val="00CE2937"/>
    <w:rsid w:val="00CE299E"/>
    <w:rsid w:val="00CE29BC"/>
    <w:rsid w:val="00CE2B26"/>
    <w:rsid w:val="00CE2B71"/>
    <w:rsid w:val="00CE2B7D"/>
    <w:rsid w:val="00CE2BB6"/>
    <w:rsid w:val="00CE2C2E"/>
    <w:rsid w:val="00CE2C97"/>
    <w:rsid w:val="00CE2D31"/>
    <w:rsid w:val="00CE2D38"/>
    <w:rsid w:val="00CE2D80"/>
    <w:rsid w:val="00CE2E00"/>
    <w:rsid w:val="00CE2E58"/>
    <w:rsid w:val="00CE2E5F"/>
    <w:rsid w:val="00CE2E7C"/>
    <w:rsid w:val="00CE2E84"/>
    <w:rsid w:val="00CE2F0A"/>
    <w:rsid w:val="00CE2F30"/>
    <w:rsid w:val="00CE2FC8"/>
    <w:rsid w:val="00CE2FEB"/>
    <w:rsid w:val="00CE2FF4"/>
    <w:rsid w:val="00CE3016"/>
    <w:rsid w:val="00CE304E"/>
    <w:rsid w:val="00CE3080"/>
    <w:rsid w:val="00CE3088"/>
    <w:rsid w:val="00CE30AF"/>
    <w:rsid w:val="00CE30BC"/>
    <w:rsid w:val="00CE310C"/>
    <w:rsid w:val="00CE3215"/>
    <w:rsid w:val="00CE3285"/>
    <w:rsid w:val="00CE32A1"/>
    <w:rsid w:val="00CE32A6"/>
    <w:rsid w:val="00CE33B4"/>
    <w:rsid w:val="00CE3424"/>
    <w:rsid w:val="00CE3464"/>
    <w:rsid w:val="00CE35C2"/>
    <w:rsid w:val="00CE3646"/>
    <w:rsid w:val="00CE368D"/>
    <w:rsid w:val="00CE36D9"/>
    <w:rsid w:val="00CE371A"/>
    <w:rsid w:val="00CE38D1"/>
    <w:rsid w:val="00CE39E3"/>
    <w:rsid w:val="00CE3B28"/>
    <w:rsid w:val="00CE3B81"/>
    <w:rsid w:val="00CE3BD4"/>
    <w:rsid w:val="00CE3BF2"/>
    <w:rsid w:val="00CE3BFA"/>
    <w:rsid w:val="00CE3CD7"/>
    <w:rsid w:val="00CE3DAD"/>
    <w:rsid w:val="00CE3DE9"/>
    <w:rsid w:val="00CE3E7D"/>
    <w:rsid w:val="00CE3E9D"/>
    <w:rsid w:val="00CE3EF2"/>
    <w:rsid w:val="00CE3F02"/>
    <w:rsid w:val="00CE3F14"/>
    <w:rsid w:val="00CE3F40"/>
    <w:rsid w:val="00CE3FA2"/>
    <w:rsid w:val="00CE4144"/>
    <w:rsid w:val="00CE4145"/>
    <w:rsid w:val="00CE417D"/>
    <w:rsid w:val="00CE41A9"/>
    <w:rsid w:val="00CE4283"/>
    <w:rsid w:val="00CE42CD"/>
    <w:rsid w:val="00CE4309"/>
    <w:rsid w:val="00CE443C"/>
    <w:rsid w:val="00CE4446"/>
    <w:rsid w:val="00CE447D"/>
    <w:rsid w:val="00CE459F"/>
    <w:rsid w:val="00CE4615"/>
    <w:rsid w:val="00CE4776"/>
    <w:rsid w:val="00CE47DD"/>
    <w:rsid w:val="00CE4855"/>
    <w:rsid w:val="00CE495C"/>
    <w:rsid w:val="00CE4994"/>
    <w:rsid w:val="00CE4A4F"/>
    <w:rsid w:val="00CE4A75"/>
    <w:rsid w:val="00CE4B4D"/>
    <w:rsid w:val="00CE4C26"/>
    <w:rsid w:val="00CE4C28"/>
    <w:rsid w:val="00CE4C70"/>
    <w:rsid w:val="00CE4CB1"/>
    <w:rsid w:val="00CE4D1F"/>
    <w:rsid w:val="00CE4D27"/>
    <w:rsid w:val="00CE4D65"/>
    <w:rsid w:val="00CE4E79"/>
    <w:rsid w:val="00CE4F57"/>
    <w:rsid w:val="00CE5052"/>
    <w:rsid w:val="00CE5099"/>
    <w:rsid w:val="00CE50CC"/>
    <w:rsid w:val="00CE50FE"/>
    <w:rsid w:val="00CE5211"/>
    <w:rsid w:val="00CE5298"/>
    <w:rsid w:val="00CE52DF"/>
    <w:rsid w:val="00CE52E0"/>
    <w:rsid w:val="00CE52E8"/>
    <w:rsid w:val="00CE539F"/>
    <w:rsid w:val="00CE53FA"/>
    <w:rsid w:val="00CE5474"/>
    <w:rsid w:val="00CE54FD"/>
    <w:rsid w:val="00CE5652"/>
    <w:rsid w:val="00CE5699"/>
    <w:rsid w:val="00CE571D"/>
    <w:rsid w:val="00CE584C"/>
    <w:rsid w:val="00CE58DE"/>
    <w:rsid w:val="00CE5973"/>
    <w:rsid w:val="00CE59C7"/>
    <w:rsid w:val="00CE5A4A"/>
    <w:rsid w:val="00CE5AB4"/>
    <w:rsid w:val="00CE5AFE"/>
    <w:rsid w:val="00CE5B02"/>
    <w:rsid w:val="00CE5BE1"/>
    <w:rsid w:val="00CE5C1B"/>
    <w:rsid w:val="00CE5D82"/>
    <w:rsid w:val="00CE5D8B"/>
    <w:rsid w:val="00CE5DCB"/>
    <w:rsid w:val="00CE5DDD"/>
    <w:rsid w:val="00CE5E0F"/>
    <w:rsid w:val="00CE5E6A"/>
    <w:rsid w:val="00CE5F12"/>
    <w:rsid w:val="00CE6055"/>
    <w:rsid w:val="00CE60C1"/>
    <w:rsid w:val="00CE6125"/>
    <w:rsid w:val="00CE6139"/>
    <w:rsid w:val="00CE6152"/>
    <w:rsid w:val="00CE61BD"/>
    <w:rsid w:val="00CE6270"/>
    <w:rsid w:val="00CE6434"/>
    <w:rsid w:val="00CE6441"/>
    <w:rsid w:val="00CE648C"/>
    <w:rsid w:val="00CE6549"/>
    <w:rsid w:val="00CE65D6"/>
    <w:rsid w:val="00CE66A6"/>
    <w:rsid w:val="00CE6706"/>
    <w:rsid w:val="00CE685D"/>
    <w:rsid w:val="00CE692C"/>
    <w:rsid w:val="00CE696B"/>
    <w:rsid w:val="00CE6997"/>
    <w:rsid w:val="00CE69B4"/>
    <w:rsid w:val="00CE6B01"/>
    <w:rsid w:val="00CE6B89"/>
    <w:rsid w:val="00CE6BD2"/>
    <w:rsid w:val="00CE6DC0"/>
    <w:rsid w:val="00CE6DC9"/>
    <w:rsid w:val="00CE6E5C"/>
    <w:rsid w:val="00CE6E6A"/>
    <w:rsid w:val="00CE6F4C"/>
    <w:rsid w:val="00CE6F68"/>
    <w:rsid w:val="00CE6FF0"/>
    <w:rsid w:val="00CE70B2"/>
    <w:rsid w:val="00CE71BE"/>
    <w:rsid w:val="00CE71EA"/>
    <w:rsid w:val="00CE72EF"/>
    <w:rsid w:val="00CE73A5"/>
    <w:rsid w:val="00CE7416"/>
    <w:rsid w:val="00CE7418"/>
    <w:rsid w:val="00CE7451"/>
    <w:rsid w:val="00CE74DB"/>
    <w:rsid w:val="00CE753E"/>
    <w:rsid w:val="00CE7586"/>
    <w:rsid w:val="00CE75BA"/>
    <w:rsid w:val="00CE7659"/>
    <w:rsid w:val="00CE767C"/>
    <w:rsid w:val="00CE7915"/>
    <w:rsid w:val="00CE7939"/>
    <w:rsid w:val="00CE7977"/>
    <w:rsid w:val="00CE7AA5"/>
    <w:rsid w:val="00CE7AB3"/>
    <w:rsid w:val="00CE7B18"/>
    <w:rsid w:val="00CE7BE5"/>
    <w:rsid w:val="00CE7D1D"/>
    <w:rsid w:val="00CE7D24"/>
    <w:rsid w:val="00CE7DE8"/>
    <w:rsid w:val="00CE7DFD"/>
    <w:rsid w:val="00CE7E84"/>
    <w:rsid w:val="00CE7EBA"/>
    <w:rsid w:val="00CE7F1D"/>
    <w:rsid w:val="00CE7F2A"/>
    <w:rsid w:val="00CE7FC4"/>
    <w:rsid w:val="00CF0026"/>
    <w:rsid w:val="00CF0061"/>
    <w:rsid w:val="00CF00C4"/>
    <w:rsid w:val="00CF0226"/>
    <w:rsid w:val="00CF027D"/>
    <w:rsid w:val="00CF027E"/>
    <w:rsid w:val="00CF02A1"/>
    <w:rsid w:val="00CF0342"/>
    <w:rsid w:val="00CF037F"/>
    <w:rsid w:val="00CF0380"/>
    <w:rsid w:val="00CF0389"/>
    <w:rsid w:val="00CF0406"/>
    <w:rsid w:val="00CF0429"/>
    <w:rsid w:val="00CF0495"/>
    <w:rsid w:val="00CF04AA"/>
    <w:rsid w:val="00CF050B"/>
    <w:rsid w:val="00CF0581"/>
    <w:rsid w:val="00CF05CE"/>
    <w:rsid w:val="00CF05FA"/>
    <w:rsid w:val="00CF0677"/>
    <w:rsid w:val="00CF079F"/>
    <w:rsid w:val="00CF07FB"/>
    <w:rsid w:val="00CF07FC"/>
    <w:rsid w:val="00CF0809"/>
    <w:rsid w:val="00CF085F"/>
    <w:rsid w:val="00CF086D"/>
    <w:rsid w:val="00CF0880"/>
    <w:rsid w:val="00CF0916"/>
    <w:rsid w:val="00CF09C2"/>
    <w:rsid w:val="00CF0A66"/>
    <w:rsid w:val="00CF0A7F"/>
    <w:rsid w:val="00CF0B04"/>
    <w:rsid w:val="00CF0B26"/>
    <w:rsid w:val="00CF0B4A"/>
    <w:rsid w:val="00CF0B7A"/>
    <w:rsid w:val="00CF0BF6"/>
    <w:rsid w:val="00CF0C56"/>
    <w:rsid w:val="00CF0CA1"/>
    <w:rsid w:val="00CF0CAD"/>
    <w:rsid w:val="00CF0CB6"/>
    <w:rsid w:val="00CF0CCA"/>
    <w:rsid w:val="00CF0D5C"/>
    <w:rsid w:val="00CF0E05"/>
    <w:rsid w:val="00CF0E15"/>
    <w:rsid w:val="00CF0EFB"/>
    <w:rsid w:val="00CF1178"/>
    <w:rsid w:val="00CF124B"/>
    <w:rsid w:val="00CF1299"/>
    <w:rsid w:val="00CF12C0"/>
    <w:rsid w:val="00CF12DF"/>
    <w:rsid w:val="00CF1375"/>
    <w:rsid w:val="00CF13C1"/>
    <w:rsid w:val="00CF1425"/>
    <w:rsid w:val="00CF1444"/>
    <w:rsid w:val="00CF149E"/>
    <w:rsid w:val="00CF1560"/>
    <w:rsid w:val="00CF156C"/>
    <w:rsid w:val="00CF1605"/>
    <w:rsid w:val="00CF1659"/>
    <w:rsid w:val="00CF16EF"/>
    <w:rsid w:val="00CF19C8"/>
    <w:rsid w:val="00CF19E9"/>
    <w:rsid w:val="00CF1A21"/>
    <w:rsid w:val="00CF1A69"/>
    <w:rsid w:val="00CF1A9D"/>
    <w:rsid w:val="00CF1B4D"/>
    <w:rsid w:val="00CF1C42"/>
    <w:rsid w:val="00CF1C4F"/>
    <w:rsid w:val="00CF1C5C"/>
    <w:rsid w:val="00CF1D7A"/>
    <w:rsid w:val="00CF1DC9"/>
    <w:rsid w:val="00CF1DD9"/>
    <w:rsid w:val="00CF1E00"/>
    <w:rsid w:val="00CF1E2F"/>
    <w:rsid w:val="00CF1E5F"/>
    <w:rsid w:val="00CF1F15"/>
    <w:rsid w:val="00CF1FAB"/>
    <w:rsid w:val="00CF1FF4"/>
    <w:rsid w:val="00CF203D"/>
    <w:rsid w:val="00CF2066"/>
    <w:rsid w:val="00CF2093"/>
    <w:rsid w:val="00CF20B8"/>
    <w:rsid w:val="00CF20C4"/>
    <w:rsid w:val="00CF214C"/>
    <w:rsid w:val="00CF21D6"/>
    <w:rsid w:val="00CF2269"/>
    <w:rsid w:val="00CF2381"/>
    <w:rsid w:val="00CF25F9"/>
    <w:rsid w:val="00CF25FA"/>
    <w:rsid w:val="00CF262C"/>
    <w:rsid w:val="00CF2664"/>
    <w:rsid w:val="00CF271D"/>
    <w:rsid w:val="00CF27AD"/>
    <w:rsid w:val="00CF27AE"/>
    <w:rsid w:val="00CF27C7"/>
    <w:rsid w:val="00CF2830"/>
    <w:rsid w:val="00CF28DB"/>
    <w:rsid w:val="00CF2965"/>
    <w:rsid w:val="00CF297E"/>
    <w:rsid w:val="00CF2999"/>
    <w:rsid w:val="00CF29B3"/>
    <w:rsid w:val="00CF29BE"/>
    <w:rsid w:val="00CF2A2A"/>
    <w:rsid w:val="00CF2A4E"/>
    <w:rsid w:val="00CF2A9B"/>
    <w:rsid w:val="00CF2A9E"/>
    <w:rsid w:val="00CF2AA0"/>
    <w:rsid w:val="00CF2B56"/>
    <w:rsid w:val="00CF2BD9"/>
    <w:rsid w:val="00CF2BF1"/>
    <w:rsid w:val="00CF2BF2"/>
    <w:rsid w:val="00CF2C68"/>
    <w:rsid w:val="00CF2CDA"/>
    <w:rsid w:val="00CF2D29"/>
    <w:rsid w:val="00CF2D5E"/>
    <w:rsid w:val="00CF2E09"/>
    <w:rsid w:val="00CF2E12"/>
    <w:rsid w:val="00CF2E46"/>
    <w:rsid w:val="00CF2E48"/>
    <w:rsid w:val="00CF3113"/>
    <w:rsid w:val="00CF31C4"/>
    <w:rsid w:val="00CF31CD"/>
    <w:rsid w:val="00CF3278"/>
    <w:rsid w:val="00CF3287"/>
    <w:rsid w:val="00CF3297"/>
    <w:rsid w:val="00CF32B8"/>
    <w:rsid w:val="00CF32DB"/>
    <w:rsid w:val="00CF3307"/>
    <w:rsid w:val="00CF33D5"/>
    <w:rsid w:val="00CF342B"/>
    <w:rsid w:val="00CF34AE"/>
    <w:rsid w:val="00CF350F"/>
    <w:rsid w:val="00CF3536"/>
    <w:rsid w:val="00CF3597"/>
    <w:rsid w:val="00CF35C9"/>
    <w:rsid w:val="00CF3615"/>
    <w:rsid w:val="00CF37D8"/>
    <w:rsid w:val="00CF38B6"/>
    <w:rsid w:val="00CF39F5"/>
    <w:rsid w:val="00CF3A52"/>
    <w:rsid w:val="00CF3A5F"/>
    <w:rsid w:val="00CF3A87"/>
    <w:rsid w:val="00CF3A97"/>
    <w:rsid w:val="00CF3BEC"/>
    <w:rsid w:val="00CF3C76"/>
    <w:rsid w:val="00CF3D43"/>
    <w:rsid w:val="00CF3DCE"/>
    <w:rsid w:val="00CF3DD6"/>
    <w:rsid w:val="00CF3E81"/>
    <w:rsid w:val="00CF3EBE"/>
    <w:rsid w:val="00CF3ED5"/>
    <w:rsid w:val="00CF3F0D"/>
    <w:rsid w:val="00CF3FA0"/>
    <w:rsid w:val="00CF3FFA"/>
    <w:rsid w:val="00CF4028"/>
    <w:rsid w:val="00CF40AF"/>
    <w:rsid w:val="00CF40D5"/>
    <w:rsid w:val="00CF4202"/>
    <w:rsid w:val="00CF428C"/>
    <w:rsid w:val="00CF4294"/>
    <w:rsid w:val="00CF42DB"/>
    <w:rsid w:val="00CF42F3"/>
    <w:rsid w:val="00CF434C"/>
    <w:rsid w:val="00CF439F"/>
    <w:rsid w:val="00CF43F7"/>
    <w:rsid w:val="00CF4437"/>
    <w:rsid w:val="00CF4440"/>
    <w:rsid w:val="00CF4504"/>
    <w:rsid w:val="00CF450B"/>
    <w:rsid w:val="00CF45BC"/>
    <w:rsid w:val="00CF46F2"/>
    <w:rsid w:val="00CF4789"/>
    <w:rsid w:val="00CF486A"/>
    <w:rsid w:val="00CF48C0"/>
    <w:rsid w:val="00CF48E9"/>
    <w:rsid w:val="00CF4921"/>
    <w:rsid w:val="00CF4BF8"/>
    <w:rsid w:val="00CF4C73"/>
    <w:rsid w:val="00CF4D98"/>
    <w:rsid w:val="00CF4E33"/>
    <w:rsid w:val="00CF4F4B"/>
    <w:rsid w:val="00CF505E"/>
    <w:rsid w:val="00CF5251"/>
    <w:rsid w:val="00CF527C"/>
    <w:rsid w:val="00CF5356"/>
    <w:rsid w:val="00CF5363"/>
    <w:rsid w:val="00CF5405"/>
    <w:rsid w:val="00CF5432"/>
    <w:rsid w:val="00CF54E2"/>
    <w:rsid w:val="00CF5548"/>
    <w:rsid w:val="00CF55D3"/>
    <w:rsid w:val="00CF55FC"/>
    <w:rsid w:val="00CF5695"/>
    <w:rsid w:val="00CF571B"/>
    <w:rsid w:val="00CF57C1"/>
    <w:rsid w:val="00CF57E8"/>
    <w:rsid w:val="00CF5B3D"/>
    <w:rsid w:val="00CF5E3B"/>
    <w:rsid w:val="00CF5F97"/>
    <w:rsid w:val="00CF5FBA"/>
    <w:rsid w:val="00CF5FCA"/>
    <w:rsid w:val="00CF603F"/>
    <w:rsid w:val="00CF6172"/>
    <w:rsid w:val="00CF61A2"/>
    <w:rsid w:val="00CF6296"/>
    <w:rsid w:val="00CF6377"/>
    <w:rsid w:val="00CF63D0"/>
    <w:rsid w:val="00CF63ED"/>
    <w:rsid w:val="00CF6497"/>
    <w:rsid w:val="00CF64E8"/>
    <w:rsid w:val="00CF65FC"/>
    <w:rsid w:val="00CF6737"/>
    <w:rsid w:val="00CF6805"/>
    <w:rsid w:val="00CF6830"/>
    <w:rsid w:val="00CF6902"/>
    <w:rsid w:val="00CF690A"/>
    <w:rsid w:val="00CF692E"/>
    <w:rsid w:val="00CF69B4"/>
    <w:rsid w:val="00CF69E7"/>
    <w:rsid w:val="00CF6A99"/>
    <w:rsid w:val="00CF6A9E"/>
    <w:rsid w:val="00CF6ACB"/>
    <w:rsid w:val="00CF6B28"/>
    <w:rsid w:val="00CF6DF3"/>
    <w:rsid w:val="00CF6E55"/>
    <w:rsid w:val="00CF6E87"/>
    <w:rsid w:val="00CF6EBD"/>
    <w:rsid w:val="00CF6ED0"/>
    <w:rsid w:val="00CF708D"/>
    <w:rsid w:val="00CF7111"/>
    <w:rsid w:val="00CF7112"/>
    <w:rsid w:val="00CF7137"/>
    <w:rsid w:val="00CF71B3"/>
    <w:rsid w:val="00CF7298"/>
    <w:rsid w:val="00CF72B4"/>
    <w:rsid w:val="00CF72CE"/>
    <w:rsid w:val="00CF740E"/>
    <w:rsid w:val="00CF7509"/>
    <w:rsid w:val="00CF758C"/>
    <w:rsid w:val="00CF775E"/>
    <w:rsid w:val="00CF77A6"/>
    <w:rsid w:val="00CF7876"/>
    <w:rsid w:val="00CF7899"/>
    <w:rsid w:val="00CF78B7"/>
    <w:rsid w:val="00CF78D8"/>
    <w:rsid w:val="00CF78FE"/>
    <w:rsid w:val="00CF7B10"/>
    <w:rsid w:val="00CF7B85"/>
    <w:rsid w:val="00CF7B8F"/>
    <w:rsid w:val="00CF7B9C"/>
    <w:rsid w:val="00CF7C10"/>
    <w:rsid w:val="00CF7C7F"/>
    <w:rsid w:val="00CF7D13"/>
    <w:rsid w:val="00CF7D1F"/>
    <w:rsid w:val="00CF7D2C"/>
    <w:rsid w:val="00CF7D75"/>
    <w:rsid w:val="00CF7D88"/>
    <w:rsid w:val="00CF7E3F"/>
    <w:rsid w:val="00CF7E47"/>
    <w:rsid w:val="00CF7FDA"/>
    <w:rsid w:val="00D000CE"/>
    <w:rsid w:val="00D00185"/>
    <w:rsid w:val="00D001D2"/>
    <w:rsid w:val="00D001E9"/>
    <w:rsid w:val="00D00257"/>
    <w:rsid w:val="00D003B7"/>
    <w:rsid w:val="00D003DE"/>
    <w:rsid w:val="00D003E2"/>
    <w:rsid w:val="00D0051B"/>
    <w:rsid w:val="00D00546"/>
    <w:rsid w:val="00D005D1"/>
    <w:rsid w:val="00D005F7"/>
    <w:rsid w:val="00D00628"/>
    <w:rsid w:val="00D0078B"/>
    <w:rsid w:val="00D0080D"/>
    <w:rsid w:val="00D00825"/>
    <w:rsid w:val="00D00948"/>
    <w:rsid w:val="00D009D6"/>
    <w:rsid w:val="00D009DB"/>
    <w:rsid w:val="00D00A8E"/>
    <w:rsid w:val="00D00B2D"/>
    <w:rsid w:val="00D00BAA"/>
    <w:rsid w:val="00D00C6C"/>
    <w:rsid w:val="00D00D0F"/>
    <w:rsid w:val="00D00DC8"/>
    <w:rsid w:val="00D00F11"/>
    <w:rsid w:val="00D01087"/>
    <w:rsid w:val="00D0109E"/>
    <w:rsid w:val="00D01135"/>
    <w:rsid w:val="00D01155"/>
    <w:rsid w:val="00D01172"/>
    <w:rsid w:val="00D01209"/>
    <w:rsid w:val="00D013B3"/>
    <w:rsid w:val="00D01517"/>
    <w:rsid w:val="00D01531"/>
    <w:rsid w:val="00D015AA"/>
    <w:rsid w:val="00D015E8"/>
    <w:rsid w:val="00D01643"/>
    <w:rsid w:val="00D01692"/>
    <w:rsid w:val="00D0175B"/>
    <w:rsid w:val="00D017AD"/>
    <w:rsid w:val="00D017D9"/>
    <w:rsid w:val="00D019B1"/>
    <w:rsid w:val="00D019F4"/>
    <w:rsid w:val="00D01A2F"/>
    <w:rsid w:val="00D01B68"/>
    <w:rsid w:val="00D01BC7"/>
    <w:rsid w:val="00D01CE4"/>
    <w:rsid w:val="00D01D18"/>
    <w:rsid w:val="00D01D1B"/>
    <w:rsid w:val="00D01D22"/>
    <w:rsid w:val="00D01E8B"/>
    <w:rsid w:val="00D01E93"/>
    <w:rsid w:val="00D01EDE"/>
    <w:rsid w:val="00D01EE6"/>
    <w:rsid w:val="00D01F0A"/>
    <w:rsid w:val="00D01F1C"/>
    <w:rsid w:val="00D01F86"/>
    <w:rsid w:val="00D020C5"/>
    <w:rsid w:val="00D0211C"/>
    <w:rsid w:val="00D0228D"/>
    <w:rsid w:val="00D0236E"/>
    <w:rsid w:val="00D0241C"/>
    <w:rsid w:val="00D0243C"/>
    <w:rsid w:val="00D02457"/>
    <w:rsid w:val="00D02516"/>
    <w:rsid w:val="00D02619"/>
    <w:rsid w:val="00D0269B"/>
    <w:rsid w:val="00D0281E"/>
    <w:rsid w:val="00D0283B"/>
    <w:rsid w:val="00D028AB"/>
    <w:rsid w:val="00D028CA"/>
    <w:rsid w:val="00D0290E"/>
    <w:rsid w:val="00D02982"/>
    <w:rsid w:val="00D029AB"/>
    <w:rsid w:val="00D029BD"/>
    <w:rsid w:val="00D02A4E"/>
    <w:rsid w:val="00D02A5E"/>
    <w:rsid w:val="00D02A9E"/>
    <w:rsid w:val="00D02CCF"/>
    <w:rsid w:val="00D02CD9"/>
    <w:rsid w:val="00D02D1C"/>
    <w:rsid w:val="00D02D1D"/>
    <w:rsid w:val="00D02DD6"/>
    <w:rsid w:val="00D02E42"/>
    <w:rsid w:val="00D02EFA"/>
    <w:rsid w:val="00D02F26"/>
    <w:rsid w:val="00D02FEA"/>
    <w:rsid w:val="00D03094"/>
    <w:rsid w:val="00D030A0"/>
    <w:rsid w:val="00D03112"/>
    <w:rsid w:val="00D031CA"/>
    <w:rsid w:val="00D031EC"/>
    <w:rsid w:val="00D03276"/>
    <w:rsid w:val="00D032B3"/>
    <w:rsid w:val="00D03371"/>
    <w:rsid w:val="00D033D1"/>
    <w:rsid w:val="00D034BA"/>
    <w:rsid w:val="00D03599"/>
    <w:rsid w:val="00D03655"/>
    <w:rsid w:val="00D0365C"/>
    <w:rsid w:val="00D03688"/>
    <w:rsid w:val="00D036F1"/>
    <w:rsid w:val="00D03789"/>
    <w:rsid w:val="00D03791"/>
    <w:rsid w:val="00D037A3"/>
    <w:rsid w:val="00D03948"/>
    <w:rsid w:val="00D03AA3"/>
    <w:rsid w:val="00D03AEA"/>
    <w:rsid w:val="00D03B9E"/>
    <w:rsid w:val="00D03BAD"/>
    <w:rsid w:val="00D03BC2"/>
    <w:rsid w:val="00D03C3C"/>
    <w:rsid w:val="00D03C4A"/>
    <w:rsid w:val="00D03C61"/>
    <w:rsid w:val="00D03CBD"/>
    <w:rsid w:val="00D03D41"/>
    <w:rsid w:val="00D03D50"/>
    <w:rsid w:val="00D03D98"/>
    <w:rsid w:val="00D03E6F"/>
    <w:rsid w:val="00D03E89"/>
    <w:rsid w:val="00D03F23"/>
    <w:rsid w:val="00D03F77"/>
    <w:rsid w:val="00D03FBA"/>
    <w:rsid w:val="00D04024"/>
    <w:rsid w:val="00D04052"/>
    <w:rsid w:val="00D04073"/>
    <w:rsid w:val="00D0410A"/>
    <w:rsid w:val="00D042F4"/>
    <w:rsid w:val="00D044A6"/>
    <w:rsid w:val="00D044C8"/>
    <w:rsid w:val="00D044EB"/>
    <w:rsid w:val="00D04546"/>
    <w:rsid w:val="00D04680"/>
    <w:rsid w:val="00D04681"/>
    <w:rsid w:val="00D047C9"/>
    <w:rsid w:val="00D0492B"/>
    <w:rsid w:val="00D049A4"/>
    <w:rsid w:val="00D049DE"/>
    <w:rsid w:val="00D049F4"/>
    <w:rsid w:val="00D04A4E"/>
    <w:rsid w:val="00D04A82"/>
    <w:rsid w:val="00D04B1D"/>
    <w:rsid w:val="00D04B7F"/>
    <w:rsid w:val="00D04BB6"/>
    <w:rsid w:val="00D04D60"/>
    <w:rsid w:val="00D04D74"/>
    <w:rsid w:val="00D04D7D"/>
    <w:rsid w:val="00D04E06"/>
    <w:rsid w:val="00D04E2E"/>
    <w:rsid w:val="00D04E60"/>
    <w:rsid w:val="00D04F2B"/>
    <w:rsid w:val="00D04FB6"/>
    <w:rsid w:val="00D05047"/>
    <w:rsid w:val="00D0505B"/>
    <w:rsid w:val="00D0506A"/>
    <w:rsid w:val="00D050B4"/>
    <w:rsid w:val="00D050B8"/>
    <w:rsid w:val="00D05498"/>
    <w:rsid w:val="00D0553F"/>
    <w:rsid w:val="00D05561"/>
    <w:rsid w:val="00D055FC"/>
    <w:rsid w:val="00D056C5"/>
    <w:rsid w:val="00D05715"/>
    <w:rsid w:val="00D05836"/>
    <w:rsid w:val="00D05999"/>
    <w:rsid w:val="00D059CF"/>
    <w:rsid w:val="00D059EE"/>
    <w:rsid w:val="00D05A86"/>
    <w:rsid w:val="00D05BB2"/>
    <w:rsid w:val="00D05D1C"/>
    <w:rsid w:val="00D05D32"/>
    <w:rsid w:val="00D05E26"/>
    <w:rsid w:val="00D05ED4"/>
    <w:rsid w:val="00D05F09"/>
    <w:rsid w:val="00D05F2A"/>
    <w:rsid w:val="00D060C9"/>
    <w:rsid w:val="00D060CE"/>
    <w:rsid w:val="00D06154"/>
    <w:rsid w:val="00D06178"/>
    <w:rsid w:val="00D06188"/>
    <w:rsid w:val="00D061A2"/>
    <w:rsid w:val="00D0624F"/>
    <w:rsid w:val="00D06283"/>
    <w:rsid w:val="00D062E8"/>
    <w:rsid w:val="00D06353"/>
    <w:rsid w:val="00D06484"/>
    <w:rsid w:val="00D064D4"/>
    <w:rsid w:val="00D064DB"/>
    <w:rsid w:val="00D064E8"/>
    <w:rsid w:val="00D064EB"/>
    <w:rsid w:val="00D0653B"/>
    <w:rsid w:val="00D065FF"/>
    <w:rsid w:val="00D066F2"/>
    <w:rsid w:val="00D06782"/>
    <w:rsid w:val="00D06823"/>
    <w:rsid w:val="00D06880"/>
    <w:rsid w:val="00D069FD"/>
    <w:rsid w:val="00D06B8E"/>
    <w:rsid w:val="00D06BA8"/>
    <w:rsid w:val="00D06C57"/>
    <w:rsid w:val="00D06CD3"/>
    <w:rsid w:val="00D06D5B"/>
    <w:rsid w:val="00D06DAC"/>
    <w:rsid w:val="00D06DE6"/>
    <w:rsid w:val="00D06E25"/>
    <w:rsid w:val="00D06EA6"/>
    <w:rsid w:val="00D06F63"/>
    <w:rsid w:val="00D06FB3"/>
    <w:rsid w:val="00D0700B"/>
    <w:rsid w:val="00D07088"/>
    <w:rsid w:val="00D0710A"/>
    <w:rsid w:val="00D07256"/>
    <w:rsid w:val="00D07276"/>
    <w:rsid w:val="00D07297"/>
    <w:rsid w:val="00D072AF"/>
    <w:rsid w:val="00D072FB"/>
    <w:rsid w:val="00D074A2"/>
    <w:rsid w:val="00D0756B"/>
    <w:rsid w:val="00D07575"/>
    <w:rsid w:val="00D07596"/>
    <w:rsid w:val="00D07619"/>
    <w:rsid w:val="00D07661"/>
    <w:rsid w:val="00D07759"/>
    <w:rsid w:val="00D07777"/>
    <w:rsid w:val="00D077E0"/>
    <w:rsid w:val="00D0782C"/>
    <w:rsid w:val="00D0787A"/>
    <w:rsid w:val="00D079BA"/>
    <w:rsid w:val="00D07B7C"/>
    <w:rsid w:val="00D07C1E"/>
    <w:rsid w:val="00D07C3B"/>
    <w:rsid w:val="00D07D90"/>
    <w:rsid w:val="00D07DAD"/>
    <w:rsid w:val="00D07E66"/>
    <w:rsid w:val="00D07E7C"/>
    <w:rsid w:val="00D07E96"/>
    <w:rsid w:val="00D07EB6"/>
    <w:rsid w:val="00D07FBE"/>
    <w:rsid w:val="00D1000A"/>
    <w:rsid w:val="00D10094"/>
    <w:rsid w:val="00D100BD"/>
    <w:rsid w:val="00D101B0"/>
    <w:rsid w:val="00D101BB"/>
    <w:rsid w:val="00D101F7"/>
    <w:rsid w:val="00D10261"/>
    <w:rsid w:val="00D10320"/>
    <w:rsid w:val="00D1032A"/>
    <w:rsid w:val="00D1033B"/>
    <w:rsid w:val="00D10364"/>
    <w:rsid w:val="00D103D9"/>
    <w:rsid w:val="00D10432"/>
    <w:rsid w:val="00D1046C"/>
    <w:rsid w:val="00D10485"/>
    <w:rsid w:val="00D104AB"/>
    <w:rsid w:val="00D10540"/>
    <w:rsid w:val="00D1064F"/>
    <w:rsid w:val="00D1069D"/>
    <w:rsid w:val="00D1075E"/>
    <w:rsid w:val="00D1079A"/>
    <w:rsid w:val="00D107CC"/>
    <w:rsid w:val="00D107E6"/>
    <w:rsid w:val="00D10834"/>
    <w:rsid w:val="00D108ED"/>
    <w:rsid w:val="00D10903"/>
    <w:rsid w:val="00D1092E"/>
    <w:rsid w:val="00D1094A"/>
    <w:rsid w:val="00D1095D"/>
    <w:rsid w:val="00D10B1A"/>
    <w:rsid w:val="00D10B55"/>
    <w:rsid w:val="00D10C30"/>
    <w:rsid w:val="00D10D50"/>
    <w:rsid w:val="00D10D7E"/>
    <w:rsid w:val="00D10DAD"/>
    <w:rsid w:val="00D10DD4"/>
    <w:rsid w:val="00D10E42"/>
    <w:rsid w:val="00D10EF8"/>
    <w:rsid w:val="00D10F63"/>
    <w:rsid w:val="00D10F6E"/>
    <w:rsid w:val="00D10FF9"/>
    <w:rsid w:val="00D11013"/>
    <w:rsid w:val="00D110FF"/>
    <w:rsid w:val="00D11157"/>
    <w:rsid w:val="00D11186"/>
    <w:rsid w:val="00D111CF"/>
    <w:rsid w:val="00D111F3"/>
    <w:rsid w:val="00D11241"/>
    <w:rsid w:val="00D11272"/>
    <w:rsid w:val="00D11292"/>
    <w:rsid w:val="00D11341"/>
    <w:rsid w:val="00D1146D"/>
    <w:rsid w:val="00D11475"/>
    <w:rsid w:val="00D11489"/>
    <w:rsid w:val="00D114CC"/>
    <w:rsid w:val="00D11614"/>
    <w:rsid w:val="00D11691"/>
    <w:rsid w:val="00D11695"/>
    <w:rsid w:val="00D1171A"/>
    <w:rsid w:val="00D1171D"/>
    <w:rsid w:val="00D117CF"/>
    <w:rsid w:val="00D1183F"/>
    <w:rsid w:val="00D119C9"/>
    <w:rsid w:val="00D119F0"/>
    <w:rsid w:val="00D11A82"/>
    <w:rsid w:val="00D11AD2"/>
    <w:rsid w:val="00D11B8C"/>
    <w:rsid w:val="00D11B95"/>
    <w:rsid w:val="00D11BD0"/>
    <w:rsid w:val="00D11BE1"/>
    <w:rsid w:val="00D11CA0"/>
    <w:rsid w:val="00D11CA4"/>
    <w:rsid w:val="00D11CD5"/>
    <w:rsid w:val="00D11E15"/>
    <w:rsid w:val="00D11FD5"/>
    <w:rsid w:val="00D1209D"/>
    <w:rsid w:val="00D120DC"/>
    <w:rsid w:val="00D120EA"/>
    <w:rsid w:val="00D1211E"/>
    <w:rsid w:val="00D12147"/>
    <w:rsid w:val="00D12202"/>
    <w:rsid w:val="00D12234"/>
    <w:rsid w:val="00D12351"/>
    <w:rsid w:val="00D123B0"/>
    <w:rsid w:val="00D12491"/>
    <w:rsid w:val="00D125D7"/>
    <w:rsid w:val="00D125E2"/>
    <w:rsid w:val="00D12723"/>
    <w:rsid w:val="00D127F2"/>
    <w:rsid w:val="00D12828"/>
    <w:rsid w:val="00D1296A"/>
    <w:rsid w:val="00D1297D"/>
    <w:rsid w:val="00D12B01"/>
    <w:rsid w:val="00D12D3E"/>
    <w:rsid w:val="00D12D81"/>
    <w:rsid w:val="00D12F0E"/>
    <w:rsid w:val="00D12FEC"/>
    <w:rsid w:val="00D12FFD"/>
    <w:rsid w:val="00D130B2"/>
    <w:rsid w:val="00D1310B"/>
    <w:rsid w:val="00D13136"/>
    <w:rsid w:val="00D13194"/>
    <w:rsid w:val="00D131F7"/>
    <w:rsid w:val="00D132BC"/>
    <w:rsid w:val="00D13307"/>
    <w:rsid w:val="00D133FB"/>
    <w:rsid w:val="00D134C5"/>
    <w:rsid w:val="00D13553"/>
    <w:rsid w:val="00D135E7"/>
    <w:rsid w:val="00D13689"/>
    <w:rsid w:val="00D136D6"/>
    <w:rsid w:val="00D13985"/>
    <w:rsid w:val="00D13B0E"/>
    <w:rsid w:val="00D13C69"/>
    <w:rsid w:val="00D13C82"/>
    <w:rsid w:val="00D13D2E"/>
    <w:rsid w:val="00D13E1A"/>
    <w:rsid w:val="00D13E29"/>
    <w:rsid w:val="00D13ED5"/>
    <w:rsid w:val="00D13FD8"/>
    <w:rsid w:val="00D14045"/>
    <w:rsid w:val="00D1430E"/>
    <w:rsid w:val="00D14313"/>
    <w:rsid w:val="00D14391"/>
    <w:rsid w:val="00D1439E"/>
    <w:rsid w:val="00D145F5"/>
    <w:rsid w:val="00D14615"/>
    <w:rsid w:val="00D1461E"/>
    <w:rsid w:val="00D146F1"/>
    <w:rsid w:val="00D1472B"/>
    <w:rsid w:val="00D14760"/>
    <w:rsid w:val="00D14778"/>
    <w:rsid w:val="00D1478C"/>
    <w:rsid w:val="00D14794"/>
    <w:rsid w:val="00D148FC"/>
    <w:rsid w:val="00D149AF"/>
    <w:rsid w:val="00D149E3"/>
    <w:rsid w:val="00D14A56"/>
    <w:rsid w:val="00D14A8C"/>
    <w:rsid w:val="00D14B2A"/>
    <w:rsid w:val="00D14BAA"/>
    <w:rsid w:val="00D14BD3"/>
    <w:rsid w:val="00D14BF9"/>
    <w:rsid w:val="00D14CDB"/>
    <w:rsid w:val="00D14D79"/>
    <w:rsid w:val="00D14DE9"/>
    <w:rsid w:val="00D14DEE"/>
    <w:rsid w:val="00D14EC6"/>
    <w:rsid w:val="00D14EF0"/>
    <w:rsid w:val="00D14F03"/>
    <w:rsid w:val="00D14F3F"/>
    <w:rsid w:val="00D14F51"/>
    <w:rsid w:val="00D14F56"/>
    <w:rsid w:val="00D15073"/>
    <w:rsid w:val="00D151DF"/>
    <w:rsid w:val="00D15255"/>
    <w:rsid w:val="00D15257"/>
    <w:rsid w:val="00D15394"/>
    <w:rsid w:val="00D15416"/>
    <w:rsid w:val="00D15444"/>
    <w:rsid w:val="00D154CE"/>
    <w:rsid w:val="00D154EB"/>
    <w:rsid w:val="00D15552"/>
    <w:rsid w:val="00D15599"/>
    <w:rsid w:val="00D155A4"/>
    <w:rsid w:val="00D155B9"/>
    <w:rsid w:val="00D155CF"/>
    <w:rsid w:val="00D15648"/>
    <w:rsid w:val="00D1570E"/>
    <w:rsid w:val="00D157EF"/>
    <w:rsid w:val="00D15842"/>
    <w:rsid w:val="00D158B2"/>
    <w:rsid w:val="00D1595F"/>
    <w:rsid w:val="00D1596E"/>
    <w:rsid w:val="00D1598F"/>
    <w:rsid w:val="00D15A94"/>
    <w:rsid w:val="00D15B39"/>
    <w:rsid w:val="00D15B91"/>
    <w:rsid w:val="00D15BAA"/>
    <w:rsid w:val="00D15C19"/>
    <w:rsid w:val="00D15C93"/>
    <w:rsid w:val="00D15CAE"/>
    <w:rsid w:val="00D15D03"/>
    <w:rsid w:val="00D15D92"/>
    <w:rsid w:val="00D15E6B"/>
    <w:rsid w:val="00D15EC7"/>
    <w:rsid w:val="00D16096"/>
    <w:rsid w:val="00D161CC"/>
    <w:rsid w:val="00D161CE"/>
    <w:rsid w:val="00D162B3"/>
    <w:rsid w:val="00D162CE"/>
    <w:rsid w:val="00D1637C"/>
    <w:rsid w:val="00D163CA"/>
    <w:rsid w:val="00D16411"/>
    <w:rsid w:val="00D164C5"/>
    <w:rsid w:val="00D165D5"/>
    <w:rsid w:val="00D165F3"/>
    <w:rsid w:val="00D16610"/>
    <w:rsid w:val="00D16679"/>
    <w:rsid w:val="00D166A6"/>
    <w:rsid w:val="00D166F1"/>
    <w:rsid w:val="00D16755"/>
    <w:rsid w:val="00D16792"/>
    <w:rsid w:val="00D167BE"/>
    <w:rsid w:val="00D1684A"/>
    <w:rsid w:val="00D16856"/>
    <w:rsid w:val="00D16887"/>
    <w:rsid w:val="00D1689C"/>
    <w:rsid w:val="00D168E4"/>
    <w:rsid w:val="00D168FF"/>
    <w:rsid w:val="00D16A23"/>
    <w:rsid w:val="00D16A6B"/>
    <w:rsid w:val="00D16C1D"/>
    <w:rsid w:val="00D16C44"/>
    <w:rsid w:val="00D16C91"/>
    <w:rsid w:val="00D16D2C"/>
    <w:rsid w:val="00D16DBA"/>
    <w:rsid w:val="00D16DBF"/>
    <w:rsid w:val="00D16E55"/>
    <w:rsid w:val="00D16E7F"/>
    <w:rsid w:val="00D16EB9"/>
    <w:rsid w:val="00D16EF9"/>
    <w:rsid w:val="00D16F98"/>
    <w:rsid w:val="00D1706F"/>
    <w:rsid w:val="00D170C1"/>
    <w:rsid w:val="00D1712B"/>
    <w:rsid w:val="00D1716D"/>
    <w:rsid w:val="00D171AD"/>
    <w:rsid w:val="00D17474"/>
    <w:rsid w:val="00D17479"/>
    <w:rsid w:val="00D17551"/>
    <w:rsid w:val="00D17559"/>
    <w:rsid w:val="00D17589"/>
    <w:rsid w:val="00D175FA"/>
    <w:rsid w:val="00D177EC"/>
    <w:rsid w:val="00D17837"/>
    <w:rsid w:val="00D17850"/>
    <w:rsid w:val="00D17864"/>
    <w:rsid w:val="00D17865"/>
    <w:rsid w:val="00D1796C"/>
    <w:rsid w:val="00D179C4"/>
    <w:rsid w:val="00D179F1"/>
    <w:rsid w:val="00D17A8F"/>
    <w:rsid w:val="00D17AF2"/>
    <w:rsid w:val="00D17AF8"/>
    <w:rsid w:val="00D17B4B"/>
    <w:rsid w:val="00D17BEC"/>
    <w:rsid w:val="00D17C96"/>
    <w:rsid w:val="00D17DF3"/>
    <w:rsid w:val="00D17E1C"/>
    <w:rsid w:val="00D17E70"/>
    <w:rsid w:val="00D17E85"/>
    <w:rsid w:val="00D17E94"/>
    <w:rsid w:val="00D17EF4"/>
    <w:rsid w:val="00D17FA5"/>
    <w:rsid w:val="00D17FCB"/>
    <w:rsid w:val="00D17FE6"/>
    <w:rsid w:val="00D20068"/>
    <w:rsid w:val="00D2011E"/>
    <w:rsid w:val="00D20241"/>
    <w:rsid w:val="00D202A2"/>
    <w:rsid w:val="00D202B3"/>
    <w:rsid w:val="00D2035E"/>
    <w:rsid w:val="00D2049F"/>
    <w:rsid w:val="00D204BC"/>
    <w:rsid w:val="00D204C6"/>
    <w:rsid w:val="00D205BE"/>
    <w:rsid w:val="00D20608"/>
    <w:rsid w:val="00D2068B"/>
    <w:rsid w:val="00D2072D"/>
    <w:rsid w:val="00D2084E"/>
    <w:rsid w:val="00D208E3"/>
    <w:rsid w:val="00D2096D"/>
    <w:rsid w:val="00D2097E"/>
    <w:rsid w:val="00D20A03"/>
    <w:rsid w:val="00D20B41"/>
    <w:rsid w:val="00D20BB1"/>
    <w:rsid w:val="00D20BC4"/>
    <w:rsid w:val="00D20C65"/>
    <w:rsid w:val="00D20D23"/>
    <w:rsid w:val="00D20D25"/>
    <w:rsid w:val="00D20DA6"/>
    <w:rsid w:val="00D20DD8"/>
    <w:rsid w:val="00D20E38"/>
    <w:rsid w:val="00D20E91"/>
    <w:rsid w:val="00D20EC6"/>
    <w:rsid w:val="00D20F3F"/>
    <w:rsid w:val="00D20F9C"/>
    <w:rsid w:val="00D20FF1"/>
    <w:rsid w:val="00D2100B"/>
    <w:rsid w:val="00D21120"/>
    <w:rsid w:val="00D2113E"/>
    <w:rsid w:val="00D2115C"/>
    <w:rsid w:val="00D21189"/>
    <w:rsid w:val="00D21276"/>
    <w:rsid w:val="00D2127F"/>
    <w:rsid w:val="00D212DE"/>
    <w:rsid w:val="00D21340"/>
    <w:rsid w:val="00D21341"/>
    <w:rsid w:val="00D21394"/>
    <w:rsid w:val="00D213B5"/>
    <w:rsid w:val="00D213CE"/>
    <w:rsid w:val="00D2152C"/>
    <w:rsid w:val="00D2158D"/>
    <w:rsid w:val="00D21622"/>
    <w:rsid w:val="00D216B4"/>
    <w:rsid w:val="00D216E4"/>
    <w:rsid w:val="00D21722"/>
    <w:rsid w:val="00D21730"/>
    <w:rsid w:val="00D2173B"/>
    <w:rsid w:val="00D21808"/>
    <w:rsid w:val="00D218DC"/>
    <w:rsid w:val="00D218F5"/>
    <w:rsid w:val="00D219E7"/>
    <w:rsid w:val="00D21A5A"/>
    <w:rsid w:val="00D21AE3"/>
    <w:rsid w:val="00D21BBD"/>
    <w:rsid w:val="00D21C19"/>
    <w:rsid w:val="00D21D92"/>
    <w:rsid w:val="00D21E15"/>
    <w:rsid w:val="00D21EB5"/>
    <w:rsid w:val="00D21EEA"/>
    <w:rsid w:val="00D21F72"/>
    <w:rsid w:val="00D21FE2"/>
    <w:rsid w:val="00D21FFA"/>
    <w:rsid w:val="00D22065"/>
    <w:rsid w:val="00D220DB"/>
    <w:rsid w:val="00D2219A"/>
    <w:rsid w:val="00D221E9"/>
    <w:rsid w:val="00D2223D"/>
    <w:rsid w:val="00D222FE"/>
    <w:rsid w:val="00D2230F"/>
    <w:rsid w:val="00D22402"/>
    <w:rsid w:val="00D2242D"/>
    <w:rsid w:val="00D22436"/>
    <w:rsid w:val="00D22455"/>
    <w:rsid w:val="00D22469"/>
    <w:rsid w:val="00D2254F"/>
    <w:rsid w:val="00D22559"/>
    <w:rsid w:val="00D22590"/>
    <w:rsid w:val="00D225DD"/>
    <w:rsid w:val="00D22763"/>
    <w:rsid w:val="00D22775"/>
    <w:rsid w:val="00D22776"/>
    <w:rsid w:val="00D227CC"/>
    <w:rsid w:val="00D2285B"/>
    <w:rsid w:val="00D22891"/>
    <w:rsid w:val="00D22893"/>
    <w:rsid w:val="00D22962"/>
    <w:rsid w:val="00D22A05"/>
    <w:rsid w:val="00D22B45"/>
    <w:rsid w:val="00D22B6A"/>
    <w:rsid w:val="00D22B7C"/>
    <w:rsid w:val="00D22C2C"/>
    <w:rsid w:val="00D22C74"/>
    <w:rsid w:val="00D22E42"/>
    <w:rsid w:val="00D22E6C"/>
    <w:rsid w:val="00D22E7C"/>
    <w:rsid w:val="00D22EE1"/>
    <w:rsid w:val="00D22F92"/>
    <w:rsid w:val="00D22FC3"/>
    <w:rsid w:val="00D22FDD"/>
    <w:rsid w:val="00D22FDF"/>
    <w:rsid w:val="00D23016"/>
    <w:rsid w:val="00D2304B"/>
    <w:rsid w:val="00D230BD"/>
    <w:rsid w:val="00D2312F"/>
    <w:rsid w:val="00D23159"/>
    <w:rsid w:val="00D231AF"/>
    <w:rsid w:val="00D231EA"/>
    <w:rsid w:val="00D232B2"/>
    <w:rsid w:val="00D2335D"/>
    <w:rsid w:val="00D23409"/>
    <w:rsid w:val="00D23420"/>
    <w:rsid w:val="00D2347F"/>
    <w:rsid w:val="00D234C4"/>
    <w:rsid w:val="00D234D6"/>
    <w:rsid w:val="00D234DD"/>
    <w:rsid w:val="00D23524"/>
    <w:rsid w:val="00D235C7"/>
    <w:rsid w:val="00D23708"/>
    <w:rsid w:val="00D23795"/>
    <w:rsid w:val="00D2382D"/>
    <w:rsid w:val="00D238F2"/>
    <w:rsid w:val="00D23975"/>
    <w:rsid w:val="00D23994"/>
    <w:rsid w:val="00D239FB"/>
    <w:rsid w:val="00D23A12"/>
    <w:rsid w:val="00D23A8F"/>
    <w:rsid w:val="00D23AE0"/>
    <w:rsid w:val="00D23C54"/>
    <w:rsid w:val="00D23CA1"/>
    <w:rsid w:val="00D23CA9"/>
    <w:rsid w:val="00D23CAE"/>
    <w:rsid w:val="00D23CC0"/>
    <w:rsid w:val="00D23D3C"/>
    <w:rsid w:val="00D23DB3"/>
    <w:rsid w:val="00D23DDB"/>
    <w:rsid w:val="00D23E52"/>
    <w:rsid w:val="00D240B2"/>
    <w:rsid w:val="00D242D3"/>
    <w:rsid w:val="00D24332"/>
    <w:rsid w:val="00D243EA"/>
    <w:rsid w:val="00D243F9"/>
    <w:rsid w:val="00D244AE"/>
    <w:rsid w:val="00D245EE"/>
    <w:rsid w:val="00D2467B"/>
    <w:rsid w:val="00D247A2"/>
    <w:rsid w:val="00D247C0"/>
    <w:rsid w:val="00D247E2"/>
    <w:rsid w:val="00D247E3"/>
    <w:rsid w:val="00D24826"/>
    <w:rsid w:val="00D248FF"/>
    <w:rsid w:val="00D24915"/>
    <w:rsid w:val="00D24AC5"/>
    <w:rsid w:val="00D24AF1"/>
    <w:rsid w:val="00D24B6A"/>
    <w:rsid w:val="00D24B72"/>
    <w:rsid w:val="00D24D31"/>
    <w:rsid w:val="00D24D56"/>
    <w:rsid w:val="00D24DE6"/>
    <w:rsid w:val="00D24E25"/>
    <w:rsid w:val="00D24EB5"/>
    <w:rsid w:val="00D24FC9"/>
    <w:rsid w:val="00D25017"/>
    <w:rsid w:val="00D2504F"/>
    <w:rsid w:val="00D250A5"/>
    <w:rsid w:val="00D250E6"/>
    <w:rsid w:val="00D251AF"/>
    <w:rsid w:val="00D251E7"/>
    <w:rsid w:val="00D25237"/>
    <w:rsid w:val="00D2528C"/>
    <w:rsid w:val="00D25342"/>
    <w:rsid w:val="00D253D8"/>
    <w:rsid w:val="00D25425"/>
    <w:rsid w:val="00D25434"/>
    <w:rsid w:val="00D25438"/>
    <w:rsid w:val="00D2543A"/>
    <w:rsid w:val="00D254BA"/>
    <w:rsid w:val="00D25529"/>
    <w:rsid w:val="00D25531"/>
    <w:rsid w:val="00D2554A"/>
    <w:rsid w:val="00D25588"/>
    <w:rsid w:val="00D2562E"/>
    <w:rsid w:val="00D256FF"/>
    <w:rsid w:val="00D25727"/>
    <w:rsid w:val="00D2574B"/>
    <w:rsid w:val="00D2576A"/>
    <w:rsid w:val="00D257AD"/>
    <w:rsid w:val="00D257CF"/>
    <w:rsid w:val="00D258DD"/>
    <w:rsid w:val="00D258DF"/>
    <w:rsid w:val="00D259C2"/>
    <w:rsid w:val="00D259D1"/>
    <w:rsid w:val="00D25A1D"/>
    <w:rsid w:val="00D25A2B"/>
    <w:rsid w:val="00D25B19"/>
    <w:rsid w:val="00D25C17"/>
    <w:rsid w:val="00D25D2A"/>
    <w:rsid w:val="00D25DE9"/>
    <w:rsid w:val="00D25E77"/>
    <w:rsid w:val="00D25EA7"/>
    <w:rsid w:val="00D25F20"/>
    <w:rsid w:val="00D25F44"/>
    <w:rsid w:val="00D25FF3"/>
    <w:rsid w:val="00D2602F"/>
    <w:rsid w:val="00D260CF"/>
    <w:rsid w:val="00D26115"/>
    <w:rsid w:val="00D26127"/>
    <w:rsid w:val="00D26240"/>
    <w:rsid w:val="00D26299"/>
    <w:rsid w:val="00D262EA"/>
    <w:rsid w:val="00D2638F"/>
    <w:rsid w:val="00D263AF"/>
    <w:rsid w:val="00D263ED"/>
    <w:rsid w:val="00D264AA"/>
    <w:rsid w:val="00D26661"/>
    <w:rsid w:val="00D26775"/>
    <w:rsid w:val="00D2678A"/>
    <w:rsid w:val="00D267D5"/>
    <w:rsid w:val="00D267FF"/>
    <w:rsid w:val="00D26807"/>
    <w:rsid w:val="00D2680B"/>
    <w:rsid w:val="00D2690F"/>
    <w:rsid w:val="00D26963"/>
    <w:rsid w:val="00D269AB"/>
    <w:rsid w:val="00D269F3"/>
    <w:rsid w:val="00D26A3F"/>
    <w:rsid w:val="00D26AB1"/>
    <w:rsid w:val="00D26CB4"/>
    <w:rsid w:val="00D26DE1"/>
    <w:rsid w:val="00D26E3A"/>
    <w:rsid w:val="00D26F14"/>
    <w:rsid w:val="00D26F2B"/>
    <w:rsid w:val="00D26FED"/>
    <w:rsid w:val="00D2702C"/>
    <w:rsid w:val="00D270DB"/>
    <w:rsid w:val="00D270E1"/>
    <w:rsid w:val="00D27100"/>
    <w:rsid w:val="00D271FE"/>
    <w:rsid w:val="00D27238"/>
    <w:rsid w:val="00D27290"/>
    <w:rsid w:val="00D27321"/>
    <w:rsid w:val="00D27333"/>
    <w:rsid w:val="00D2733A"/>
    <w:rsid w:val="00D2738E"/>
    <w:rsid w:val="00D27414"/>
    <w:rsid w:val="00D27464"/>
    <w:rsid w:val="00D2755F"/>
    <w:rsid w:val="00D2760C"/>
    <w:rsid w:val="00D27611"/>
    <w:rsid w:val="00D27652"/>
    <w:rsid w:val="00D2767C"/>
    <w:rsid w:val="00D276CD"/>
    <w:rsid w:val="00D277A9"/>
    <w:rsid w:val="00D277F4"/>
    <w:rsid w:val="00D27885"/>
    <w:rsid w:val="00D278BB"/>
    <w:rsid w:val="00D27944"/>
    <w:rsid w:val="00D2797F"/>
    <w:rsid w:val="00D279CB"/>
    <w:rsid w:val="00D27B2A"/>
    <w:rsid w:val="00D27C19"/>
    <w:rsid w:val="00D27C92"/>
    <w:rsid w:val="00D27CAF"/>
    <w:rsid w:val="00D27CED"/>
    <w:rsid w:val="00D27D08"/>
    <w:rsid w:val="00D27D57"/>
    <w:rsid w:val="00D27DD6"/>
    <w:rsid w:val="00D27EFC"/>
    <w:rsid w:val="00D27F87"/>
    <w:rsid w:val="00D30008"/>
    <w:rsid w:val="00D300FE"/>
    <w:rsid w:val="00D30118"/>
    <w:rsid w:val="00D30122"/>
    <w:rsid w:val="00D301F0"/>
    <w:rsid w:val="00D3022F"/>
    <w:rsid w:val="00D30450"/>
    <w:rsid w:val="00D3045B"/>
    <w:rsid w:val="00D30480"/>
    <w:rsid w:val="00D3052E"/>
    <w:rsid w:val="00D3053B"/>
    <w:rsid w:val="00D30569"/>
    <w:rsid w:val="00D305BA"/>
    <w:rsid w:val="00D306AC"/>
    <w:rsid w:val="00D306C5"/>
    <w:rsid w:val="00D306E5"/>
    <w:rsid w:val="00D306F5"/>
    <w:rsid w:val="00D30783"/>
    <w:rsid w:val="00D30880"/>
    <w:rsid w:val="00D308C7"/>
    <w:rsid w:val="00D3091B"/>
    <w:rsid w:val="00D3099A"/>
    <w:rsid w:val="00D309B7"/>
    <w:rsid w:val="00D309BD"/>
    <w:rsid w:val="00D30A24"/>
    <w:rsid w:val="00D30B7D"/>
    <w:rsid w:val="00D30CDC"/>
    <w:rsid w:val="00D30D11"/>
    <w:rsid w:val="00D30D50"/>
    <w:rsid w:val="00D30DD7"/>
    <w:rsid w:val="00D30DF9"/>
    <w:rsid w:val="00D30DFF"/>
    <w:rsid w:val="00D30E39"/>
    <w:rsid w:val="00D30E49"/>
    <w:rsid w:val="00D30EED"/>
    <w:rsid w:val="00D30F00"/>
    <w:rsid w:val="00D30F13"/>
    <w:rsid w:val="00D30F83"/>
    <w:rsid w:val="00D3100D"/>
    <w:rsid w:val="00D3104F"/>
    <w:rsid w:val="00D31153"/>
    <w:rsid w:val="00D3121D"/>
    <w:rsid w:val="00D312CF"/>
    <w:rsid w:val="00D312F8"/>
    <w:rsid w:val="00D31301"/>
    <w:rsid w:val="00D31373"/>
    <w:rsid w:val="00D31534"/>
    <w:rsid w:val="00D31541"/>
    <w:rsid w:val="00D31584"/>
    <w:rsid w:val="00D3162F"/>
    <w:rsid w:val="00D31632"/>
    <w:rsid w:val="00D3164D"/>
    <w:rsid w:val="00D316A1"/>
    <w:rsid w:val="00D31972"/>
    <w:rsid w:val="00D3197F"/>
    <w:rsid w:val="00D31A61"/>
    <w:rsid w:val="00D31A6D"/>
    <w:rsid w:val="00D31B42"/>
    <w:rsid w:val="00D31C04"/>
    <w:rsid w:val="00D31DB2"/>
    <w:rsid w:val="00D31E41"/>
    <w:rsid w:val="00D31FDB"/>
    <w:rsid w:val="00D3202B"/>
    <w:rsid w:val="00D32090"/>
    <w:rsid w:val="00D32101"/>
    <w:rsid w:val="00D3219B"/>
    <w:rsid w:val="00D32253"/>
    <w:rsid w:val="00D32360"/>
    <w:rsid w:val="00D32384"/>
    <w:rsid w:val="00D323B7"/>
    <w:rsid w:val="00D3240A"/>
    <w:rsid w:val="00D324A8"/>
    <w:rsid w:val="00D3258F"/>
    <w:rsid w:val="00D32612"/>
    <w:rsid w:val="00D3264D"/>
    <w:rsid w:val="00D32655"/>
    <w:rsid w:val="00D32709"/>
    <w:rsid w:val="00D32898"/>
    <w:rsid w:val="00D328FA"/>
    <w:rsid w:val="00D32912"/>
    <w:rsid w:val="00D329A3"/>
    <w:rsid w:val="00D329F1"/>
    <w:rsid w:val="00D32A0F"/>
    <w:rsid w:val="00D32A1B"/>
    <w:rsid w:val="00D32B07"/>
    <w:rsid w:val="00D32BA3"/>
    <w:rsid w:val="00D32BED"/>
    <w:rsid w:val="00D32C2B"/>
    <w:rsid w:val="00D32C83"/>
    <w:rsid w:val="00D32D55"/>
    <w:rsid w:val="00D32D63"/>
    <w:rsid w:val="00D32DD1"/>
    <w:rsid w:val="00D32E21"/>
    <w:rsid w:val="00D32E2F"/>
    <w:rsid w:val="00D32E34"/>
    <w:rsid w:val="00D32F62"/>
    <w:rsid w:val="00D33038"/>
    <w:rsid w:val="00D331B2"/>
    <w:rsid w:val="00D331B8"/>
    <w:rsid w:val="00D331EB"/>
    <w:rsid w:val="00D33266"/>
    <w:rsid w:val="00D332B6"/>
    <w:rsid w:val="00D3338F"/>
    <w:rsid w:val="00D33476"/>
    <w:rsid w:val="00D33551"/>
    <w:rsid w:val="00D3356E"/>
    <w:rsid w:val="00D33592"/>
    <w:rsid w:val="00D33598"/>
    <w:rsid w:val="00D335A4"/>
    <w:rsid w:val="00D335B0"/>
    <w:rsid w:val="00D33663"/>
    <w:rsid w:val="00D336BF"/>
    <w:rsid w:val="00D33742"/>
    <w:rsid w:val="00D337CC"/>
    <w:rsid w:val="00D33815"/>
    <w:rsid w:val="00D33895"/>
    <w:rsid w:val="00D33968"/>
    <w:rsid w:val="00D33997"/>
    <w:rsid w:val="00D339CD"/>
    <w:rsid w:val="00D33A31"/>
    <w:rsid w:val="00D33AB9"/>
    <w:rsid w:val="00D33AD0"/>
    <w:rsid w:val="00D33B44"/>
    <w:rsid w:val="00D33B62"/>
    <w:rsid w:val="00D33D43"/>
    <w:rsid w:val="00D33DAF"/>
    <w:rsid w:val="00D33DD7"/>
    <w:rsid w:val="00D33E20"/>
    <w:rsid w:val="00D33ED5"/>
    <w:rsid w:val="00D33FCF"/>
    <w:rsid w:val="00D34029"/>
    <w:rsid w:val="00D34066"/>
    <w:rsid w:val="00D340E4"/>
    <w:rsid w:val="00D341CD"/>
    <w:rsid w:val="00D341F3"/>
    <w:rsid w:val="00D342C3"/>
    <w:rsid w:val="00D342E9"/>
    <w:rsid w:val="00D34314"/>
    <w:rsid w:val="00D34323"/>
    <w:rsid w:val="00D34337"/>
    <w:rsid w:val="00D343AD"/>
    <w:rsid w:val="00D344A2"/>
    <w:rsid w:val="00D3474B"/>
    <w:rsid w:val="00D34830"/>
    <w:rsid w:val="00D34889"/>
    <w:rsid w:val="00D348B4"/>
    <w:rsid w:val="00D348F8"/>
    <w:rsid w:val="00D34928"/>
    <w:rsid w:val="00D34B44"/>
    <w:rsid w:val="00D34CC7"/>
    <w:rsid w:val="00D34D4D"/>
    <w:rsid w:val="00D34D75"/>
    <w:rsid w:val="00D34D8A"/>
    <w:rsid w:val="00D34DB1"/>
    <w:rsid w:val="00D34E11"/>
    <w:rsid w:val="00D34F6F"/>
    <w:rsid w:val="00D34FAF"/>
    <w:rsid w:val="00D350BF"/>
    <w:rsid w:val="00D35117"/>
    <w:rsid w:val="00D3511B"/>
    <w:rsid w:val="00D3512E"/>
    <w:rsid w:val="00D35135"/>
    <w:rsid w:val="00D35151"/>
    <w:rsid w:val="00D35177"/>
    <w:rsid w:val="00D3522F"/>
    <w:rsid w:val="00D3525F"/>
    <w:rsid w:val="00D352D6"/>
    <w:rsid w:val="00D3532E"/>
    <w:rsid w:val="00D353A1"/>
    <w:rsid w:val="00D353A2"/>
    <w:rsid w:val="00D353B4"/>
    <w:rsid w:val="00D35457"/>
    <w:rsid w:val="00D3552A"/>
    <w:rsid w:val="00D3552E"/>
    <w:rsid w:val="00D355F0"/>
    <w:rsid w:val="00D357B6"/>
    <w:rsid w:val="00D35813"/>
    <w:rsid w:val="00D3583A"/>
    <w:rsid w:val="00D35842"/>
    <w:rsid w:val="00D3592B"/>
    <w:rsid w:val="00D359EF"/>
    <w:rsid w:val="00D359F1"/>
    <w:rsid w:val="00D35C3A"/>
    <w:rsid w:val="00D35CE1"/>
    <w:rsid w:val="00D35CF5"/>
    <w:rsid w:val="00D35D0F"/>
    <w:rsid w:val="00D35D14"/>
    <w:rsid w:val="00D35D57"/>
    <w:rsid w:val="00D35DEA"/>
    <w:rsid w:val="00D35DF0"/>
    <w:rsid w:val="00D35E15"/>
    <w:rsid w:val="00D35EA9"/>
    <w:rsid w:val="00D35F0A"/>
    <w:rsid w:val="00D35FF7"/>
    <w:rsid w:val="00D3603D"/>
    <w:rsid w:val="00D360BE"/>
    <w:rsid w:val="00D360FC"/>
    <w:rsid w:val="00D361FA"/>
    <w:rsid w:val="00D36290"/>
    <w:rsid w:val="00D362B2"/>
    <w:rsid w:val="00D362BE"/>
    <w:rsid w:val="00D36317"/>
    <w:rsid w:val="00D3633E"/>
    <w:rsid w:val="00D36340"/>
    <w:rsid w:val="00D36487"/>
    <w:rsid w:val="00D36566"/>
    <w:rsid w:val="00D36584"/>
    <w:rsid w:val="00D3679D"/>
    <w:rsid w:val="00D367B7"/>
    <w:rsid w:val="00D36868"/>
    <w:rsid w:val="00D36884"/>
    <w:rsid w:val="00D368E2"/>
    <w:rsid w:val="00D36A72"/>
    <w:rsid w:val="00D36AD0"/>
    <w:rsid w:val="00D36BAF"/>
    <w:rsid w:val="00D36BF7"/>
    <w:rsid w:val="00D36C53"/>
    <w:rsid w:val="00D36C6A"/>
    <w:rsid w:val="00D36C6D"/>
    <w:rsid w:val="00D36C9C"/>
    <w:rsid w:val="00D36CFB"/>
    <w:rsid w:val="00D36DB6"/>
    <w:rsid w:val="00D36E18"/>
    <w:rsid w:val="00D36F2A"/>
    <w:rsid w:val="00D36F50"/>
    <w:rsid w:val="00D36F57"/>
    <w:rsid w:val="00D37015"/>
    <w:rsid w:val="00D3705C"/>
    <w:rsid w:val="00D37083"/>
    <w:rsid w:val="00D37120"/>
    <w:rsid w:val="00D3714B"/>
    <w:rsid w:val="00D3718A"/>
    <w:rsid w:val="00D371DC"/>
    <w:rsid w:val="00D37213"/>
    <w:rsid w:val="00D37225"/>
    <w:rsid w:val="00D373E0"/>
    <w:rsid w:val="00D37424"/>
    <w:rsid w:val="00D3752E"/>
    <w:rsid w:val="00D3753C"/>
    <w:rsid w:val="00D3761A"/>
    <w:rsid w:val="00D37627"/>
    <w:rsid w:val="00D37669"/>
    <w:rsid w:val="00D376B4"/>
    <w:rsid w:val="00D376C8"/>
    <w:rsid w:val="00D376C9"/>
    <w:rsid w:val="00D376F4"/>
    <w:rsid w:val="00D378B5"/>
    <w:rsid w:val="00D379BC"/>
    <w:rsid w:val="00D37B75"/>
    <w:rsid w:val="00D37BF9"/>
    <w:rsid w:val="00D37C55"/>
    <w:rsid w:val="00D37CD7"/>
    <w:rsid w:val="00D37D03"/>
    <w:rsid w:val="00D37D17"/>
    <w:rsid w:val="00D37E6B"/>
    <w:rsid w:val="00D4005C"/>
    <w:rsid w:val="00D40120"/>
    <w:rsid w:val="00D4016C"/>
    <w:rsid w:val="00D401A3"/>
    <w:rsid w:val="00D401F6"/>
    <w:rsid w:val="00D4023E"/>
    <w:rsid w:val="00D40328"/>
    <w:rsid w:val="00D40350"/>
    <w:rsid w:val="00D40372"/>
    <w:rsid w:val="00D404E6"/>
    <w:rsid w:val="00D405C1"/>
    <w:rsid w:val="00D4067F"/>
    <w:rsid w:val="00D4078F"/>
    <w:rsid w:val="00D40797"/>
    <w:rsid w:val="00D40843"/>
    <w:rsid w:val="00D40854"/>
    <w:rsid w:val="00D40907"/>
    <w:rsid w:val="00D4096D"/>
    <w:rsid w:val="00D40A26"/>
    <w:rsid w:val="00D40A93"/>
    <w:rsid w:val="00D40AAE"/>
    <w:rsid w:val="00D40AEF"/>
    <w:rsid w:val="00D40C99"/>
    <w:rsid w:val="00D40D28"/>
    <w:rsid w:val="00D40D77"/>
    <w:rsid w:val="00D40E09"/>
    <w:rsid w:val="00D40E17"/>
    <w:rsid w:val="00D40E21"/>
    <w:rsid w:val="00D40ECF"/>
    <w:rsid w:val="00D40ED1"/>
    <w:rsid w:val="00D40F5C"/>
    <w:rsid w:val="00D40FC2"/>
    <w:rsid w:val="00D410B5"/>
    <w:rsid w:val="00D41143"/>
    <w:rsid w:val="00D41153"/>
    <w:rsid w:val="00D412C2"/>
    <w:rsid w:val="00D413EA"/>
    <w:rsid w:val="00D413F7"/>
    <w:rsid w:val="00D4144B"/>
    <w:rsid w:val="00D41468"/>
    <w:rsid w:val="00D4146D"/>
    <w:rsid w:val="00D414FE"/>
    <w:rsid w:val="00D415C6"/>
    <w:rsid w:val="00D4169D"/>
    <w:rsid w:val="00D41716"/>
    <w:rsid w:val="00D41748"/>
    <w:rsid w:val="00D417D5"/>
    <w:rsid w:val="00D417E5"/>
    <w:rsid w:val="00D4180B"/>
    <w:rsid w:val="00D418D0"/>
    <w:rsid w:val="00D418F2"/>
    <w:rsid w:val="00D4197B"/>
    <w:rsid w:val="00D41B23"/>
    <w:rsid w:val="00D41B2C"/>
    <w:rsid w:val="00D41B40"/>
    <w:rsid w:val="00D41B41"/>
    <w:rsid w:val="00D41C7D"/>
    <w:rsid w:val="00D41D68"/>
    <w:rsid w:val="00D41FFB"/>
    <w:rsid w:val="00D420BC"/>
    <w:rsid w:val="00D42175"/>
    <w:rsid w:val="00D42199"/>
    <w:rsid w:val="00D421EF"/>
    <w:rsid w:val="00D422E1"/>
    <w:rsid w:val="00D42326"/>
    <w:rsid w:val="00D42366"/>
    <w:rsid w:val="00D42444"/>
    <w:rsid w:val="00D4255A"/>
    <w:rsid w:val="00D425E5"/>
    <w:rsid w:val="00D4260F"/>
    <w:rsid w:val="00D4268B"/>
    <w:rsid w:val="00D426D9"/>
    <w:rsid w:val="00D426ED"/>
    <w:rsid w:val="00D42810"/>
    <w:rsid w:val="00D42844"/>
    <w:rsid w:val="00D42880"/>
    <w:rsid w:val="00D4293B"/>
    <w:rsid w:val="00D4294A"/>
    <w:rsid w:val="00D429F9"/>
    <w:rsid w:val="00D42A21"/>
    <w:rsid w:val="00D42B02"/>
    <w:rsid w:val="00D42B24"/>
    <w:rsid w:val="00D42B76"/>
    <w:rsid w:val="00D42BFF"/>
    <w:rsid w:val="00D42C61"/>
    <w:rsid w:val="00D42CF2"/>
    <w:rsid w:val="00D42CFA"/>
    <w:rsid w:val="00D42D78"/>
    <w:rsid w:val="00D42E0A"/>
    <w:rsid w:val="00D42E6D"/>
    <w:rsid w:val="00D42F1B"/>
    <w:rsid w:val="00D43174"/>
    <w:rsid w:val="00D4319C"/>
    <w:rsid w:val="00D431C7"/>
    <w:rsid w:val="00D432E6"/>
    <w:rsid w:val="00D4332B"/>
    <w:rsid w:val="00D43331"/>
    <w:rsid w:val="00D43378"/>
    <w:rsid w:val="00D43489"/>
    <w:rsid w:val="00D4358B"/>
    <w:rsid w:val="00D436E2"/>
    <w:rsid w:val="00D4373B"/>
    <w:rsid w:val="00D437B1"/>
    <w:rsid w:val="00D43818"/>
    <w:rsid w:val="00D43892"/>
    <w:rsid w:val="00D438D1"/>
    <w:rsid w:val="00D43981"/>
    <w:rsid w:val="00D43A09"/>
    <w:rsid w:val="00D43A59"/>
    <w:rsid w:val="00D43AC8"/>
    <w:rsid w:val="00D43B1B"/>
    <w:rsid w:val="00D43B9D"/>
    <w:rsid w:val="00D43BD3"/>
    <w:rsid w:val="00D43BE6"/>
    <w:rsid w:val="00D43C1F"/>
    <w:rsid w:val="00D43CD8"/>
    <w:rsid w:val="00D43DAD"/>
    <w:rsid w:val="00D43EC9"/>
    <w:rsid w:val="00D43F79"/>
    <w:rsid w:val="00D44051"/>
    <w:rsid w:val="00D440FC"/>
    <w:rsid w:val="00D4411A"/>
    <w:rsid w:val="00D4411B"/>
    <w:rsid w:val="00D441C6"/>
    <w:rsid w:val="00D441ED"/>
    <w:rsid w:val="00D4427C"/>
    <w:rsid w:val="00D442E7"/>
    <w:rsid w:val="00D4433A"/>
    <w:rsid w:val="00D4434F"/>
    <w:rsid w:val="00D443AE"/>
    <w:rsid w:val="00D443B7"/>
    <w:rsid w:val="00D444A7"/>
    <w:rsid w:val="00D444DB"/>
    <w:rsid w:val="00D444E2"/>
    <w:rsid w:val="00D447D4"/>
    <w:rsid w:val="00D4489D"/>
    <w:rsid w:val="00D44965"/>
    <w:rsid w:val="00D44989"/>
    <w:rsid w:val="00D44A07"/>
    <w:rsid w:val="00D44A58"/>
    <w:rsid w:val="00D44AA2"/>
    <w:rsid w:val="00D44ABC"/>
    <w:rsid w:val="00D44AFF"/>
    <w:rsid w:val="00D44D23"/>
    <w:rsid w:val="00D44D67"/>
    <w:rsid w:val="00D44DDF"/>
    <w:rsid w:val="00D44E1F"/>
    <w:rsid w:val="00D44E36"/>
    <w:rsid w:val="00D44E51"/>
    <w:rsid w:val="00D44E76"/>
    <w:rsid w:val="00D44EF4"/>
    <w:rsid w:val="00D4500E"/>
    <w:rsid w:val="00D450DA"/>
    <w:rsid w:val="00D45285"/>
    <w:rsid w:val="00D456C5"/>
    <w:rsid w:val="00D45700"/>
    <w:rsid w:val="00D457AB"/>
    <w:rsid w:val="00D457BA"/>
    <w:rsid w:val="00D458C5"/>
    <w:rsid w:val="00D458F0"/>
    <w:rsid w:val="00D459BC"/>
    <w:rsid w:val="00D45ADE"/>
    <w:rsid w:val="00D45B5A"/>
    <w:rsid w:val="00D45BF9"/>
    <w:rsid w:val="00D45C26"/>
    <w:rsid w:val="00D45C8D"/>
    <w:rsid w:val="00D45C90"/>
    <w:rsid w:val="00D45CC3"/>
    <w:rsid w:val="00D45D17"/>
    <w:rsid w:val="00D45DE7"/>
    <w:rsid w:val="00D45E54"/>
    <w:rsid w:val="00D45E86"/>
    <w:rsid w:val="00D45ED0"/>
    <w:rsid w:val="00D45F1F"/>
    <w:rsid w:val="00D45F21"/>
    <w:rsid w:val="00D46015"/>
    <w:rsid w:val="00D46050"/>
    <w:rsid w:val="00D46058"/>
    <w:rsid w:val="00D4614A"/>
    <w:rsid w:val="00D46170"/>
    <w:rsid w:val="00D461EA"/>
    <w:rsid w:val="00D46213"/>
    <w:rsid w:val="00D4624C"/>
    <w:rsid w:val="00D46261"/>
    <w:rsid w:val="00D462E7"/>
    <w:rsid w:val="00D463AD"/>
    <w:rsid w:val="00D463DB"/>
    <w:rsid w:val="00D46518"/>
    <w:rsid w:val="00D4651E"/>
    <w:rsid w:val="00D465BD"/>
    <w:rsid w:val="00D4669F"/>
    <w:rsid w:val="00D466AD"/>
    <w:rsid w:val="00D466C5"/>
    <w:rsid w:val="00D466C6"/>
    <w:rsid w:val="00D466E0"/>
    <w:rsid w:val="00D4674B"/>
    <w:rsid w:val="00D468C8"/>
    <w:rsid w:val="00D4696C"/>
    <w:rsid w:val="00D46979"/>
    <w:rsid w:val="00D46A46"/>
    <w:rsid w:val="00D46AFA"/>
    <w:rsid w:val="00D46B31"/>
    <w:rsid w:val="00D46B65"/>
    <w:rsid w:val="00D46CE7"/>
    <w:rsid w:val="00D46D67"/>
    <w:rsid w:val="00D46D88"/>
    <w:rsid w:val="00D46D8A"/>
    <w:rsid w:val="00D46D94"/>
    <w:rsid w:val="00D46DC8"/>
    <w:rsid w:val="00D46E9A"/>
    <w:rsid w:val="00D46EF1"/>
    <w:rsid w:val="00D46FBF"/>
    <w:rsid w:val="00D46FDA"/>
    <w:rsid w:val="00D47140"/>
    <w:rsid w:val="00D47141"/>
    <w:rsid w:val="00D471DE"/>
    <w:rsid w:val="00D4724C"/>
    <w:rsid w:val="00D472CC"/>
    <w:rsid w:val="00D472DD"/>
    <w:rsid w:val="00D47306"/>
    <w:rsid w:val="00D47438"/>
    <w:rsid w:val="00D474B1"/>
    <w:rsid w:val="00D4750F"/>
    <w:rsid w:val="00D47519"/>
    <w:rsid w:val="00D4758E"/>
    <w:rsid w:val="00D47680"/>
    <w:rsid w:val="00D476C6"/>
    <w:rsid w:val="00D476F5"/>
    <w:rsid w:val="00D477F1"/>
    <w:rsid w:val="00D47939"/>
    <w:rsid w:val="00D47957"/>
    <w:rsid w:val="00D47A24"/>
    <w:rsid w:val="00D47B9D"/>
    <w:rsid w:val="00D47BDC"/>
    <w:rsid w:val="00D47F86"/>
    <w:rsid w:val="00D47FC2"/>
    <w:rsid w:val="00D47FC3"/>
    <w:rsid w:val="00D50003"/>
    <w:rsid w:val="00D50030"/>
    <w:rsid w:val="00D500B5"/>
    <w:rsid w:val="00D50217"/>
    <w:rsid w:val="00D5021F"/>
    <w:rsid w:val="00D502C9"/>
    <w:rsid w:val="00D50331"/>
    <w:rsid w:val="00D50355"/>
    <w:rsid w:val="00D503C0"/>
    <w:rsid w:val="00D503E4"/>
    <w:rsid w:val="00D50427"/>
    <w:rsid w:val="00D5042F"/>
    <w:rsid w:val="00D5046F"/>
    <w:rsid w:val="00D504A0"/>
    <w:rsid w:val="00D50672"/>
    <w:rsid w:val="00D506AC"/>
    <w:rsid w:val="00D506F1"/>
    <w:rsid w:val="00D50724"/>
    <w:rsid w:val="00D50822"/>
    <w:rsid w:val="00D5083E"/>
    <w:rsid w:val="00D50879"/>
    <w:rsid w:val="00D509AC"/>
    <w:rsid w:val="00D50A08"/>
    <w:rsid w:val="00D50A2F"/>
    <w:rsid w:val="00D50A40"/>
    <w:rsid w:val="00D50A51"/>
    <w:rsid w:val="00D50AF1"/>
    <w:rsid w:val="00D50B61"/>
    <w:rsid w:val="00D50BCA"/>
    <w:rsid w:val="00D50D53"/>
    <w:rsid w:val="00D50D58"/>
    <w:rsid w:val="00D50DC6"/>
    <w:rsid w:val="00D50DF8"/>
    <w:rsid w:val="00D50E05"/>
    <w:rsid w:val="00D50E6C"/>
    <w:rsid w:val="00D50EB6"/>
    <w:rsid w:val="00D50EDF"/>
    <w:rsid w:val="00D50EE3"/>
    <w:rsid w:val="00D5100B"/>
    <w:rsid w:val="00D5105A"/>
    <w:rsid w:val="00D51199"/>
    <w:rsid w:val="00D512A6"/>
    <w:rsid w:val="00D513E5"/>
    <w:rsid w:val="00D515EB"/>
    <w:rsid w:val="00D51610"/>
    <w:rsid w:val="00D51671"/>
    <w:rsid w:val="00D516CC"/>
    <w:rsid w:val="00D51861"/>
    <w:rsid w:val="00D51866"/>
    <w:rsid w:val="00D5187D"/>
    <w:rsid w:val="00D51946"/>
    <w:rsid w:val="00D519DB"/>
    <w:rsid w:val="00D51ABA"/>
    <w:rsid w:val="00D51B58"/>
    <w:rsid w:val="00D51C41"/>
    <w:rsid w:val="00D51C4F"/>
    <w:rsid w:val="00D51C92"/>
    <w:rsid w:val="00D51CE0"/>
    <w:rsid w:val="00D51D3C"/>
    <w:rsid w:val="00D51E7E"/>
    <w:rsid w:val="00D51EE4"/>
    <w:rsid w:val="00D51FA1"/>
    <w:rsid w:val="00D51FC3"/>
    <w:rsid w:val="00D51FE7"/>
    <w:rsid w:val="00D520BE"/>
    <w:rsid w:val="00D52201"/>
    <w:rsid w:val="00D5222C"/>
    <w:rsid w:val="00D522A2"/>
    <w:rsid w:val="00D522DE"/>
    <w:rsid w:val="00D522F1"/>
    <w:rsid w:val="00D52395"/>
    <w:rsid w:val="00D523EE"/>
    <w:rsid w:val="00D5241D"/>
    <w:rsid w:val="00D5242D"/>
    <w:rsid w:val="00D52581"/>
    <w:rsid w:val="00D5259A"/>
    <w:rsid w:val="00D526AF"/>
    <w:rsid w:val="00D526D3"/>
    <w:rsid w:val="00D5274B"/>
    <w:rsid w:val="00D52849"/>
    <w:rsid w:val="00D52888"/>
    <w:rsid w:val="00D528D9"/>
    <w:rsid w:val="00D52926"/>
    <w:rsid w:val="00D529F8"/>
    <w:rsid w:val="00D52A79"/>
    <w:rsid w:val="00D52AC3"/>
    <w:rsid w:val="00D52B34"/>
    <w:rsid w:val="00D52B9C"/>
    <w:rsid w:val="00D52D10"/>
    <w:rsid w:val="00D52D64"/>
    <w:rsid w:val="00D52D95"/>
    <w:rsid w:val="00D52DEC"/>
    <w:rsid w:val="00D52E1E"/>
    <w:rsid w:val="00D52E9A"/>
    <w:rsid w:val="00D52F18"/>
    <w:rsid w:val="00D52F96"/>
    <w:rsid w:val="00D52FC2"/>
    <w:rsid w:val="00D52FD1"/>
    <w:rsid w:val="00D530BC"/>
    <w:rsid w:val="00D530C8"/>
    <w:rsid w:val="00D53103"/>
    <w:rsid w:val="00D531C2"/>
    <w:rsid w:val="00D53217"/>
    <w:rsid w:val="00D53256"/>
    <w:rsid w:val="00D53259"/>
    <w:rsid w:val="00D532F1"/>
    <w:rsid w:val="00D53310"/>
    <w:rsid w:val="00D53322"/>
    <w:rsid w:val="00D53342"/>
    <w:rsid w:val="00D53354"/>
    <w:rsid w:val="00D5344C"/>
    <w:rsid w:val="00D535AC"/>
    <w:rsid w:val="00D53656"/>
    <w:rsid w:val="00D536B0"/>
    <w:rsid w:val="00D536BA"/>
    <w:rsid w:val="00D53724"/>
    <w:rsid w:val="00D53728"/>
    <w:rsid w:val="00D53762"/>
    <w:rsid w:val="00D537A9"/>
    <w:rsid w:val="00D53841"/>
    <w:rsid w:val="00D538C4"/>
    <w:rsid w:val="00D5394F"/>
    <w:rsid w:val="00D5396B"/>
    <w:rsid w:val="00D53986"/>
    <w:rsid w:val="00D539BA"/>
    <w:rsid w:val="00D53AD1"/>
    <w:rsid w:val="00D53B90"/>
    <w:rsid w:val="00D53BE9"/>
    <w:rsid w:val="00D53CB2"/>
    <w:rsid w:val="00D53CE1"/>
    <w:rsid w:val="00D53DD7"/>
    <w:rsid w:val="00D53DE5"/>
    <w:rsid w:val="00D53EB0"/>
    <w:rsid w:val="00D53F9C"/>
    <w:rsid w:val="00D53FA2"/>
    <w:rsid w:val="00D54066"/>
    <w:rsid w:val="00D540B3"/>
    <w:rsid w:val="00D540F5"/>
    <w:rsid w:val="00D5411D"/>
    <w:rsid w:val="00D54125"/>
    <w:rsid w:val="00D541EC"/>
    <w:rsid w:val="00D5427E"/>
    <w:rsid w:val="00D54305"/>
    <w:rsid w:val="00D54357"/>
    <w:rsid w:val="00D543B5"/>
    <w:rsid w:val="00D543E8"/>
    <w:rsid w:val="00D5441A"/>
    <w:rsid w:val="00D54470"/>
    <w:rsid w:val="00D5452A"/>
    <w:rsid w:val="00D54592"/>
    <w:rsid w:val="00D54741"/>
    <w:rsid w:val="00D547E0"/>
    <w:rsid w:val="00D548B5"/>
    <w:rsid w:val="00D548DC"/>
    <w:rsid w:val="00D54925"/>
    <w:rsid w:val="00D54A2B"/>
    <w:rsid w:val="00D54A8A"/>
    <w:rsid w:val="00D54B0D"/>
    <w:rsid w:val="00D54BA3"/>
    <w:rsid w:val="00D54BD7"/>
    <w:rsid w:val="00D54C93"/>
    <w:rsid w:val="00D54CFA"/>
    <w:rsid w:val="00D54D1D"/>
    <w:rsid w:val="00D54DE8"/>
    <w:rsid w:val="00D54E9C"/>
    <w:rsid w:val="00D54EC8"/>
    <w:rsid w:val="00D54EF0"/>
    <w:rsid w:val="00D54EF8"/>
    <w:rsid w:val="00D55017"/>
    <w:rsid w:val="00D55041"/>
    <w:rsid w:val="00D550B6"/>
    <w:rsid w:val="00D55140"/>
    <w:rsid w:val="00D551B4"/>
    <w:rsid w:val="00D551F9"/>
    <w:rsid w:val="00D5524E"/>
    <w:rsid w:val="00D55315"/>
    <w:rsid w:val="00D5543B"/>
    <w:rsid w:val="00D55488"/>
    <w:rsid w:val="00D554E4"/>
    <w:rsid w:val="00D554FE"/>
    <w:rsid w:val="00D55533"/>
    <w:rsid w:val="00D55537"/>
    <w:rsid w:val="00D555CE"/>
    <w:rsid w:val="00D55602"/>
    <w:rsid w:val="00D55630"/>
    <w:rsid w:val="00D5565D"/>
    <w:rsid w:val="00D5567B"/>
    <w:rsid w:val="00D55695"/>
    <w:rsid w:val="00D556C4"/>
    <w:rsid w:val="00D55742"/>
    <w:rsid w:val="00D55795"/>
    <w:rsid w:val="00D5582D"/>
    <w:rsid w:val="00D55926"/>
    <w:rsid w:val="00D55986"/>
    <w:rsid w:val="00D55989"/>
    <w:rsid w:val="00D55990"/>
    <w:rsid w:val="00D559B7"/>
    <w:rsid w:val="00D55A37"/>
    <w:rsid w:val="00D55A4C"/>
    <w:rsid w:val="00D55BC3"/>
    <w:rsid w:val="00D55CC9"/>
    <w:rsid w:val="00D55D13"/>
    <w:rsid w:val="00D55D1D"/>
    <w:rsid w:val="00D55D21"/>
    <w:rsid w:val="00D55D86"/>
    <w:rsid w:val="00D55DA9"/>
    <w:rsid w:val="00D55DB3"/>
    <w:rsid w:val="00D55ECF"/>
    <w:rsid w:val="00D55EE5"/>
    <w:rsid w:val="00D55FFD"/>
    <w:rsid w:val="00D56077"/>
    <w:rsid w:val="00D56113"/>
    <w:rsid w:val="00D5611D"/>
    <w:rsid w:val="00D562D7"/>
    <w:rsid w:val="00D562DB"/>
    <w:rsid w:val="00D562E3"/>
    <w:rsid w:val="00D5632F"/>
    <w:rsid w:val="00D56387"/>
    <w:rsid w:val="00D563F4"/>
    <w:rsid w:val="00D56431"/>
    <w:rsid w:val="00D564AC"/>
    <w:rsid w:val="00D564C8"/>
    <w:rsid w:val="00D5651B"/>
    <w:rsid w:val="00D56580"/>
    <w:rsid w:val="00D565D3"/>
    <w:rsid w:val="00D56638"/>
    <w:rsid w:val="00D5667E"/>
    <w:rsid w:val="00D56803"/>
    <w:rsid w:val="00D56821"/>
    <w:rsid w:val="00D568A8"/>
    <w:rsid w:val="00D569D3"/>
    <w:rsid w:val="00D56AA2"/>
    <w:rsid w:val="00D56B03"/>
    <w:rsid w:val="00D56B62"/>
    <w:rsid w:val="00D56B76"/>
    <w:rsid w:val="00D56CD8"/>
    <w:rsid w:val="00D56CDC"/>
    <w:rsid w:val="00D56D9B"/>
    <w:rsid w:val="00D56DCC"/>
    <w:rsid w:val="00D56DD3"/>
    <w:rsid w:val="00D56DDD"/>
    <w:rsid w:val="00D56FD1"/>
    <w:rsid w:val="00D57093"/>
    <w:rsid w:val="00D57193"/>
    <w:rsid w:val="00D57421"/>
    <w:rsid w:val="00D576EB"/>
    <w:rsid w:val="00D578E2"/>
    <w:rsid w:val="00D57924"/>
    <w:rsid w:val="00D57985"/>
    <w:rsid w:val="00D579A0"/>
    <w:rsid w:val="00D57AA5"/>
    <w:rsid w:val="00D57AB6"/>
    <w:rsid w:val="00D57B12"/>
    <w:rsid w:val="00D57B22"/>
    <w:rsid w:val="00D57B29"/>
    <w:rsid w:val="00D57B43"/>
    <w:rsid w:val="00D57C0E"/>
    <w:rsid w:val="00D57C43"/>
    <w:rsid w:val="00D57C87"/>
    <w:rsid w:val="00D57CE1"/>
    <w:rsid w:val="00D57CE9"/>
    <w:rsid w:val="00D57D80"/>
    <w:rsid w:val="00D57DC7"/>
    <w:rsid w:val="00D57DF0"/>
    <w:rsid w:val="00D57E3E"/>
    <w:rsid w:val="00D57F3B"/>
    <w:rsid w:val="00D57F40"/>
    <w:rsid w:val="00D57FB6"/>
    <w:rsid w:val="00D60126"/>
    <w:rsid w:val="00D60138"/>
    <w:rsid w:val="00D60190"/>
    <w:rsid w:val="00D6020D"/>
    <w:rsid w:val="00D6020E"/>
    <w:rsid w:val="00D60216"/>
    <w:rsid w:val="00D602BF"/>
    <w:rsid w:val="00D602E0"/>
    <w:rsid w:val="00D60386"/>
    <w:rsid w:val="00D603C7"/>
    <w:rsid w:val="00D6048E"/>
    <w:rsid w:val="00D6049F"/>
    <w:rsid w:val="00D604B3"/>
    <w:rsid w:val="00D60548"/>
    <w:rsid w:val="00D605F1"/>
    <w:rsid w:val="00D60662"/>
    <w:rsid w:val="00D606BE"/>
    <w:rsid w:val="00D606E7"/>
    <w:rsid w:val="00D6091E"/>
    <w:rsid w:val="00D60926"/>
    <w:rsid w:val="00D60968"/>
    <w:rsid w:val="00D60A16"/>
    <w:rsid w:val="00D60AA8"/>
    <w:rsid w:val="00D60C11"/>
    <w:rsid w:val="00D60D0E"/>
    <w:rsid w:val="00D60D52"/>
    <w:rsid w:val="00D60D8C"/>
    <w:rsid w:val="00D60EE4"/>
    <w:rsid w:val="00D60F66"/>
    <w:rsid w:val="00D60FEE"/>
    <w:rsid w:val="00D61097"/>
    <w:rsid w:val="00D610AC"/>
    <w:rsid w:val="00D6117F"/>
    <w:rsid w:val="00D611A9"/>
    <w:rsid w:val="00D61431"/>
    <w:rsid w:val="00D61493"/>
    <w:rsid w:val="00D61505"/>
    <w:rsid w:val="00D61579"/>
    <w:rsid w:val="00D615D8"/>
    <w:rsid w:val="00D6160C"/>
    <w:rsid w:val="00D6167D"/>
    <w:rsid w:val="00D616BE"/>
    <w:rsid w:val="00D619B5"/>
    <w:rsid w:val="00D61A1F"/>
    <w:rsid w:val="00D61A5F"/>
    <w:rsid w:val="00D61B2F"/>
    <w:rsid w:val="00D61B3B"/>
    <w:rsid w:val="00D61B41"/>
    <w:rsid w:val="00D61BCF"/>
    <w:rsid w:val="00D61C1F"/>
    <w:rsid w:val="00D61C64"/>
    <w:rsid w:val="00D61D18"/>
    <w:rsid w:val="00D61D69"/>
    <w:rsid w:val="00D61DD2"/>
    <w:rsid w:val="00D61DD5"/>
    <w:rsid w:val="00D61E5F"/>
    <w:rsid w:val="00D61E8F"/>
    <w:rsid w:val="00D61F09"/>
    <w:rsid w:val="00D620C2"/>
    <w:rsid w:val="00D620C7"/>
    <w:rsid w:val="00D6213B"/>
    <w:rsid w:val="00D62175"/>
    <w:rsid w:val="00D6217E"/>
    <w:rsid w:val="00D6237D"/>
    <w:rsid w:val="00D62475"/>
    <w:rsid w:val="00D62656"/>
    <w:rsid w:val="00D6281C"/>
    <w:rsid w:val="00D62846"/>
    <w:rsid w:val="00D628E5"/>
    <w:rsid w:val="00D628F2"/>
    <w:rsid w:val="00D629E4"/>
    <w:rsid w:val="00D62A3F"/>
    <w:rsid w:val="00D62A4C"/>
    <w:rsid w:val="00D62AD2"/>
    <w:rsid w:val="00D62AE7"/>
    <w:rsid w:val="00D62C13"/>
    <w:rsid w:val="00D62C2B"/>
    <w:rsid w:val="00D62C2D"/>
    <w:rsid w:val="00D62C74"/>
    <w:rsid w:val="00D62CE8"/>
    <w:rsid w:val="00D62D7C"/>
    <w:rsid w:val="00D62D99"/>
    <w:rsid w:val="00D62DDC"/>
    <w:rsid w:val="00D62E1C"/>
    <w:rsid w:val="00D62E22"/>
    <w:rsid w:val="00D62EB5"/>
    <w:rsid w:val="00D62FE2"/>
    <w:rsid w:val="00D630CF"/>
    <w:rsid w:val="00D6317E"/>
    <w:rsid w:val="00D631A1"/>
    <w:rsid w:val="00D632C6"/>
    <w:rsid w:val="00D633B8"/>
    <w:rsid w:val="00D633D7"/>
    <w:rsid w:val="00D634EE"/>
    <w:rsid w:val="00D63660"/>
    <w:rsid w:val="00D636C7"/>
    <w:rsid w:val="00D636E5"/>
    <w:rsid w:val="00D63705"/>
    <w:rsid w:val="00D63707"/>
    <w:rsid w:val="00D6373D"/>
    <w:rsid w:val="00D63783"/>
    <w:rsid w:val="00D637B1"/>
    <w:rsid w:val="00D6392E"/>
    <w:rsid w:val="00D63980"/>
    <w:rsid w:val="00D63987"/>
    <w:rsid w:val="00D639A5"/>
    <w:rsid w:val="00D63A90"/>
    <w:rsid w:val="00D63E13"/>
    <w:rsid w:val="00D63E27"/>
    <w:rsid w:val="00D63E3D"/>
    <w:rsid w:val="00D63E78"/>
    <w:rsid w:val="00D63EB5"/>
    <w:rsid w:val="00D63F0E"/>
    <w:rsid w:val="00D63F17"/>
    <w:rsid w:val="00D63F3E"/>
    <w:rsid w:val="00D63FBF"/>
    <w:rsid w:val="00D64063"/>
    <w:rsid w:val="00D640E4"/>
    <w:rsid w:val="00D6412B"/>
    <w:rsid w:val="00D64229"/>
    <w:rsid w:val="00D6424B"/>
    <w:rsid w:val="00D6432C"/>
    <w:rsid w:val="00D64331"/>
    <w:rsid w:val="00D64334"/>
    <w:rsid w:val="00D6437A"/>
    <w:rsid w:val="00D643A5"/>
    <w:rsid w:val="00D643CD"/>
    <w:rsid w:val="00D643F4"/>
    <w:rsid w:val="00D6444C"/>
    <w:rsid w:val="00D646B9"/>
    <w:rsid w:val="00D647A4"/>
    <w:rsid w:val="00D647A9"/>
    <w:rsid w:val="00D647B8"/>
    <w:rsid w:val="00D647C0"/>
    <w:rsid w:val="00D64961"/>
    <w:rsid w:val="00D64976"/>
    <w:rsid w:val="00D649F9"/>
    <w:rsid w:val="00D64AE9"/>
    <w:rsid w:val="00D64B7C"/>
    <w:rsid w:val="00D64BA7"/>
    <w:rsid w:val="00D64C51"/>
    <w:rsid w:val="00D64CEC"/>
    <w:rsid w:val="00D64D5F"/>
    <w:rsid w:val="00D64DB6"/>
    <w:rsid w:val="00D64DD3"/>
    <w:rsid w:val="00D64E03"/>
    <w:rsid w:val="00D64E23"/>
    <w:rsid w:val="00D64ECF"/>
    <w:rsid w:val="00D64ED3"/>
    <w:rsid w:val="00D64F27"/>
    <w:rsid w:val="00D64F73"/>
    <w:rsid w:val="00D64F8B"/>
    <w:rsid w:val="00D64FA7"/>
    <w:rsid w:val="00D65003"/>
    <w:rsid w:val="00D6502A"/>
    <w:rsid w:val="00D6512A"/>
    <w:rsid w:val="00D652FF"/>
    <w:rsid w:val="00D65326"/>
    <w:rsid w:val="00D653BC"/>
    <w:rsid w:val="00D6556C"/>
    <w:rsid w:val="00D655A3"/>
    <w:rsid w:val="00D656A9"/>
    <w:rsid w:val="00D65707"/>
    <w:rsid w:val="00D658E2"/>
    <w:rsid w:val="00D659BE"/>
    <w:rsid w:val="00D659E7"/>
    <w:rsid w:val="00D65A43"/>
    <w:rsid w:val="00D65AD4"/>
    <w:rsid w:val="00D65B20"/>
    <w:rsid w:val="00D65C24"/>
    <w:rsid w:val="00D65C37"/>
    <w:rsid w:val="00D65DA2"/>
    <w:rsid w:val="00D65DD7"/>
    <w:rsid w:val="00D65E38"/>
    <w:rsid w:val="00D65EDA"/>
    <w:rsid w:val="00D65F88"/>
    <w:rsid w:val="00D66018"/>
    <w:rsid w:val="00D6604C"/>
    <w:rsid w:val="00D66074"/>
    <w:rsid w:val="00D660BC"/>
    <w:rsid w:val="00D660D2"/>
    <w:rsid w:val="00D66149"/>
    <w:rsid w:val="00D66157"/>
    <w:rsid w:val="00D661C3"/>
    <w:rsid w:val="00D66207"/>
    <w:rsid w:val="00D662A2"/>
    <w:rsid w:val="00D66300"/>
    <w:rsid w:val="00D66335"/>
    <w:rsid w:val="00D664F9"/>
    <w:rsid w:val="00D664FA"/>
    <w:rsid w:val="00D66580"/>
    <w:rsid w:val="00D66666"/>
    <w:rsid w:val="00D666A0"/>
    <w:rsid w:val="00D666FA"/>
    <w:rsid w:val="00D66744"/>
    <w:rsid w:val="00D66841"/>
    <w:rsid w:val="00D6697E"/>
    <w:rsid w:val="00D669C9"/>
    <w:rsid w:val="00D66A2B"/>
    <w:rsid w:val="00D66A3E"/>
    <w:rsid w:val="00D66B5A"/>
    <w:rsid w:val="00D66B6A"/>
    <w:rsid w:val="00D66B72"/>
    <w:rsid w:val="00D66B88"/>
    <w:rsid w:val="00D66C5B"/>
    <w:rsid w:val="00D66C6E"/>
    <w:rsid w:val="00D66C97"/>
    <w:rsid w:val="00D66D7F"/>
    <w:rsid w:val="00D66DB7"/>
    <w:rsid w:val="00D66FE5"/>
    <w:rsid w:val="00D670CC"/>
    <w:rsid w:val="00D67116"/>
    <w:rsid w:val="00D67177"/>
    <w:rsid w:val="00D6717A"/>
    <w:rsid w:val="00D671C3"/>
    <w:rsid w:val="00D671DB"/>
    <w:rsid w:val="00D67211"/>
    <w:rsid w:val="00D672C9"/>
    <w:rsid w:val="00D673DC"/>
    <w:rsid w:val="00D67462"/>
    <w:rsid w:val="00D67489"/>
    <w:rsid w:val="00D674BB"/>
    <w:rsid w:val="00D67522"/>
    <w:rsid w:val="00D67557"/>
    <w:rsid w:val="00D6758F"/>
    <w:rsid w:val="00D67643"/>
    <w:rsid w:val="00D67715"/>
    <w:rsid w:val="00D6774E"/>
    <w:rsid w:val="00D677CF"/>
    <w:rsid w:val="00D677D9"/>
    <w:rsid w:val="00D6784D"/>
    <w:rsid w:val="00D67996"/>
    <w:rsid w:val="00D67A0F"/>
    <w:rsid w:val="00D67ABF"/>
    <w:rsid w:val="00D67ACE"/>
    <w:rsid w:val="00D67AE4"/>
    <w:rsid w:val="00D67C61"/>
    <w:rsid w:val="00D67C84"/>
    <w:rsid w:val="00D67CEA"/>
    <w:rsid w:val="00D67D14"/>
    <w:rsid w:val="00D67D28"/>
    <w:rsid w:val="00D67DD0"/>
    <w:rsid w:val="00D67DE7"/>
    <w:rsid w:val="00D67DFB"/>
    <w:rsid w:val="00D67E33"/>
    <w:rsid w:val="00D67EFA"/>
    <w:rsid w:val="00D67F96"/>
    <w:rsid w:val="00D67FCD"/>
    <w:rsid w:val="00D67FDD"/>
    <w:rsid w:val="00D7006A"/>
    <w:rsid w:val="00D70110"/>
    <w:rsid w:val="00D70207"/>
    <w:rsid w:val="00D70437"/>
    <w:rsid w:val="00D70485"/>
    <w:rsid w:val="00D70539"/>
    <w:rsid w:val="00D705E1"/>
    <w:rsid w:val="00D7060E"/>
    <w:rsid w:val="00D70637"/>
    <w:rsid w:val="00D70667"/>
    <w:rsid w:val="00D706E7"/>
    <w:rsid w:val="00D70772"/>
    <w:rsid w:val="00D70775"/>
    <w:rsid w:val="00D70943"/>
    <w:rsid w:val="00D70975"/>
    <w:rsid w:val="00D709D0"/>
    <w:rsid w:val="00D70CF7"/>
    <w:rsid w:val="00D70D5A"/>
    <w:rsid w:val="00D70E11"/>
    <w:rsid w:val="00D70EAB"/>
    <w:rsid w:val="00D70F76"/>
    <w:rsid w:val="00D710C6"/>
    <w:rsid w:val="00D71263"/>
    <w:rsid w:val="00D71267"/>
    <w:rsid w:val="00D712C3"/>
    <w:rsid w:val="00D7131A"/>
    <w:rsid w:val="00D71324"/>
    <w:rsid w:val="00D71347"/>
    <w:rsid w:val="00D713C0"/>
    <w:rsid w:val="00D714C6"/>
    <w:rsid w:val="00D7161C"/>
    <w:rsid w:val="00D71641"/>
    <w:rsid w:val="00D7177A"/>
    <w:rsid w:val="00D7179E"/>
    <w:rsid w:val="00D717BD"/>
    <w:rsid w:val="00D717DF"/>
    <w:rsid w:val="00D717E9"/>
    <w:rsid w:val="00D7182D"/>
    <w:rsid w:val="00D71845"/>
    <w:rsid w:val="00D71984"/>
    <w:rsid w:val="00D71993"/>
    <w:rsid w:val="00D71A10"/>
    <w:rsid w:val="00D71A3A"/>
    <w:rsid w:val="00D71A68"/>
    <w:rsid w:val="00D71AF2"/>
    <w:rsid w:val="00D71AFF"/>
    <w:rsid w:val="00D71C77"/>
    <w:rsid w:val="00D71D09"/>
    <w:rsid w:val="00D71DC3"/>
    <w:rsid w:val="00D71E16"/>
    <w:rsid w:val="00D71FEA"/>
    <w:rsid w:val="00D72042"/>
    <w:rsid w:val="00D7208C"/>
    <w:rsid w:val="00D720AB"/>
    <w:rsid w:val="00D720FF"/>
    <w:rsid w:val="00D721B0"/>
    <w:rsid w:val="00D72227"/>
    <w:rsid w:val="00D7226A"/>
    <w:rsid w:val="00D7226C"/>
    <w:rsid w:val="00D722DA"/>
    <w:rsid w:val="00D72307"/>
    <w:rsid w:val="00D723F0"/>
    <w:rsid w:val="00D723FE"/>
    <w:rsid w:val="00D7259A"/>
    <w:rsid w:val="00D725BD"/>
    <w:rsid w:val="00D7266F"/>
    <w:rsid w:val="00D726B7"/>
    <w:rsid w:val="00D726BD"/>
    <w:rsid w:val="00D7274A"/>
    <w:rsid w:val="00D7290B"/>
    <w:rsid w:val="00D7293C"/>
    <w:rsid w:val="00D72B42"/>
    <w:rsid w:val="00D72D34"/>
    <w:rsid w:val="00D72D97"/>
    <w:rsid w:val="00D72F20"/>
    <w:rsid w:val="00D72F33"/>
    <w:rsid w:val="00D72FD8"/>
    <w:rsid w:val="00D72FDF"/>
    <w:rsid w:val="00D73024"/>
    <w:rsid w:val="00D7306C"/>
    <w:rsid w:val="00D73071"/>
    <w:rsid w:val="00D73160"/>
    <w:rsid w:val="00D73212"/>
    <w:rsid w:val="00D733B5"/>
    <w:rsid w:val="00D73454"/>
    <w:rsid w:val="00D734D3"/>
    <w:rsid w:val="00D734E6"/>
    <w:rsid w:val="00D735D3"/>
    <w:rsid w:val="00D735F6"/>
    <w:rsid w:val="00D73724"/>
    <w:rsid w:val="00D737B7"/>
    <w:rsid w:val="00D7391F"/>
    <w:rsid w:val="00D7396D"/>
    <w:rsid w:val="00D7398B"/>
    <w:rsid w:val="00D73991"/>
    <w:rsid w:val="00D739FA"/>
    <w:rsid w:val="00D73A1F"/>
    <w:rsid w:val="00D73A6D"/>
    <w:rsid w:val="00D73AC8"/>
    <w:rsid w:val="00D73AE0"/>
    <w:rsid w:val="00D73AE8"/>
    <w:rsid w:val="00D73C7D"/>
    <w:rsid w:val="00D73CE3"/>
    <w:rsid w:val="00D73D1B"/>
    <w:rsid w:val="00D73E20"/>
    <w:rsid w:val="00D73EFA"/>
    <w:rsid w:val="00D73F32"/>
    <w:rsid w:val="00D73F83"/>
    <w:rsid w:val="00D740AE"/>
    <w:rsid w:val="00D740C3"/>
    <w:rsid w:val="00D7414D"/>
    <w:rsid w:val="00D7419F"/>
    <w:rsid w:val="00D741FF"/>
    <w:rsid w:val="00D742E9"/>
    <w:rsid w:val="00D742F5"/>
    <w:rsid w:val="00D744EB"/>
    <w:rsid w:val="00D744F0"/>
    <w:rsid w:val="00D74624"/>
    <w:rsid w:val="00D74688"/>
    <w:rsid w:val="00D746AC"/>
    <w:rsid w:val="00D746D2"/>
    <w:rsid w:val="00D7473C"/>
    <w:rsid w:val="00D74893"/>
    <w:rsid w:val="00D749E0"/>
    <w:rsid w:val="00D74A44"/>
    <w:rsid w:val="00D74A6F"/>
    <w:rsid w:val="00D74B1F"/>
    <w:rsid w:val="00D74BCA"/>
    <w:rsid w:val="00D74C02"/>
    <w:rsid w:val="00D74CBB"/>
    <w:rsid w:val="00D74CDE"/>
    <w:rsid w:val="00D74D57"/>
    <w:rsid w:val="00D74EF4"/>
    <w:rsid w:val="00D750E8"/>
    <w:rsid w:val="00D750F1"/>
    <w:rsid w:val="00D7514A"/>
    <w:rsid w:val="00D752E0"/>
    <w:rsid w:val="00D75356"/>
    <w:rsid w:val="00D75361"/>
    <w:rsid w:val="00D753A5"/>
    <w:rsid w:val="00D753FE"/>
    <w:rsid w:val="00D75459"/>
    <w:rsid w:val="00D754B2"/>
    <w:rsid w:val="00D7560A"/>
    <w:rsid w:val="00D75786"/>
    <w:rsid w:val="00D757CF"/>
    <w:rsid w:val="00D75926"/>
    <w:rsid w:val="00D759AA"/>
    <w:rsid w:val="00D75A93"/>
    <w:rsid w:val="00D75AE8"/>
    <w:rsid w:val="00D75B48"/>
    <w:rsid w:val="00D75B5C"/>
    <w:rsid w:val="00D75B75"/>
    <w:rsid w:val="00D75CCD"/>
    <w:rsid w:val="00D75D16"/>
    <w:rsid w:val="00D75DDB"/>
    <w:rsid w:val="00D75EEC"/>
    <w:rsid w:val="00D75F8B"/>
    <w:rsid w:val="00D75FD8"/>
    <w:rsid w:val="00D75FF9"/>
    <w:rsid w:val="00D76042"/>
    <w:rsid w:val="00D76074"/>
    <w:rsid w:val="00D76115"/>
    <w:rsid w:val="00D7612F"/>
    <w:rsid w:val="00D7614E"/>
    <w:rsid w:val="00D76154"/>
    <w:rsid w:val="00D7635A"/>
    <w:rsid w:val="00D7636F"/>
    <w:rsid w:val="00D7648C"/>
    <w:rsid w:val="00D76507"/>
    <w:rsid w:val="00D7650D"/>
    <w:rsid w:val="00D7651C"/>
    <w:rsid w:val="00D765F2"/>
    <w:rsid w:val="00D765F8"/>
    <w:rsid w:val="00D76616"/>
    <w:rsid w:val="00D7669E"/>
    <w:rsid w:val="00D76766"/>
    <w:rsid w:val="00D767C8"/>
    <w:rsid w:val="00D767E8"/>
    <w:rsid w:val="00D7682E"/>
    <w:rsid w:val="00D7683A"/>
    <w:rsid w:val="00D769E3"/>
    <w:rsid w:val="00D76A8B"/>
    <w:rsid w:val="00D76B3A"/>
    <w:rsid w:val="00D76B60"/>
    <w:rsid w:val="00D76BD4"/>
    <w:rsid w:val="00D76C0E"/>
    <w:rsid w:val="00D76DCF"/>
    <w:rsid w:val="00D76E0B"/>
    <w:rsid w:val="00D76E56"/>
    <w:rsid w:val="00D76E86"/>
    <w:rsid w:val="00D76EC3"/>
    <w:rsid w:val="00D76EDC"/>
    <w:rsid w:val="00D7712A"/>
    <w:rsid w:val="00D77159"/>
    <w:rsid w:val="00D772B3"/>
    <w:rsid w:val="00D773E8"/>
    <w:rsid w:val="00D7745D"/>
    <w:rsid w:val="00D77499"/>
    <w:rsid w:val="00D774E1"/>
    <w:rsid w:val="00D77522"/>
    <w:rsid w:val="00D77536"/>
    <w:rsid w:val="00D7762A"/>
    <w:rsid w:val="00D77774"/>
    <w:rsid w:val="00D7779F"/>
    <w:rsid w:val="00D777AB"/>
    <w:rsid w:val="00D777EE"/>
    <w:rsid w:val="00D77816"/>
    <w:rsid w:val="00D77826"/>
    <w:rsid w:val="00D778BA"/>
    <w:rsid w:val="00D77921"/>
    <w:rsid w:val="00D77C35"/>
    <w:rsid w:val="00D77C89"/>
    <w:rsid w:val="00D77C96"/>
    <w:rsid w:val="00D77FF8"/>
    <w:rsid w:val="00D8006A"/>
    <w:rsid w:val="00D800D6"/>
    <w:rsid w:val="00D80263"/>
    <w:rsid w:val="00D80329"/>
    <w:rsid w:val="00D80338"/>
    <w:rsid w:val="00D80344"/>
    <w:rsid w:val="00D80347"/>
    <w:rsid w:val="00D80364"/>
    <w:rsid w:val="00D80406"/>
    <w:rsid w:val="00D80427"/>
    <w:rsid w:val="00D80456"/>
    <w:rsid w:val="00D80591"/>
    <w:rsid w:val="00D80599"/>
    <w:rsid w:val="00D806CC"/>
    <w:rsid w:val="00D806F7"/>
    <w:rsid w:val="00D806FB"/>
    <w:rsid w:val="00D80718"/>
    <w:rsid w:val="00D8074D"/>
    <w:rsid w:val="00D8076E"/>
    <w:rsid w:val="00D80856"/>
    <w:rsid w:val="00D809DE"/>
    <w:rsid w:val="00D80A49"/>
    <w:rsid w:val="00D80AD2"/>
    <w:rsid w:val="00D80AFB"/>
    <w:rsid w:val="00D80C1D"/>
    <w:rsid w:val="00D80CE0"/>
    <w:rsid w:val="00D80CF5"/>
    <w:rsid w:val="00D80D4E"/>
    <w:rsid w:val="00D80D84"/>
    <w:rsid w:val="00D80E00"/>
    <w:rsid w:val="00D80E12"/>
    <w:rsid w:val="00D80E81"/>
    <w:rsid w:val="00D81043"/>
    <w:rsid w:val="00D81045"/>
    <w:rsid w:val="00D8109D"/>
    <w:rsid w:val="00D810C6"/>
    <w:rsid w:val="00D8114D"/>
    <w:rsid w:val="00D811B3"/>
    <w:rsid w:val="00D81220"/>
    <w:rsid w:val="00D8124B"/>
    <w:rsid w:val="00D81264"/>
    <w:rsid w:val="00D812A6"/>
    <w:rsid w:val="00D812E8"/>
    <w:rsid w:val="00D8130E"/>
    <w:rsid w:val="00D81321"/>
    <w:rsid w:val="00D813A6"/>
    <w:rsid w:val="00D813A9"/>
    <w:rsid w:val="00D813BC"/>
    <w:rsid w:val="00D813D2"/>
    <w:rsid w:val="00D813E4"/>
    <w:rsid w:val="00D8155F"/>
    <w:rsid w:val="00D815F9"/>
    <w:rsid w:val="00D81700"/>
    <w:rsid w:val="00D8171D"/>
    <w:rsid w:val="00D81797"/>
    <w:rsid w:val="00D817FD"/>
    <w:rsid w:val="00D818C4"/>
    <w:rsid w:val="00D81948"/>
    <w:rsid w:val="00D8199A"/>
    <w:rsid w:val="00D81A22"/>
    <w:rsid w:val="00D81A7F"/>
    <w:rsid w:val="00D81A94"/>
    <w:rsid w:val="00D81B7C"/>
    <w:rsid w:val="00D81BE2"/>
    <w:rsid w:val="00D81D22"/>
    <w:rsid w:val="00D81D75"/>
    <w:rsid w:val="00D81E16"/>
    <w:rsid w:val="00D81F80"/>
    <w:rsid w:val="00D81FB3"/>
    <w:rsid w:val="00D81FED"/>
    <w:rsid w:val="00D8201A"/>
    <w:rsid w:val="00D820FD"/>
    <w:rsid w:val="00D8228A"/>
    <w:rsid w:val="00D822F3"/>
    <w:rsid w:val="00D8237B"/>
    <w:rsid w:val="00D823DB"/>
    <w:rsid w:val="00D82458"/>
    <w:rsid w:val="00D824A6"/>
    <w:rsid w:val="00D8256F"/>
    <w:rsid w:val="00D82648"/>
    <w:rsid w:val="00D82895"/>
    <w:rsid w:val="00D82896"/>
    <w:rsid w:val="00D828A4"/>
    <w:rsid w:val="00D828D6"/>
    <w:rsid w:val="00D82908"/>
    <w:rsid w:val="00D82935"/>
    <w:rsid w:val="00D829F6"/>
    <w:rsid w:val="00D82A65"/>
    <w:rsid w:val="00D82BBC"/>
    <w:rsid w:val="00D82C01"/>
    <w:rsid w:val="00D82C64"/>
    <w:rsid w:val="00D82CB2"/>
    <w:rsid w:val="00D82D0D"/>
    <w:rsid w:val="00D82E52"/>
    <w:rsid w:val="00D82EB0"/>
    <w:rsid w:val="00D82F1F"/>
    <w:rsid w:val="00D82F21"/>
    <w:rsid w:val="00D82F3C"/>
    <w:rsid w:val="00D83092"/>
    <w:rsid w:val="00D830AA"/>
    <w:rsid w:val="00D830D9"/>
    <w:rsid w:val="00D8321A"/>
    <w:rsid w:val="00D8335F"/>
    <w:rsid w:val="00D8339A"/>
    <w:rsid w:val="00D833D9"/>
    <w:rsid w:val="00D83411"/>
    <w:rsid w:val="00D83450"/>
    <w:rsid w:val="00D8361C"/>
    <w:rsid w:val="00D8376C"/>
    <w:rsid w:val="00D8377D"/>
    <w:rsid w:val="00D83844"/>
    <w:rsid w:val="00D8384F"/>
    <w:rsid w:val="00D83891"/>
    <w:rsid w:val="00D83A37"/>
    <w:rsid w:val="00D83BD9"/>
    <w:rsid w:val="00D83BEB"/>
    <w:rsid w:val="00D83C8E"/>
    <w:rsid w:val="00D83CF3"/>
    <w:rsid w:val="00D83D60"/>
    <w:rsid w:val="00D83DD5"/>
    <w:rsid w:val="00D83DFB"/>
    <w:rsid w:val="00D83EE1"/>
    <w:rsid w:val="00D83F7D"/>
    <w:rsid w:val="00D83FB7"/>
    <w:rsid w:val="00D8401C"/>
    <w:rsid w:val="00D84053"/>
    <w:rsid w:val="00D840AD"/>
    <w:rsid w:val="00D84131"/>
    <w:rsid w:val="00D84154"/>
    <w:rsid w:val="00D8418F"/>
    <w:rsid w:val="00D841E3"/>
    <w:rsid w:val="00D841E4"/>
    <w:rsid w:val="00D84264"/>
    <w:rsid w:val="00D842A2"/>
    <w:rsid w:val="00D8431B"/>
    <w:rsid w:val="00D8433C"/>
    <w:rsid w:val="00D8444C"/>
    <w:rsid w:val="00D845C8"/>
    <w:rsid w:val="00D84627"/>
    <w:rsid w:val="00D846F5"/>
    <w:rsid w:val="00D8470A"/>
    <w:rsid w:val="00D847B9"/>
    <w:rsid w:val="00D847C9"/>
    <w:rsid w:val="00D847F1"/>
    <w:rsid w:val="00D847F4"/>
    <w:rsid w:val="00D84838"/>
    <w:rsid w:val="00D84878"/>
    <w:rsid w:val="00D84898"/>
    <w:rsid w:val="00D848C6"/>
    <w:rsid w:val="00D848CA"/>
    <w:rsid w:val="00D848D0"/>
    <w:rsid w:val="00D84906"/>
    <w:rsid w:val="00D84955"/>
    <w:rsid w:val="00D8495C"/>
    <w:rsid w:val="00D849D8"/>
    <w:rsid w:val="00D849EB"/>
    <w:rsid w:val="00D84A78"/>
    <w:rsid w:val="00D84AB6"/>
    <w:rsid w:val="00D84AE3"/>
    <w:rsid w:val="00D84B47"/>
    <w:rsid w:val="00D84B58"/>
    <w:rsid w:val="00D84BDD"/>
    <w:rsid w:val="00D84C2F"/>
    <w:rsid w:val="00D84CA3"/>
    <w:rsid w:val="00D84D15"/>
    <w:rsid w:val="00D84DAF"/>
    <w:rsid w:val="00D84E53"/>
    <w:rsid w:val="00D84E88"/>
    <w:rsid w:val="00D84F2C"/>
    <w:rsid w:val="00D8509A"/>
    <w:rsid w:val="00D850F1"/>
    <w:rsid w:val="00D85115"/>
    <w:rsid w:val="00D85196"/>
    <w:rsid w:val="00D851C5"/>
    <w:rsid w:val="00D8524A"/>
    <w:rsid w:val="00D852FF"/>
    <w:rsid w:val="00D8537A"/>
    <w:rsid w:val="00D853AE"/>
    <w:rsid w:val="00D853C0"/>
    <w:rsid w:val="00D853EB"/>
    <w:rsid w:val="00D85437"/>
    <w:rsid w:val="00D854BD"/>
    <w:rsid w:val="00D85537"/>
    <w:rsid w:val="00D85641"/>
    <w:rsid w:val="00D856DA"/>
    <w:rsid w:val="00D8573C"/>
    <w:rsid w:val="00D857BB"/>
    <w:rsid w:val="00D857E7"/>
    <w:rsid w:val="00D8586F"/>
    <w:rsid w:val="00D8593D"/>
    <w:rsid w:val="00D85946"/>
    <w:rsid w:val="00D8596D"/>
    <w:rsid w:val="00D859AF"/>
    <w:rsid w:val="00D85A25"/>
    <w:rsid w:val="00D85A85"/>
    <w:rsid w:val="00D85B98"/>
    <w:rsid w:val="00D85C89"/>
    <w:rsid w:val="00D85EF9"/>
    <w:rsid w:val="00D8607D"/>
    <w:rsid w:val="00D860A8"/>
    <w:rsid w:val="00D86124"/>
    <w:rsid w:val="00D86186"/>
    <w:rsid w:val="00D862FA"/>
    <w:rsid w:val="00D863E8"/>
    <w:rsid w:val="00D863EA"/>
    <w:rsid w:val="00D86442"/>
    <w:rsid w:val="00D86449"/>
    <w:rsid w:val="00D86453"/>
    <w:rsid w:val="00D86458"/>
    <w:rsid w:val="00D8651B"/>
    <w:rsid w:val="00D865EF"/>
    <w:rsid w:val="00D8668F"/>
    <w:rsid w:val="00D86705"/>
    <w:rsid w:val="00D86737"/>
    <w:rsid w:val="00D86759"/>
    <w:rsid w:val="00D867E3"/>
    <w:rsid w:val="00D86841"/>
    <w:rsid w:val="00D86850"/>
    <w:rsid w:val="00D86A0C"/>
    <w:rsid w:val="00D86A21"/>
    <w:rsid w:val="00D86AC1"/>
    <w:rsid w:val="00D86AD4"/>
    <w:rsid w:val="00D86CB9"/>
    <w:rsid w:val="00D86D2C"/>
    <w:rsid w:val="00D86D37"/>
    <w:rsid w:val="00D86D40"/>
    <w:rsid w:val="00D86E0C"/>
    <w:rsid w:val="00D86E17"/>
    <w:rsid w:val="00D86E96"/>
    <w:rsid w:val="00D86F6D"/>
    <w:rsid w:val="00D86F6F"/>
    <w:rsid w:val="00D86F8D"/>
    <w:rsid w:val="00D86FD5"/>
    <w:rsid w:val="00D87038"/>
    <w:rsid w:val="00D870AB"/>
    <w:rsid w:val="00D870D0"/>
    <w:rsid w:val="00D870F0"/>
    <w:rsid w:val="00D871F6"/>
    <w:rsid w:val="00D8726D"/>
    <w:rsid w:val="00D872AE"/>
    <w:rsid w:val="00D872E6"/>
    <w:rsid w:val="00D8736F"/>
    <w:rsid w:val="00D8739D"/>
    <w:rsid w:val="00D873E6"/>
    <w:rsid w:val="00D873FD"/>
    <w:rsid w:val="00D873FE"/>
    <w:rsid w:val="00D8741A"/>
    <w:rsid w:val="00D874A2"/>
    <w:rsid w:val="00D8759A"/>
    <w:rsid w:val="00D875FE"/>
    <w:rsid w:val="00D87630"/>
    <w:rsid w:val="00D87641"/>
    <w:rsid w:val="00D87658"/>
    <w:rsid w:val="00D87834"/>
    <w:rsid w:val="00D878BE"/>
    <w:rsid w:val="00D8797A"/>
    <w:rsid w:val="00D87997"/>
    <w:rsid w:val="00D87A08"/>
    <w:rsid w:val="00D87A99"/>
    <w:rsid w:val="00D87B0D"/>
    <w:rsid w:val="00D87B77"/>
    <w:rsid w:val="00D87B7B"/>
    <w:rsid w:val="00D87C08"/>
    <w:rsid w:val="00D87D3A"/>
    <w:rsid w:val="00D87D47"/>
    <w:rsid w:val="00D87DDC"/>
    <w:rsid w:val="00D87E1F"/>
    <w:rsid w:val="00D87E74"/>
    <w:rsid w:val="00D87E80"/>
    <w:rsid w:val="00D8FABB"/>
    <w:rsid w:val="00D90081"/>
    <w:rsid w:val="00D900BF"/>
    <w:rsid w:val="00D900D9"/>
    <w:rsid w:val="00D90205"/>
    <w:rsid w:val="00D90252"/>
    <w:rsid w:val="00D902AA"/>
    <w:rsid w:val="00D903DD"/>
    <w:rsid w:val="00D904A3"/>
    <w:rsid w:val="00D904F1"/>
    <w:rsid w:val="00D9055A"/>
    <w:rsid w:val="00D90660"/>
    <w:rsid w:val="00D90699"/>
    <w:rsid w:val="00D906C4"/>
    <w:rsid w:val="00D906CE"/>
    <w:rsid w:val="00D9081A"/>
    <w:rsid w:val="00D9085A"/>
    <w:rsid w:val="00D908EC"/>
    <w:rsid w:val="00D908F1"/>
    <w:rsid w:val="00D90927"/>
    <w:rsid w:val="00D909AF"/>
    <w:rsid w:val="00D90A03"/>
    <w:rsid w:val="00D90A0C"/>
    <w:rsid w:val="00D90A40"/>
    <w:rsid w:val="00D90ADA"/>
    <w:rsid w:val="00D90BC7"/>
    <w:rsid w:val="00D90C19"/>
    <w:rsid w:val="00D90E8E"/>
    <w:rsid w:val="00D90F63"/>
    <w:rsid w:val="00D90F87"/>
    <w:rsid w:val="00D90FA1"/>
    <w:rsid w:val="00D90FCC"/>
    <w:rsid w:val="00D91040"/>
    <w:rsid w:val="00D91089"/>
    <w:rsid w:val="00D910E3"/>
    <w:rsid w:val="00D91103"/>
    <w:rsid w:val="00D91190"/>
    <w:rsid w:val="00D911B8"/>
    <w:rsid w:val="00D91235"/>
    <w:rsid w:val="00D9123C"/>
    <w:rsid w:val="00D91372"/>
    <w:rsid w:val="00D91382"/>
    <w:rsid w:val="00D91434"/>
    <w:rsid w:val="00D9143F"/>
    <w:rsid w:val="00D9145A"/>
    <w:rsid w:val="00D91461"/>
    <w:rsid w:val="00D91471"/>
    <w:rsid w:val="00D91525"/>
    <w:rsid w:val="00D91545"/>
    <w:rsid w:val="00D915A3"/>
    <w:rsid w:val="00D915A4"/>
    <w:rsid w:val="00D915CC"/>
    <w:rsid w:val="00D91618"/>
    <w:rsid w:val="00D91689"/>
    <w:rsid w:val="00D916D6"/>
    <w:rsid w:val="00D91790"/>
    <w:rsid w:val="00D9181D"/>
    <w:rsid w:val="00D918FD"/>
    <w:rsid w:val="00D919C3"/>
    <w:rsid w:val="00D919CC"/>
    <w:rsid w:val="00D919FA"/>
    <w:rsid w:val="00D91A2F"/>
    <w:rsid w:val="00D91A49"/>
    <w:rsid w:val="00D91ACD"/>
    <w:rsid w:val="00D91AED"/>
    <w:rsid w:val="00D91B3A"/>
    <w:rsid w:val="00D91B98"/>
    <w:rsid w:val="00D91CE6"/>
    <w:rsid w:val="00D91D8B"/>
    <w:rsid w:val="00D91DBD"/>
    <w:rsid w:val="00D91E28"/>
    <w:rsid w:val="00D91E8E"/>
    <w:rsid w:val="00D91F29"/>
    <w:rsid w:val="00D91F55"/>
    <w:rsid w:val="00D91FD4"/>
    <w:rsid w:val="00D91FFF"/>
    <w:rsid w:val="00D9202A"/>
    <w:rsid w:val="00D92063"/>
    <w:rsid w:val="00D92067"/>
    <w:rsid w:val="00D92081"/>
    <w:rsid w:val="00D92126"/>
    <w:rsid w:val="00D92193"/>
    <w:rsid w:val="00D92323"/>
    <w:rsid w:val="00D923DD"/>
    <w:rsid w:val="00D924DB"/>
    <w:rsid w:val="00D92545"/>
    <w:rsid w:val="00D9261A"/>
    <w:rsid w:val="00D92750"/>
    <w:rsid w:val="00D9277F"/>
    <w:rsid w:val="00D927AE"/>
    <w:rsid w:val="00D927EA"/>
    <w:rsid w:val="00D927FF"/>
    <w:rsid w:val="00D92801"/>
    <w:rsid w:val="00D9281C"/>
    <w:rsid w:val="00D92931"/>
    <w:rsid w:val="00D92998"/>
    <w:rsid w:val="00D929D3"/>
    <w:rsid w:val="00D92A5F"/>
    <w:rsid w:val="00D92D2F"/>
    <w:rsid w:val="00D92D83"/>
    <w:rsid w:val="00D92E31"/>
    <w:rsid w:val="00D92E6E"/>
    <w:rsid w:val="00D92F41"/>
    <w:rsid w:val="00D92F7B"/>
    <w:rsid w:val="00D92FA6"/>
    <w:rsid w:val="00D92FE5"/>
    <w:rsid w:val="00D9305E"/>
    <w:rsid w:val="00D93134"/>
    <w:rsid w:val="00D9319A"/>
    <w:rsid w:val="00D9321E"/>
    <w:rsid w:val="00D932E1"/>
    <w:rsid w:val="00D93401"/>
    <w:rsid w:val="00D93427"/>
    <w:rsid w:val="00D93442"/>
    <w:rsid w:val="00D93456"/>
    <w:rsid w:val="00D934BC"/>
    <w:rsid w:val="00D934C6"/>
    <w:rsid w:val="00D934FB"/>
    <w:rsid w:val="00D9350E"/>
    <w:rsid w:val="00D9352B"/>
    <w:rsid w:val="00D93571"/>
    <w:rsid w:val="00D935D4"/>
    <w:rsid w:val="00D93704"/>
    <w:rsid w:val="00D93756"/>
    <w:rsid w:val="00D9383A"/>
    <w:rsid w:val="00D93843"/>
    <w:rsid w:val="00D938BB"/>
    <w:rsid w:val="00D93901"/>
    <w:rsid w:val="00D939B9"/>
    <w:rsid w:val="00D93A90"/>
    <w:rsid w:val="00D93B30"/>
    <w:rsid w:val="00D93E0F"/>
    <w:rsid w:val="00D93E67"/>
    <w:rsid w:val="00D93EFE"/>
    <w:rsid w:val="00D93F2A"/>
    <w:rsid w:val="00D93F73"/>
    <w:rsid w:val="00D93F86"/>
    <w:rsid w:val="00D93FDD"/>
    <w:rsid w:val="00D94000"/>
    <w:rsid w:val="00D94206"/>
    <w:rsid w:val="00D94309"/>
    <w:rsid w:val="00D9430D"/>
    <w:rsid w:val="00D94388"/>
    <w:rsid w:val="00D943AF"/>
    <w:rsid w:val="00D94426"/>
    <w:rsid w:val="00D9449F"/>
    <w:rsid w:val="00D944A8"/>
    <w:rsid w:val="00D9453F"/>
    <w:rsid w:val="00D9457B"/>
    <w:rsid w:val="00D94586"/>
    <w:rsid w:val="00D945AC"/>
    <w:rsid w:val="00D94601"/>
    <w:rsid w:val="00D94619"/>
    <w:rsid w:val="00D94673"/>
    <w:rsid w:val="00D946A5"/>
    <w:rsid w:val="00D946B0"/>
    <w:rsid w:val="00D9476D"/>
    <w:rsid w:val="00D947CE"/>
    <w:rsid w:val="00D9488B"/>
    <w:rsid w:val="00D94932"/>
    <w:rsid w:val="00D94A03"/>
    <w:rsid w:val="00D94A1F"/>
    <w:rsid w:val="00D94B32"/>
    <w:rsid w:val="00D94BB8"/>
    <w:rsid w:val="00D94C05"/>
    <w:rsid w:val="00D94C0B"/>
    <w:rsid w:val="00D94C4C"/>
    <w:rsid w:val="00D94CA1"/>
    <w:rsid w:val="00D94CE6"/>
    <w:rsid w:val="00D94D08"/>
    <w:rsid w:val="00D94D52"/>
    <w:rsid w:val="00D94DCF"/>
    <w:rsid w:val="00D94E98"/>
    <w:rsid w:val="00D94EAE"/>
    <w:rsid w:val="00D94FC7"/>
    <w:rsid w:val="00D94FEB"/>
    <w:rsid w:val="00D9500B"/>
    <w:rsid w:val="00D950DA"/>
    <w:rsid w:val="00D9519D"/>
    <w:rsid w:val="00D9521A"/>
    <w:rsid w:val="00D9525A"/>
    <w:rsid w:val="00D95359"/>
    <w:rsid w:val="00D95384"/>
    <w:rsid w:val="00D953F6"/>
    <w:rsid w:val="00D9541A"/>
    <w:rsid w:val="00D95424"/>
    <w:rsid w:val="00D954AA"/>
    <w:rsid w:val="00D954AB"/>
    <w:rsid w:val="00D954C7"/>
    <w:rsid w:val="00D95590"/>
    <w:rsid w:val="00D95636"/>
    <w:rsid w:val="00D956A5"/>
    <w:rsid w:val="00D95707"/>
    <w:rsid w:val="00D95797"/>
    <w:rsid w:val="00D958FB"/>
    <w:rsid w:val="00D95906"/>
    <w:rsid w:val="00D9595F"/>
    <w:rsid w:val="00D95A4D"/>
    <w:rsid w:val="00D95B69"/>
    <w:rsid w:val="00D95BA8"/>
    <w:rsid w:val="00D95BB2"/>
    <w:rsid w:val="00D95C2C"/>
    <w:rsid w:val="00D95C35"/>
    <w:rsid w:val="00D95C49"/>
    <w:rsid w:val="00D95C56"/>
    <w:rsid w:val="00D95FAE"/>
    <w:rsid w:val="00D96027"/>
    <w:rsid w:val="00D96222"/>
    <w:rsid w:val="00D9625E"/>
    <w:rsid w:val="00D962C1"/>
    <w:rsid w:val="00D962DB"/>
    <w:rsid w:val="00D96356"/>
    <w:rsid w:val="00D96383"/>
    <w:rsid w:val="00D963EF"/>
    <w:rsid w:val="00D964DB"/>
    <w:rsid w:val="00D965FC"/>
    <w:rsid w:val="00D9679D"/>
    <w:rsid w:val="00D96811"/>
    <w:rsid w:val="00D968AA"/>
    <w:rsid w:val="00D9699E"/>
    <w:rsid w:val="00D969A4"/>
    <w:rsid w:val="00D969CF"/>
    <w:rsid w:val="00D96B2B"/>
    <w:rsid w:val="00D96B99"/>
    <w:rsid w:val="00D96CEE"/>
    <w:rsid w:val="00D96CF0"/>
    <w:rsid w:val="00D96D90"/>
    <w:rsid w:val="00D96D9F"/>
    <w:rsid w:val="00D96EA2"/>
    <w:rsid w:val="00D96F0B"/>
    <w:rsid w:val="00D971AD"/>
    <w:rsid w:val="00D97242"/>
    <w:rsid w:val="00D97257"/>
    <w:rsid w:val="00D97279"/>
    <w:rsid w:val="00D97362"/>
    <w:rsid w:val="00D9737A"/>
    <w:rsid w:val="00D973FB"/>
    <w:rsid w:val="00D9742D"/>
    <w:rsid w:val="00D974EB"/>
    <w:rsid w:val="00D9751F"/>
    <w:rsid w:val="00D97543"/>
    <w:rsid w:val="00D975C0"/>
    <w:rsid w:val="00D976B9"/>
    <w:rsid w:val="00D976E5"/>
    <w:rsid w:val="00D97708"/>
    <w:rsid w:val="00D97714"/>
    <w:rsid w:val="00D977B0"/>
    <w:rsid w:val="00D97847"/>
    <w:rsid w:val="00D978FB"/>
    <w:rsid w:val="00D9797B"/>
    <w:rsid w:val="00D97AD5"/>
    <w:rsid w:val="00D97DAA"/>
    <w:rsid w:val="00D97DFB"/>
    <w:rsid w:val="00D97E24"/>
    <w:rsid w:val="00D97EC0"/>
    <w:rsid w:val="00D97F06"/>
    <w:rsid w:val="00D97FF4"/>
    <w:rsid w:val="00DA0025"/>
    <w:rsid w:val="00DA0269"/>
    <w:rsid w:val="00DA02CD"/>
    <w:rsid w:val="00DA02D0"/>
    <w:rsid w:val="00DA02F3"/>
    <w:rsid w:val="00DA0363"/>
    <w:rsid w:val="00DA0513"/>
    <w:rsid w:val="00DA05C8"/>
    <w:rsid w:val="00DA05CF"/>
    <w:rsid w:val="00DA067D"/>
    <w:rsid w:val="00DA071A"/>
    <w:rsid w:val="00DA08F4"/>
    <w:rsid w:val="00DA0935"/>
    <w:rsid w:val="00DA09CA"/>
    <w:rsid w:val="00DA09E4"/>
    <w:rsid w:val="00DA0A3B"/>
    <w:rsid w:val="00DA0B08"/>
    <w:rsid w:val="00DA0B22"/>
    <w:rsid w:val="00DA0BCF"/>
    <w:rsid w:val="00DA0C1E"/>
    <w:rsid w:val="00DA0CFA"/>
    <w:rsid w:val="00DA0D3A"/>
    <w:rsid w:val="00DA0D96"/>
    <w:rsid w:val="00DA0E50"/>
    <w:rsid w:val="00DA0EFF"/>
    <w:rsid w:val="00DA0F3B"/>
    <w:rsid w:val="00DA0FB9"/>
    <w:rsid w:val="00DA1004"/>
    <w:rsid w:val="00DA1112"/>
    <w:rsid w:val="00DA1148"/>
    <w:rsid w:val="00DA128B"/>
    <w:rsid w:val="00DA1387"/>
    <w:rsid w:val="00DA13A8"/>
    <w:rsid w:val="00DA1455"/>
    <w:rsid w:val="00DA1645"/>
    <w:rsid w:val="00DA1773"/>
    <w:rsid w:val="00DA17C2"/>
    <w:rsid w:val="00DA1823"/>
    <w:rsid w:val="00DA184F"/>
    <w:rsid w:val="00DA18EF"/>
    <w:rsid w:val="00DA1928"/>
    <w:rsid w:val="00DA1994"/>
    <w:rsid w:val="00DA19A2"/>
    <w:rsid w:val="00DA1A28"/>
    <w:rsid w:val="00DA1AE9"/>
    <w:rsid w:val="00DA1B0A"/>
    <w:rsid w:val="00DA1B3B"/>
    <w:rsid w:val="00DA1BA2"/>
    <w:rsid w:val="00DA1BCB"/>
    <w:rsid w:val="00DA1D34"/>
    <w:rsid w:val="00DA1DCD"/>
    <w:rsid w:val="00DA1E1D"/>
    <w:rsid w:val="00DA1E41"/>
    <w:rsid w:val="00DA1E61"/>
    <w:rsid w:val="00DA1EF1"/>
    <w:rsid w:val="00DA1FE0"/>
    <w:rsid w:val="00DA2004"/>
    <w:rsid w:val="00DA20CF"/>
    <w:rsid w:val="00DA20D7"/>
    <w:rsid w:val="00DA2185"/>
    <w:rsid w:val="00DA21C6"/>
    <w:rsid w:val="00DA221C"/>
    <w:rsid w:val="00DA2275"/>
    <w:rsid w:val="00DA230F"/>
    <w:rsid w:val="00DA2451"/>
    <w:rsid w:val="00DA248A"/>
    <w:rsid w:val="00DA24B1"/>
    <w:rsid w:val="00DA2525"/>
    <w:rsid w:val="00DA2563"/>
    <w:rsid w:val="00DA264E"/>
    <w:rsid w:val="00DA2666"/>
    <w:rsid w:val="00DA267F"/>
    <w:rsid w:val="00DA26FD"/>
    <w:rsid w:val="00DA2706"/>
    <w:rsid w:val="00DA2818"/>
    <w:rsid w:val="00DA2A81"/>
    <w:rsid w:val="00DA2B75"/>
    <w:rsid w:val="00DA2BCE"/>
    <w:rsid w:val="00DA2C05"/>
    <w:rsid w:val="00DA2D3F"/>
    <w:rsid w:val="00DA2D5C"/>
    <w:rsid w:val="00DA2D6C"/>
    <w:rsid w:val="00DA2D94"/>
    <w:rsid w:val="00DA2E2A"/>
    <w:rsid w:val="00DA2F1F"/>
    <w:rsid w:val="00DA2F73"/>
    <w:rsid w:val="00DA3056"/>
    <w:rsid w:val="00DA30BD"/>
    <w:rsid w:val="00DA3159"/>
    <w:rsid w:val="00DA31C1"/>
    <w:rsid w:val="00DA32AB"/>
    <w:rsid w:val="00DA336C"/>
    <w:rsid w:val="00DA33DB"/>
    <w:rsid w:val="00DA344A"/>
    <w:rsid w:val="00DA3509"/>
    <w:rsid w:val="00DA354F"/>
    <w:rsid w:val="00DA359D"/>
    <w:rsid w:val="00DA35D9"/>
    <w:rsid w:val="00DA373A"/>
    <w:rsid w:val="00DA3742"/>
    <w:rsid w:val="00DA37B5"/>
    <w:rsid w:val="00DA384C"/>
    <w:rsid w:val="00DA3A9A"/>
    <w:rsid w:val="00DA3C0F"/>
    <w:rsid w:val="00DA3D41"/>
    <w:rsid w:val="00DA3E2B"/>
    <w:rsid w:val="00DA3E51"/>
    <w:rsid w:val="00DA3E73"/>
    <w:rsid w:val="00DA3F81"/>
    <w:rsid w:val="00DA3FAF"/>
    <w:rsid w:val="00DA4057"/>
    <w:rsid w:val="00DA4206"/>
    <w:rsid w:val="00DA42E1"/>
    <w:rsid w:val="00DA4415"/>
    <w:rsid w:val="00DA44C1"/>
    <w:rsid w:val="00DA45BE"/>
    <w:rsid w:val="00DA460A"/>
    <w:rsid w:val="00DA46A3"/>
    <w:rsid w:val="00DA47B7"/>
    <w:rsid w:val="00DA489B"/>
    <w:rsid w:val="00DA494E"/>
    <w:rsid w:val="00DA49A4"/>
    <w:rsid w:val="00DA4A43"/>
    <w:rsid w:val="00DA4AD4"/>
    <w:rsid w:val="00DA4B35"/>
    <w:rsid w:val="00DA4B36"/>
    <w:rsid w:val="00DA4C9F"/>
    <w:rsid w:val="00DA4CC6"/>
    <w:rsid w:val="00DA4D53"/>
    <w:rsid w:val="00DA4DA6"/>
    <w:rsid w:val="00DA5006"/>
    <w:rsid w:val="00DA503F"/>
    <w:rsid w:val="00DA5075"/>
    <w:rsid w:val="00DA511E"/>
    <w:rsid w:val="00DA51FC"/>
    <w:rsid w:val="00DA5236"/>
    <w:rsid w:val="00DA524B"/>
    <w:rsid w:val="00DA52F1"/>
    <w:rsid w:val="00DA538D"/>
    <w:rsid w:val="00DA5450"/>
    <w:rsid w:val="00DA54A3"/>
    <w:rsid w:val="00DA5583"/>
    <w:rsid w:val="00DA5647"/>
    <w:rsid w:val="00DA56A7"/>
    <w:rsid w:val="00DA571C"/>
    <w:rsid w:val="00DA5783"/>
    <w:rsid w:val="00DA5820"/>
    <w:rsid w:val="00DA586F"/>
    <w:rsid w:val="00DA5966"/>
    <w:rsid w:val="00DA5A81"/>
    <w:rsid w:val="00DA5ABE"/>
    <w:rsid w:val="00DA5B14"/>
    <w:rsid w:val="00DA5B1C"/>
    <w:rsid w:val="00DA5BDF"/>
    <w:rsid w:val="00DA5C25"/>
    <w:rsid w:val="00DA5C4A"/>
    <w:rsid w:val="00DA5C4F"/>
    <w:rsid w:val="00DA5CC3"/>
    <w:rsid w:val="00DA5CE3"/>
    <w:rsid w:val="00DA5D17"/>
    <w:rsid w:val="00DA5D89"/>
    <w:rsid w:val="00DA5D9C"/>
    <w:rsid w:val="00DA5DCC"/>
    <w:rsid w:val="00DA5F06"/>
    <w:rsid w:val="00DA5F5B"/>
    <w:rsid w:val="00DA610F"/>
    <w:rsid w:val="00DA619F"/>
    <w:rsid w:val="00DA6236"/>
    <w:rsid w:val="00DA633B"/>
    <w:rsid w:val="00DA63A2"/>
    <w:rsid w:val="00DA63D0"/>
    <w:rsid w:val="00DA63E3"/>
    <w:rsid w:val="00DA6411"/>
    <w:rsid w:val="00DA6453"/>
    <w:rsid w:val="00DA6497"/>
    <w:rsid w:val="00DA6526"/>
    <w:rsid w:val="00DA6552"/>
    <w:rsid w:val="00DA65A8"/>
    <w:rsid w:val="00DA65BD"/>
    <w:rsid w:val="00DA6647"/>
    <w:rsid w:val="00DA6690"/>
    <w:rsid w:val="00DA6727"/>
    <w:rsid w:val="00DA674B"/>
    <w:rsid w:val="00DA6798"/>
    <w:rsid w:val="00DA67F1"/>
    <w:rsid w:val="00DA694A"/>
    <w:rsid w:val="00DA6975"/>
    <w:rsid w:val="00DA6982"/>
    <w:rsid w:val="00DA69A3"/>
    <w:rsid w:val="00DA6A09"/>
    <w:rsid w:val="00DA6A7E"/>
    <w:rsid w:val="00DA6AA0"/>
    <w:rsid w:val="00DA6B04"/>
    <w:rsid w:val="00DA6B37"/>
    <w:rsid w:val="00DA6B8F"/>
    <w:rsid w:val="00DA6C24"/>
    <w:rsid w:val="00DA6CC5"/>
    <w:rsid w:val="00DA6CF4"/>
    <w:rsid w:val="00DA6D3F"/>
    <w:rsid w:val="00DA6DA7"/>
    <w:rsid w:val="00DA6DD0"/>
    <w:rsid w:val="00DA6F58"/>
    <w:rsid w:val="00DA7127"/>
    <w:rsid w:val="00DA7159"/>
    <w:rsid w:val="00DA720D"/>
    <w:rsid w:val="00DA7308"/>
    <w:rsid w:val="00DA733A"/>
    <w:rsid w:val="00DA73BD"/>
    <w:rsid w:val="00DA745F"/>
    <w:rsid w:val="00DA74DF"/>
    <w:rsid w:val="00DA7580"/>
    <w:rsid w:val="00DA7770"/>
    <w:rsid w:val="00DA7777"/>
    <w:rsid w:val="00DA77A3"/>
    <w:rsid w:val="00DA77BA"/>
    <w:rsid w:val="00DA77C5"/>
    <w:rsid w:val="00DA77E7"/>
    <w:rsid w:val="00DA783D"/>
    <w:rsid w:val="00DA7911"/>
    <w:rsid w:val="00DA796A"/>
    <w:rsid w:val="00DA7AAA"/>
    <w:rsid w:val="00DA7B17"/>
    <w:rsid w:val="00DA7BA5"/>
    <w:rsid w:val="00DA7BAB"/>
    <w:rsid w:val="00DA7CDC"/>
    <w:rsid w:val="00DA7D19"/>
    <w:rsid w:val="00DA7D26"/>
    <w:rsid w:val="00DA7DC0"/>
    <w:rsid w:val="00DA7EF3"/>
    <w:rsid w:val="00DA7F27"/>
    <w:rsid w:val="00DA7FC4"/>
    <w:rsid w:val="00DB0052"/>
    <w:rsid w:val="00DB01B4"/>
    <w:rsid w:val="00DB023A"/>
    <w:rsid w:val="00DB0251"/>
    <w:rsid w:val="00DB0276"/>
    <w:rsid w:val="00DB0368"/>
    <w:rsid w:val="00DB03A4"/>
    <w:rsid w:val="00DB05D5"/>
    <w:rsid w:val="00DB0669"/>
    <w:rsid w:val="00DB06EE"/>
    <w:rsid w:val="00DB0748"/>
    <w:rsid w:val="00DB07DC"/>
    <w:rsid w:val="00DB07F6"/>
    <w:rsid w:val="00DB08DA"/>
    <w:rsid w:val="00DB09B0"/>
    <w:rsid w:val="00DB0A7F"/>
    <w:rsid w:val="00DB0AAB"/>
    <w:rsid w:val="00DB0AE6"/>
    <w:rsid w:val="00DB0B0D"/>
    <w:rsid w:val="00DB0B21"/>
    <w:rsid w:val="00DB0B9D"/>
    <w:rsid w:val="00DB0C57"/>
    <w:rsid w:val="00DB0CB7"/>
    <w:rsid w:val="00DB0D4D"/>
    <w:rsid w:val="00DB0D5F"/>
    <w:rsid w:val="00DB0D91"/>
    <w:rsid w:val="00DB0DAA"/>
    <w:rsid w:val="00DB0E08"/>
    <w:rsid w:val="00DB0EB9"/>
    <w:rsid w:val="00DB0F54"/>
    <w:rsid w:val="00DB0F90"/>
    <w:rsid w:val="00DB0FAF"/>
    <w:rsid w:val="00DB0FE9"/>
    <w:rsid w:val="00DB1075"/>
    <w:rsid w:val="00DB10C0"/>
    <w:rsid w:val="00DB110A"/>
    <w:rsid w:val="00DB11E7"/>
    <w:rsid w:val="00DB1201"/>
    <w:rsid w:val="00DB12A5"/>
    <w:rsid w:val="00DB12D4"/>
    <w:rsid w:val="00DB136D"/>
    <w:rsid w:val="00DB1379"/>
    <w:rsid w:val="00DB14DC"/>
    <w:rsid w:val="00DB15F7"/>
    <w:rsid w:val="00DB1623"/>
    <w:rsid w:val="00DB1631"/>
    <w:rsid w:val="00DB1651"/>
    <w:rsid w:val="00DB165E"/>
    <w:rsid w:val="00DB18E0"/>
    <w:rsid w:val="00DB1945"/>
    <w:rsid w:val="00DB199A"/>
    <w:rsid w:val="00DB1A5C"/>
    <w:rsid w:val="00DB1A84"/>
    <w:rsid w:val="00DB1B65"/>
    <w:rsid w:val="00DB1B90"/>
    <w:rsid w:val="00DB1C4F"/>
    <w:rsid w:val="00DB1D1B"/>
    <w:rsid w:val="00DB1E61"/>
    <w:rsid w:val="00DB1E80"/>
    <w:rsid w:val="00DB1ED0"/>
    <w:rsid w:val="00DB1EF7"/>
    <w:rsid w:val="00DB1F40"/>
    <w:rsid w:val="00DB1F5C"/>
    <w:rsid w:val="00DB2051"/>
    <w:rsid w:val="00DB2298"/>
    <w:rsid w:val="00DB22B8"/>
    <w:rsid w:val="00DB22EC"/>
    <w:rsid w:val="00DB243A"/>
    <w:rsid w:val="00DB248B"/>
    <w:rsid w:val="00DB2542"/>
    <w:rsid w:val="00DB25D3"/>
    <w:rsid w:val="00DB25D9"/>
    <w:rsid w:val="00DB2605"/>
    <w:rsid w:val="00DB2676"/>
    <w:rsid w:val="00DB2687"/>
    <w:rsid w:val="00DB26C3"/>
    <w:rsid w:val="00DB2754"/>
    <w:rsid w:val="00DB275B"/>
    <w:rsid w:val="00DB27B5"/>
    <w:rsid w:val="00DB2869"/>
    <w:rsid w:val="00DB29EE"/>
    <w:rsid w:val="00DB29F8"/>
    <w:rsid w:val="00DB2A1A"/>
    <w:rsid w:val="00DB2A1F"/>
    <w:rsid w:val="00DB2A82"/>
    <w:rsid w:val="00DB2AE3"/>
    <w:rsid w:val="00DB2BC6"/>
    <w:rsid w:val="00DB2BDB"/>
    <w:rsid w:val="00DB2C2F"/>
    <w:rsid w:val="00DB2C6D"/>
    <w:rsid w:val="00DB2CA3"/>
    <w:rsid w:val="00DB2CAB"/>
    <w:rsid w:val="00DB2CBD"/>
    <w:rsid w:val="00DB2EED"/>
    <w:rsid w:val="00DB2FC0"/>
    <w:rsid w:val="00DB3123"/>
    <w:rsid w:val="00DB314B"/>
    <w:rsid w:val="00DB3180"/>
    <w:rsid w:val="00DB31A2"/>
    <w:rsid w:val="00DB31B7"/>
    <w:rsid w:val="00DB31BF"/>
    <w:rsid w:val="00DB3211"/>
    <w:rsid w:val="00DB3249"/>
    <w:rsid w:val="00DB329D"/>
    <w:rsid w:val="00DB32F4"/>
    <w:rsid w:val="00DB333F"/>
    <w:rsid w:val="00DB334D"/>
    <w:rsid w:val="00DB33EF"/>
    <w:rsid w:val="00DB3498"/>
    <w:rsid w:val="00DB34BC"/>
    <w:rsid w:val="00DB3566"/>
    <w:rsid w:val="00DB35E9"/>
    <w:rsid w:val="00DB3786"/>
    <w:rsid w:val="00DB3896"/>
    <w:rsid w:val="00DB38FB"/>
    <w:rsid w:val="00DB396B"/>
    <w:rsid w:val="00DB3B4C"/>
    <w:rsid w:val="00DB3B88"/>
    <w:rsid w:val="00DB3BCD"/>
    <w:rsid w:val="00DB3BF7"/>
    <w:rsid w:val="00DB3C9C"/>
    <w:rsid w:val="00DB3DA7"/>
    <w:rsid w:val="00DB3DCF"/>
    <w:rsid w:val="00DB3E82"/>
    <w:rsid w:val="00DB3F3A"/>
    <w:rsid w:val="00DB3F4B"/>
    <w:rsid w:val="00DB3F80"/>
    <w:rsid w:val="00DB400A"/>
    <w:rsid w:val="00DB4033"/>
    <w:rsid w:val="00DB4035"/>
    <w:rsid w:val="00DB40B0"/>
    <w:rsid w:val="00DB40B3"/>
    <w:rsid w:val="00DB40CB"/>
    <w:rsid w:val="00DB4146"/>
    <w:rsid w:val="00DB41A3"/>
    <w:rsid w:val="00DB4222"/>
    <w:rsid w:val="00DB4330"/>
    <w:rsid w:val="00DB4352"/>
    <w:rsid w:val="00DB436C"/>
    <w:rsid w:val="00DB43F9"/>
    <w:rsid w:val="00DB44FE"/>
    <w:rsid w:val="00DB4511"/>
    <w:rsid w:val="00DB45A8"/>
    <w:rsid w:val="00DB468E"/>
    <w:rsid w:val="00DB46DA"/>
    <w:rsid w:val="00DB4734"/>
    <w:rsid w:val="00DB4748"/>
    <w:rsid w:val="00DB4761"/>
    <w:rsid w:val="00DB48C8"/>
    <w:rsid w:val="00DB49A1"/>
    <w:rsid w:val="00DB4A83"/>
    <w:rsid w:val="00DB4BFD"/>
    <w:rsid w:val="00DB4C02"/>
    <w:rsid w:val="00DB4C33"/>
    <w:rsid w:val="00DB4C7F"/>
    <w:rsid w:val="00DB4C99"/>
    <w:rsid w:val="00DB4CEB"/>
    <w:rsid w:val="00DB4DE6"/>
    <w:rsid w:val="00DB4DEE"/>
    <w:rsid w:val="00DB504C"/>
    <w:rsid w:val="00DB506F"/>
    <w:rsid w:val="00DB5078"/>
    <w:rsid w:val="00DB512F"/>
    <w:rsid w:val="00DB525D"/>
    <w:rsid w:val="00DB529C"/>
    <w:rsid w:val="00DB530A"/>
    <w:rsid w:val="00DB5369"/>
    <w:rsid w:val="00DB5442"/>
    <w:rsid w:val="00DB546A"/>
    <w:rsid w:val="00DB5478"/>
    <w:rsid w:val="00DB548D"/>
    <w:rsid w:val="00DB5610"/>
    <w:rsid w:val="00DB56B6"/>
    <w:rsid w:val="00DB56DC"/>
    <w:rsid w:val="00DB57CD"/>
    <w:rsid w:val="00DB580E"/>
    <w:rsid w:val="00DB58A4"/>
    <w:rsid w:val="00DB5962"/>
    <w:rsid w:val="00DB5A46"/>
    <w:rsid w:val="00DB5A91"/>
    <w:rsid w:val="00DB5BB7"/>
    <w:rsid w:val="00DB5BC1"/>
    <w:rsid w:val="00DB5BE5"/>
    <w:rsid w:val="00DB5BEF"/>
    <w:rsid w:val="00DB5CA4"/>
    <w:rsid w:val="00DB5CC6"/>
    <w:rsid w:val="00DB5D2F"/>
    <w:rsid w:val="00DB5D4F"/>
    <w:rsid w:val="00DB5D90"/>
    <w:rsid w:val="00DB5DC3"/>
    <w:rsid w:val="00DB5DCE"/>
    <w:rsid w:val="00DB5E54"/>
    <w:rsid w:val="00DB5F88"/>
    <w:rsid w:val="00DB5FDD"/>
    <w:rsid w:val="00DB5FF7"/>
    <w:rsid w:val="00DB6099"/>
    <w:rsid w:val="00DB6129"/>
    <w:rsid w:val="00DB6136"/>
    <w:rsid w:val="00DB6146"/>
    <w:rsid w:val="00DB614E"/>
    <w:rsid w:val="00DB6152"/>
    <w:rsid w:val="00DB61F5"/>
    <w:rsid w:val="00DB6213"/>
    <w:rsid w:val="00DB622D"/>
    <w:rsid w:val="00DB628C"/>
    <w:rsid w:val="00DB62EC"/>
    <w:rsid w:val="00DB6311"/>
    <w:rsid w:val="00DB6355"/>
    <w:rsid w:val="00DB64C9"/>
    <w:rsid w:val="00DB64D8"/>
    <w:rsid w:val="00DB653C"/>
    <w:rsid w:val="00DB6623"/>
    <w:rsid w:val="00DB6692"/>
    <w:rsid w:val="00DB66A3"/>
    <w:rsid w:val="00DB6721"/>
    <w:rsid w:val="00DB6782"/>
    <w:rsid w:val="00DB67DA"/>
    <w:rsid w:val="00DB6A12"/>
    <w:rsid w:val="00DB6A42"/>
    <w:rsid w:val="00DB6A47"/>
    <w:rsid w:val="00DB6A4D"/>
    <w:rsid w:val="00DB6A82"/>
    <w:rsid w:val="00DB6B6C"/>
    <w:rsid w:val="00DB6CBE"/>
    <w:rsid w:val="00DB6DD4"/>
    <w:rsid w:val="00DB6E1B"/>
    <w:rsid w:val="00DB6EC7"/>
    <w:rsid w:val="00DB6F8A"/>
    <w:rsid w:val="00DB6F9F"/>
    <w:rsid w:val="00DB708F"/>
    <w:rsid w:val="00DB7145"/>
    <w:rsid w:val="00DB7163"/>
    <w:rsid w:val="00DB725C"/>
    <w:rsid w:val="00DB7306"/>
    <w:rsid w:val="00DB7358"/>
    <w:rsid w:val="00DB74C9"/>
    <w:rsid w:val="00DB74D3"/>
    <w:rsid w:val="00DB7567"/>
    <w:rsid w:val="00DB763E"/>
    <w:rsid w:val="00DB7641"/>
    <w:rsid w:val="00DB7688"/>
    <w:rsid w:val="00DB7695"/>
    <w:rsid w:val="00DB7718"/>
    <w:rsid w:val="00DB7751"/>
    <w:rsid w:val="00DB77AB"/>
    <w:rsid w:val="00DB78E1"/>
    <w:rsid w:val="00DB79BD"/>
    <w:rsid w:val="00DB7A9F"/>
    <w:rsid w:val="00DB7AA6"/>
    <w:rsid w:val="00DB7ABE"/>
    <w:rsid w:val="00DB7B3D"/>
    <w:rsid w:val="00DB7B9C"/>
    <w:rsid w:val="00DB7BB9"/>
    <w:rsid w:val="00DB7BF0"/>
    <w:rsid w:val="00DB7C67"/>
    <w:rsid w:val="00DB7CC2"/>
    <w:rsid w:val="00DB7CEA"/>
    <w:rsid w:val="00DB7DAD"/>
    <w:rsid w:val="00DB7E53"/>
    <w:rsid w:val="00DB7E79"/>
    <w:rsid w:val="00DB7EA8"/>
    <w:rsid w:val="00DB7F09"/>
    <w:rsid w:val="00DB7F4F"/>
    <w:rsid w:val="00DB7FC9"/>
    <w:rsid w:val="00DC00E3"/>
    <w:rsid w:val="00DC00E8"/>
    <w:rsid w:val="00DC0107"/>
    <w:rsid w:val="00DC012C"/>
    <w:rsid w:val="00DC0162"/>
    <w:rsid w:val="00DC0276"/>
    <w:rsid w:val="00DC03E7"/>
    <w:rsid w:val="00DC0445"/>
    <w:rsid w:val="00DC04AB"/>
    <w:rsid w:val="00DC0520"/>
    <w:rsid w:val="00DC053F"/>
    <w:rsid w:val="00DC05A5"/>
    <w:rsid w:val="00DC0623"/>
    <w:rsid w:val="00DC07BE"/>
    <w:rsid w:val="00DC094C"/>
    <w:rsid w:val="00DC09EE"/>
    <w:rsid w:val="00DC0A25"/>
    <w:rsid w:val="00DC0A4E"/>
    <w:rsid w:val="00DC0B97"/>
    <w:rsid w:val="00DC0C7C"/>
    <w:rsid w:val="00DC0DAC"/>
    <w:rsid w:val="00DC0E57"/>
    <w:rsid w:val="00DC0EAB"/>
    <w:rsid w:val="00DC0F08"/>
    <w:rsid w:val="00DC0F83"/>
    <w:rsid w:val="00DC1044"/>
    <w:rsid w:val="00DC107B"/>
    <w:rsid w:val="00DC11A0"/>
    <w:rsid w:val="00DC122A"/>
    <w:rsid w:val="00DC1247"/>
    <w:rsid w:val="00DC125C"/>
    <w:rsid w:val="00DC12B1"/>
    <w:rsid w:val="00DC12C0"/>
    <w:rsid w:val="00DC138B"/>
    <w:rsid w:val="00DC14B8"/>
    <w:rsid w:val="00DC14EC"/>
    <w:rsid w:val="00DC150B"/>
    <w:rsid w:val="00DC1646"/>
    <w:rsid w:val="00DC16D1"/>
    <w:rsid w:val="00DC16D3"/>
    <w:rsid w:val="00DC183D"/>
    <w:rsid w:val="00DC1871"/>
    <w:rsid w:val="00DC1965"/>
    <w:rsid w:val="00DC1B74"/>
    <w:rsid w:val="00DC1C22"/>
    <w:rsid w:val="00DC1C48"/>
    <w:rsid w:val="00DC1C56"/>
    <w:rsid w:val="00DC1C94"/>
    <w:rsid w:val="00DC1E5B"/>
    <w:rsid w:val="00DC1F10"/>
    <w:rsid w:val="00DC1F55"/>
    <w:rsid w:val="00DC1F7C"/>
    <w:rsid w:val="00DC1F82"/>
    <w:rsid w:val="00DC1FA4"/>
    <w:rsid w:val="00DC1FC3"/>
    <w:rsid w:val="00DC1FD2"/>
    <w:rsid w:val="00DC2083"/>
    <w:rsid w:val="00DC20B7"/>
    <w:rsid w:val="00DC2159"/>
    <w:rsid w:val="00DC21CE"/>
    <w:rsid w:val="00DC21FB"/>
    <w:rsid w:val="00DC2257"/>
    <w:rsid w:val="00DC227F"/>
    <w:rsid w:val="00DC2307"/>
    <w:rsid w:val="00DC233F"/>
    <w:rsid w:val="00DC2350"/>
    <w:rsid w:val="00DC23D3"/>
    <w:rsid w:val="00DC2478"/>
    <w:rsid w:val="00DC259F"/>
    <w:rsid w:val="00DC2682"/>
    <w:rsid w:val="00DC27A0"/>
    <w:rsid w:val="00DC27BE"/>
    <w:rsid w:val="00DC27D0"/>
    <w:rsid w:val="00DC280D"/>
    <w:rsid w:val="00DC2822"/>
    <w:rsid w:val="00DC2854"/>
    <w:rsid w:val="00DC287B"/>
    <w:rsid w:val="00DC2886"/>
    <w:rsid w:val="00DC2893"/>
    <w:rsid w:val="00DC2899"/>
    <w:rsid w:val="00DC28E5"/>
    <w:rsid w:val="00DC28FA"/>
    <w:rsid w:val="00DC2903"/>
    <w:rsid w:val="00DC290A"/>
    <w:rsid w:val="00DC29C8"/>
    <w:rsid w:val="00DC2A71"/>
    <w:rsid w:val="00DC2B0E"/>
    <w:rsid w:val="00DC2C4C"/>
    <w:rsid w:val="00DC2C93"/>
    <w:rsid w:val="00DC2CB5"/>
    <w:rsid w:val="00DC2D33"/>
    <w:rsid w:val="00DC2D51"/>
    <w:rsid w:val="00DC2E4F"/>
    <w:rsid w:val="00DC2E71"/>
    <w:rsid w:val="00DC2E8A"/>
    <w:rsid w:val="00DC2F5D"/>
    <w:rsid w:val="00DC2FD9"/>
    <w:rsid w:val="00DC30FB"/>
    <w:rsid w:val="00DC3176"/>
    <w:rsid w:val="00DC3239"/>
    <w:rsid w:val="00DC325C"/>
    <w:rsid w:val="00DC3266"/>
    <w:rsid w:val="00DC3431"/>
    <w:rsid w:val="00DC345E"/>
    <w:rsid w:val="00DC3493"/>
    <w:rsid w:val="00DC34C9"/>
    <w:rsid w:val="00DC3545"/>
    <w:rsid w:val="00DC36CD"/>
    <w:rsid w:val="00DC36D0"/>
    <w:rsid w:val="00DC3743"/>
    <w:rsid w:val="00DC3789"/>
    <w:rsid w:val="00DC3880"/>
    <w:rsid w:val="00DC38E4"/>
    <w:rsid w:val="00DC38E8"/>
    <w:rsid w:val="00DC3A7A"/>
    <w:rsid w:val="00DC3A8F"/>
    <w:rsid w:val="00DC3CB9"/>
    <w:rsid w:val="00DC3CFA"/>
    <w:rsid w:val="00DC3D7A"/>
    <w:rsid w:val="00DC3D90"/>
    <w:rsid w:val="00DC3E3F"/>
    <w:rsid w:val="00DC3E4C"/>
    <w:rsid w:val="00DC3ED1"/>
    <w:rsid w:val="00DC3FAF"/>
    <w:rsid w:val="00DC3FC0"/>
    <w:rsid w:val="00DC3FE2"/>
    <w:rsid w:val="00DC40CF"/>
    <w:rsid w:val="00DC4104"/>
    <w:rsid w:val="00DC4138"/>
    <w:rsid w:val="00DC416A"/>
    <w:rsid w:val="00DC4223"/>
    <w:rsid w:val="00DC4230"/>
    <w:rsid w:val="00DC423B"/>
    <w:rsid w:val="00DC425C"/>
    <w:rsid w:val="00DC4261"/>
    <w:rsid w:val="00DC444F"/>
    <w:rsid w:val="00DC4460"/>
    <w:rsid w:val="00DC4499"/>
    <w:rsid w:val="00DC4527"/>
    <w:rsid w:val="00DC4600"/>
    <w:rsid w:val="00DC464E"/>
    <w:rsid w:val="00DC4756"/>
    <w:rsid w:val="00DC4783"/>
    <w:rsid w:val="00DC4794"/>
    <w:rsid w:val="00DC4802"/>
    <w:rsid w:val="00DC48C7"/>
    <w:rsid w:val="00DC48D6"/>
    <w:rsid w:val="00DC48F4"/>
    <w:rsid w:val="00DC48FC"/>
    <w:rsid w:val="00DC4A16"/>
    <w:rsid w:val="00DC4A18"/>
    <w:rsid w:val="00DC4AF4"/>
    <w:rsid w:val="00DC4AF5"/>
    <w:rsid w:val="00DC4B6F"/>
    <w:rsid w:val="00DC4BE1"/>
    <w:rsid w:val="00DC4BF8"/>
    <w:rsid w:val="00DC4C91"/>
    <w:rsid w:val="00DC4C9F"/>
    <w:rsid w:val="00DC4D07"/>
    <w:rsid w:val="00DC4D7D"/>
    <w:rsid w:val="00DC4D9C"/>
    <w:rsid w:val="00DC4DA4"/>
    <w:rsid w:val="00DC4E9C"/>
    <w:rsid w:val="00DC4F1B"/>
    <w:rsid w:val="00DC4F5B"/>
    <w:rsid w:val="00DC514F"/>
    <w:rsid w:val="00DC51EB"/>
    <w:rsid w:val="00DC5280"/>
    <w:rsid w:val="00DC52AF"/>
    <w:rsid w:val="00DC52D9"/>
    <w:rsid w:val="00DC539F"/>
    <w:rsid w:val="00DC53A1"/>
    <w:rsid w:val="00DC5508"/>
    <w:rsid w:val="00DC5599"/>
    <w:rsid w:val="00DC55B3"/>
    <w:rsid w:val="00DC562B"/>
    <w:rsid w:val="00DC572F"/>
    <w:rsid w:val="00DC5730"/>
    <w:rsid w:val="00DC5790"/>
    <w:rsid w:val="00DC5848"/>
    <w:rsid w:val="00DC58A0"/>
    <w:rsid w:val="00DC599F"/>
    <w:rsid w:val="00DC59B6"/>
    <w:rsid w:val="00DC59C2"/>
    <w:rsid w:val="00DC5A3B"/>
    <w:rsid w:val="00DC5A55"/>
    <w:rsid w:val="00DC5AA6"/>
    <w:rsid w:val="00DC5AEA"/>
    <w:rsid w:val="00DC5B3C"/>
    <w:rsid w:val="00DC5BAB"/>
    <w:rsid w:val="00DC5E5B"/>
    <w:rsid w:val="00DC5F8B"/>
    <w:rsid w:val="00DC5F9D"/>
    <w:rsid w:val="00DC5FD2"/>
    <w:rsid w:val="00DC6032"/>
    <w:rsid w:val="00DC603B"/>
    <w:rsid w:val="00DC6079"/>
    <w:rsid w:val="00DC60A5"/>
    <w:rsid w:val="00DC60CC"/>
    <w:rsid w:val="00DC61DA"/>
    <w:rsid w:val="00DC636D"/>
    <w:rsid w:val="00DC6379"/>
    <w:rsid w:val="00DC63B6"/>
    <w:rsid w:val="00DC6402"/>
    <w:rsid w:val="00DC646F"/>
    <w:rsid w:val="00DC64A6"/>
    <w:rsid w:val="00DC651C"/>
    <w:rsid w:val="00DC6614"/>
    <w:rsid w:val="00DC6655"/>
    <w:rsid w:val="00DC667D"/>
    <w:rsid w:val="00DC669D"/>
    <w:rsid w:val="00DC66FF"/>
    <w:rsid w:val="00DC6719"/>
    <w:rsid w:val="00DC671D"/>
    <w:rsid w:val="00DC6731"/>
    <w:rsid w:val="00DC6778"/>
    <w:rsid w:val="00DC68E0"/>
    <w:rsid w:val="00DC6A9D"/>
    <w:rsid w:val="00DC6AA1"/>
    <w:rsid w:val="00DC6AAD"/>
    <w:rsid w:val="00DC6B13"/>
    <w:rsid w:val="00DC6B47"/>
    <w:rsid w:val="00DC6BA6"/>
    <w:rsid w:val="00DC6BBE"/>
    <w:rsid w:val="00DC6C01"/>
    <w:rsid w:val="00DC6C37"/>
    <w:rsid w:val="00DC6C5A"/>
    <w:rsid w:val="00DC6CCE"/>
    <w:rsid w:val="00DC6DA5"/>
    <w:rsid w:val="00DC6DDE"/>
    <w:rsid w:val="00DC6ED3"/>
    <w:rsid w:val="00DC6F34"/>
    <w:rsid w:val="00DC6F74"/>
    <w:rsid w:val="00DC6F90"/>
    <w:rsid w:val="00DC7072"/>
    <w:rsid w:val="00DC70C8"/>
    <w:rsid w:val="00DC70D6"/>
    <w:rsid w:val="00DC7103"/>
    <w:rsid w:val="00DC715D"/>
    <w:rsid w:val="00DC71A4"/>
    <w:rsid w:val="00DC72C7"/>
    <w:rsid w:val="00DC72F8"/>
    <w:rsid w:val="00DC72F9"/>
    <w:rsid w:val="00DC73B3"/>
    <w:rsid w:val="00DC7429"/>
    <w:rsid w:val="00DC7444"/>
    <w:rsid w:val="00DC74A8"/>
    <w:rsid w:val="00DC76A7"/>
    <w:rsid w:val="00DC783C"/>
    <w:rsid w:val="00DC7863"/>
    <w:rsid w:val="00DC78AF"/>
    <w:rsid w:val="00DC79BF"/>
    <w:rsid w:val="00DC79FD"/>
    <w:rsid w:val="00DC7AB2"/>
    <w:rsid w:val="00DC7ADA"/>
    <w:rsid w:val="00DC7AE7"/>
    <w:rsid w:val="00DC7B85"/>
    <w:rsid w:val="00DC7C1E"/>
    <w:rsid w:val="00DC7C30"/>
    <w:rsid w:val="00DC7D2E"/>
    <w:rsid w:val="00DC7D57"/>
    <w:rsid w:val="00DC7DB4"/>
    <w:rsid w:val="00DC7DEB"/>
    <w:rsid w:val="00DC7E6E"/>
    <w:rsid w:val="00DC7FDB"/>
    <w:rsid w:val="00DD0046"/>
    <w:rsid w:val="00DD0062"/>
    <w:rsid w:val="00DD0157"/>
    <w:rsid w:val="00DD019B"/>
    <w:rsid w:val="00DD020F"/>
    <w:rsid w:val="00DD023C"/>
    <w:rsid w:val="00DD02BB"/>
    <w:rsid w:val="00DD02C0"/>
    <w:rsid w:val="00DD02DB"/>
    <w:rsid w:val="00DD03A7"/>
    <w:rsid w:val="00DD03AE"/>
    <w:rsid w:val="00DD040E"/>
    <w:rsid w:val="00DD0494"/>
    <w:rsid w:val="00DD0594"/>
    <w:rsid w:val="00DD05A3"/>
    <w:rsid w:val="00DD063C"/>
    <w:rsid w:val="00DD0684"/>
    <w:rsid w:val="00DD068D"/>
    <w:rsid w:val="00DD0719"/>
    <w:rsid w:val="00DD071A"/>
    <w:rsid w:val="00DD0766"/>
    <w:rsid w:val="00DD07CE"/>
    <w:rsid w:val="00DD0834"/>
    <w:rsid w:val="00DD0968"/>
    <w:rsid w:val="00DD09E3"/>
    <w:rsid w:val="00DD0AE9"/>
    <w:rsid w:val="00DD0C5A"/>
    <w:rsid w:val="00DD0C7B"/>
    <w:rsid w:val="00DD0D04"/>
    <w:rsid w:val="00DD0DE4"/>
    <w:rsid w:val="00DD0EAE"/>
    <w:rsid w:val="00DD0EE5"/>
    <w:rsid w:val="00DD0EF6"/>
    <w:rsid w:val="00DD0F4D"/>
    <w:rsid w:val="00DD0F64"/>
    <w:rsid w:val="00DD1177"/>
    <w:rsid w:val="00DD1286"/>
    <w:rsid w:val="00DD128B"/>
    <w:rsid w:val="00DD12DC"/>
    <w:rsid w:val="00DD141B"/>
    <w:rsid w:val="00DD14D8"/>
    <w:rsid w:val="00DD15B6"/>
    <w:rsid w:val="00DD165B"/>
    <w:rsid w:val="00DD169E"/>
    <w:rsid w:val="00DD16AB"/>
    <w:rsid w:val="00DD1942"/>
    <w:rsid w:val="00DD1952"/>
    <w:rsid w:val="00DD1A01"/>
    <w:rsid w:val="00DD1A7F"/>
    <w:rsid w:val="00DD1B68"/>
    <w:rsid w:val="00DD1CFD"/>
    <w:rsid w:val="00DD1E0F"/>
    <w:rsid w:val="00DD1F5D"/>
    <w:rsid w:val="00DD1FD7"/>
    <w:rsid w:val="00DD204E"/>
    <w:rsid w:val="00DD21BB"/>
    <w:rsid w:val="00DD21D8"/>
    <w:rsid w:val="00DD21E6"/>
    <w:rsid w:val="00DD223B"/>
    <w:rsid w:val="00DD22C6"/>
    <w:rsid w:val="00DD23C0"/>
    <w:rsid w:val="00DD249A"/>
    <w:rsid w:val="00DD25B8"/>
    <w:rsid w:val="00DD2640"/>
    <w:rsid w:val="00DD2654"/>
    <w:rsid w:val="00DD2730"/>
    <w:rsid w:val="00DD278C"/>
    <w:rsid w:val="00DD27A4"/>
    <w:rsid w:val="00DD2826"/>
    <w:rsid w:val="00DD2839"/>
    <w:rsid w:val="00DD2859"/>
    <w:rsid w:val="00DD28B3"/>
    <w:rsid w:val="00DD28CA"/>
    <w:rsid w:val="00DD28CE"/>
    <w:rsid w:val="00DD2900"/>
    <w:rsid w:val="00DD2A00"/>
    <w:rsid w:val="00DD2A28"/>
    <w:rsid w:val="00DD2A59"/>
    <w:rsid w:val="00DD2B1B"/>
    <w:rsid w:val="00DD2B6E"/>
    <w:rsid w:val="00DD2BFD"/>
    <w:rsid w:val="00DD2D86"/>
    <w:rsid w:val="00DD2DC9"/>
    <w:rsid w:val="00DD2DFD"/>
    <w:rsid w:val="00DD2EEF"/>
    <w:rsid w:val="00DD2F83"/>
    <w:rsid w:val="00DD306B"/>
    <w:rsid w:val="00DD30E0"/>
    <w:rsid w:val="00DD3122"/>
    <w:rsid w:val="00DD32C0"/>
    <w:rsid w:val="00DD3503"/>
    <w:rsid w:val="00DD36EB"/>
    <w:rsid w:val="00DD376D"/>
    <w:rsid w:val="00DD37A1"/>
    <w:rsid w:val="00DD37C0"/>
    <w:rsid w:val="00DD3898"/>
    <w:rsid w:val="00DD38AE"/>
    <w:rsid w:val="00DD38BA"/>
    <w:rsid w:val="00DD38C4"/>
    <w:rsid w:val="00DD392C"/>
    <w:rsid w:val="00DD3A75"/>
    <w:rsid w:val="00DD3AF5"/>
    <w:rsid w:val="00DD3B0A"/>
    <w:rsid w:val="00DD3B0C"/>
    <w:rsid w:val="00DD3B34"/>
    <w:rsid w:val="00DD3B52"/>
    <w:rsid w:val="00DD3BB1"/>
    <w:rsid w:val="00DD3C59"/>
    <w:rsid w:val="00DD3C7C"/>
    <w:rsid w:val="00DD3CB4"/>
    <w:rsid w:val="00DD3CBE"/>
    <w:rsid w:val="00DD3D78"/>
    <w:rsid w:val="00DD3D7E"/>
    <w:rsid w:val="00DD3DEA"/>
    <w:rsid w:val="00DD3E10"/>
    <w:rsid w:val="00DD3E75"/>
    <w:rsid w:val="00DD3EFC"/>
    <w:rsid w:val="00DD3F1D"/>
    <w:rsid w:val="00DD3FAB"/>
    <w:rsid w:val="00DD3FEF"/>
    <w:rsid w:val="00DD4017"/>
    <w:rsid w:val="00DD418C"/>
    <w:rsid w:val="00DD41DE"/>
    <w:rsid w:val="00DD4226"/>
    <w:rsid w:val="00DD4231"/>
    <w:rsid w:val="00DD4282"/>
    <w:rsid w:val="00DD4317"/>
    <w:rsid w:val="00DD4352"/>
    <w:rsid w:val="00DD4557"/>
    <w:rsid w:val="00DD4558"/>
    <w:rsid w:val="00DD468C"/>
    <w:rsid w:val="00DD477D"/>
    <w:rsid w:val="00DD485D"/>
    <w:rsid w:val="00DD4874"/>
    <w:rsid w:val="00DD48C7"/>
    <w:rsid w:val="00DD4A4C"/>
    <w:rsid w:val="00DD4B46"/>
    <w:rsid w:val="00DD4C16"/>
    <w:rsid w:val="00DD4C57"/>
    <w:rsid w:val="00DD4C75"/>
    <w:rsid w:val="00DD4C9B"/>
    <w:rsid w:val="00DD4CC9"/>
    <w:rsid w:val="00DD4D04"/>
    <w:rsid w:val="00DD4D3F"/>
    <w:rsid w:val="00DD4D95"/>
    <w:rsid w:val="00DD4DE9"/>
    <w:rsid w:val="00DD4E08"/>
    <w:rsid w:val="00DD4EA1"/>
    <w:rsid w:val="00DD4EB4"/>
    <w:rsid w:val="00DD4EE5"/>
    <w:rsid w:val="00DD4FC5"/>
    <w:rsid w:val="00DD5084"/>
    <w:rsid w:val="00DD50F0"/>
    <w:rsid w:val="00DD5147"/>
    <w:rsid w:val="00DD518F"/>
    <w:rsid w:val="00DD526D"/>
    <w:rsid w:val="00DD5308"/>
    <w:rsid w:val="00DD5327"/>
    <w:rsid w:val="00DD53DE"/>
    <w:rsid w:val="00DD54F3"/>
    <w:rsid w:val="00DD54FD"/>
    <w:rsid w:val="00DD553A"/>
    <w:rsid w:val="00DD55B9"/>
    <w:rsid w:val="00DD55C5"/>
    <w:rsid w:val="00DD5713"/>
    <w:rsid w:val="00DD5748"/>
    <w:rsid w:val="00DD579C"/>
    <w:rsid w:val="00DD5818"/>
    <w:rsid w:val="00DD583E"/>
    <w:rsid w:val="00DD58E6"/>
    <w:rsid w:val="00DD5979"/>
    <w:rsid w:val="00DD5AC6"/>
    <w:rsid w:val="00DD5CC4"/>
    <w:rsid w:val="00DD5CF2"/>
    <w:rsid w:val="00DD5DD2"/>
    <w:rsid w:val="00DD5F84"/>
    <w:rsid w:val="00DD5FB7"/>
    <w:rsid w:val="00DD6094"/>
    <w:rsid w:val="00DD6101"/>
    <w:rsid w:val="00DD6117"/>
    <w:rsid w:val="00DD6146"/>
    <w:rsid w:val="00DD617F"/>
    <w:rsid w:val="00DD625E"/>
    <w:rsid w:val="00DD629B"/>
    <w:rsid w:val="00DD62B7"/>
    <w:rsid w:val="00DD638D"/>
    <w:rsid w:val="00DD6397"/>
    <w:rsid w:val="00DD65A6"/>
    <w:rsid w:val="00DD65DE"/>
    <w:rsid w:val="00DD6631"/>
    <w:rsid w:val="00DD664D"/>
    <w:rsid w:val="00DD6677"/>
    <w:rsid w:val="00DD6707"/>
    <w:rsid w:val="00DD676E"/>
    <w:rsid w:val="00DD6778"/>
    <w:rsid w:val="00DD67F6"/>
    <w:rsid w:val="00DD6834"/>
    <w:rsid w:val="00DD6A2F"/>
    <w:rsid w:val="00DD6A56"/>
    <w:rsid w:val="00DD6A96"/>
    <w:rsid w:val="00DD6B69"/>
    <w:rsid w:val="00DD6BA4"/>
    <w:rsid w:val="00DD6BA6"/>
    <w:rsid w:val="00DD6BCA"/>
    <w:rsid w:val="00DD6CAD"/>
    <w:rsid w:val="00DD6CDC"/>
    <w:rsid w:val="00DD6D1C"/>
    <w:rsid w:val="00DD6D21"/>
    <w:rsid w:val="00DD6D84"/>
    <w:rsid w:val="00DD6F84"/>
    <w:rsid w:val="00DD703F"/>
    <w:rsid w:val="00DD7158"/>
    <w:rsid w:val="00DD7184"/>
    <w:rsid w:val="00DD72C1"/>
    <w:rsid w:val="00DD7360"/>
    <w:rsid w:val="00DD73B6"/>
    <w:rsid w:val="00DD741D"/>
    <w:rsid w:val="00DD74CE"/>
    <w:rsid w:val="00DD754D"/>
    <w:rsid w:val="00DD7608"/>
    <w:rsid w:val="00DD767C"/>
    <w:rsid w:val="00DD7726"/>
    <w:rsid w:val="00DD7780"/>
    <w:rsid w:val="00DD77BC"/>
    <w:rsid w:val="00DD787C"/>
    <w:rsid w:val="00DD7B34"/>
    <w:rsid w:val="00DD7B50"/>
    <w:rsid w:val="00DD7B8C"/>
    <w:rsid w:val="00DD7C9E"/>
    <w:rsid w:val="00DD7DAA"/>
    <w:rsid w:val="00DD7E73"/>
    <w:rsid w:val="00DD7EA9"/>
    <w:rsid w:val="00DD7ED2"/>
    <w:rsid w:val="00DD7ED6"/>
    <w:rsid w:val="00DD7FD5"/>
    <w:rsid w:val="00DE0020"/>
    <w:rsid w:val="00DE0055"/>
    <w:rsid w:val="00DE012B"/>
    <w:rsid w:val="00DE01CB"/>
    <w:rsid w:val="00DE0302"/>
    <w:rsid w:val="00DE036E"/>
    <w:rsid w:val="00DE039F"/>
    <w:rsid w:val="00DE046D"/>
    <w:rsid w:val="00DE0474"/>
    <w:rsid w:val="00DE04C3"/>
    <w:rsid w:val="00DE0657"/>
    <w:rsid w:val="00DE0699"/>
    <w:rsid w:val="00DE06A9"/>
    <w:rsid w:val="00DE0847"/>
    <w:rsid w:val="00DE0909"/>
    <w:rsid w:val="00DE09FE"/>
    <w:rsid w:val="00DE0AB0"/>
    <w:rsid w:val="00DE0B13"/>
    <w:rsid w:val="00DE0B52"/>
    <w:rsid w:val="00DE0BB4"/>
    <w:rsid w:val="00DE0CAA"/>
    <w:rsid w:val="00DE0CDA"/>
    <w:rsid w:val="00DE0CF6"/>
    <w:rsid w:val="00DE0D01"/>
    <w:rsid w:val="00DE0D1A"/>
    <w:rsid w:val="00DE0D67"/>
    <w:rsid w:val="00DE0D94"/>
    <w:rsid w:val="00DE0E3A"/>
    <w:rsid w:val="00DE0EEF"/>
    <w:rsid w:val="00DE0F03"/>
    <w:rsid w:val="00DE0FAE"/>
    <w:rsid w:val="00DE0FDF"/>
    <w:rsid w:val="00DE108A"/>
    <w:rsid w:val="00DE10EB"/>
    <w:rsid w:val="00DE1192"/>
    <w:rsid w:val="00DE121F"/>
    <w:rsid w:val="00DE1233"/>
    <w:rsid w:val="00DE126E"/>
    <w:rsid w:val="00DE12AA"/>
    <w:rsid w:val="00DE12C1"/>
    <w:rsid w:val="00DE12F3"/>
    <w:rsid w:val="00DE1415"/>
    <w:rsid w:val="00DE1435"/>
    <w:rsid w:val="00DE14B5"/>
    <w:rsid w:val="00DE14F8"/>
    <w:rsid w:val="00DE1519"/>
    <w:rsid w:val="00DE15D8"/>
    <w:rsid w:val="00DE15EB"/>
    <w:rsid w:val="00DE165A"/>
    <w:rsid w:val="00DE16B3"/>
    <w:rsid w:val="00DE1742"/>
    <w:rsid w:val="00DE1805"/>
    <w:rsid w:val="00DE1911"/>
    <w:rsid w:val="00DE19B0"/>
    <w:rsid w:val="00DE1ACE"/>
    <w:rsid w:val="00DE1B42"/>
    <w:rsid w:val="00DE1B4E"/>
    <w:rsid w:val="00DE1BC3"/>
    <w:rsid w:val="00DE1C24"/>
    <w:rsid w:val="00DE1C2A"/>
    <w:rsid w:val="00DE1DCE"/>
    <w:rsid w:val="00DE1DD6"/>
    <w:rsid w:val="00DE1DE1"/>
    <w:rsid w:val="00DE1F69"/>
    <w:rsid w:val="00DE1FA3"/>
    <w:rsid w:val="00DE1FB2"/>
    <w:rsid w:val="00DE2066"/>
    <w:rsid w:val="00DE2077"/>
    <w:rsid w:val="00DE20D3"/>
    <w:rsid w:val="00DE213A"/>
    <w:rsid w:val="00DE21D2"/>
    <w:rsid w:val="00DE22AA"/>
    <w:rsid w:val="00DE230B"/>
    <w:rsid w:val="00DE2404"/>
    <w:rsid w:val="00DE240F"/>
    <w:rsid w:val="00DE2500"/>
    <w:rsid w:val="00DE25C7"/>
    <w:rsid w:val="00DE260C"/>
    <w:rsid w:val="00DE270A"/>
    <w:rsid w:val="00DE2763"/>
    <w:rsid w:val="00DE27C9"/>
    <w:rsid w:val="00DE286D"/>
    <w:rsid w:val="00DE2944"/>
    <w:rsid w:val="00DE2982"/>
    <w:rsid w:val="00DE298C"/>
    <w:rsid w:val="00DE2995"/>
    <w:rsid w:val="00DE29D5"/>
    <w:rsid w:val="00DE2A21"/>
    <w:rsid w:val="00DE2A91"/>
    <w:rsid w:val="00DE2B3E"/>
    <w:rsid w:val="00DE2C06"/>
    <w:rsid w:val="00DE2C8B"/>
    <w:rsid w:val="00DE2D3C"/>
    <w:rsid w:val="00DE2DB7"/>
    <w:rsid w:val="00DE2DEF"/>
    <w:rsid w:val="00DE2E4F"/>
    <w:rsid w:val="00DE2E55"/>
    <w:rsid w:val="00DE2EB1"/>
    <w:rsid w:val="00DE3073"/>
    <w:rsid w:val="00DE315F"/>
    <w:rsid w:val="00DE3167"/>
    <w:rsid w:val="00DE31B8"/>
    <w:rsid w:val="00DE32B4"/>
    <w:rsid w:val="00DE32D0"/>
    <w:rsid w:val="00DE3318"/>
    <w:rsid w:val="00DE3335"/>
    <w:rsid w:val="00DE3370"/>
    <w:rsid w:val="00DE33C5"/>
    <w:rsid w:val="00DE33E0"/>
    <w:rsid w:val="00DE33FB"/>
    <w:rsid w:val="00DE3404"/>
    <w:rsid w:val="00DE340C"/>
    <w:rsid w:val="00DE344E"/>
    <w:rsid w:val="00DE35D6"/>
    <w:rsid w:val="00DE369B"/>
    <w:rsid w:val="00DE374B"/>
    <w:rsid w:val="00DE37C9"/>
    <w:rsid w:val="00DE3812"/>
    <w:rsid w:val="00DE381D"/>
    <w:rsid w:val="00DE383A"/>
    <w:rsid w:val="00DE3865"/>
    <w:rsid w:val="00DE388D"/>
    <w:rsid w:val="00DE38A7"/>
    <w:rsid w:val="00DE3986"/>
    <w:rsid w:val="00DE39DD"/>
    <w:rsid w:val="00DE39F5"/>
    <w:rsid w:val="00DE3A40"/>
    <w:rsid w:val="00DE3A53"/>
    <w:rsid w:val="00DE3A92"/>
    <w:rsid w:val="00DE3B54"/>
    <w:rsid w:val="00DE3C3F"/>
    <w:rsid w:val="00DE3C77"/>
    <w:rsid w:val="00DE3CD2"/>
    <w:rsid w:val="00DE3CE1"/>
    <w:rsid w:val="00DE3D4F"/>
    <w:rsid w:val="00DE3DF8"/>
    <w:rsid w:val="00DE3EC0"/>
    <w:rsid w:val="00DE3FBA"/>
    <w:rsid w:val="00DE3FE5"/>
    <w:rsid w:val="00DE4181"/>
    <w:rsid w:val="00DE41E7"/>
    <w:rsid w:val="00DE41ED"/>
    <w:rsid w:val="00DE42CF"/>
    <w:rsid w:val="00DE4347"/>
    <w:rsid w:val="00DE434B"/>
    <w:rsid w:val="00DE4392"/>
    <w:rsid w:val="00DE4467"/>
    <w:rsid w:val="00DE458F"/>
    <w:rsid w:val="00DE4598"/>
    <w:rsid w:val="00DE4601"/>
    <w:rsid w:val="00DE46B4"/>
    <w:rsid w:val="00DE4712"/>
    <w:rsid w:val="00DE4832"/>
    <w:rsid w:val="00DE48F3"/>
    <w:rsid w:val="00DE491B"/>
    <w:rsid w:val="00DE495A"/>
    <w:rsid w:val="00DE499F"/>
    <w:rsid w:val="00DE49AC"/>
    <w:rsid w:val="00DE49F0"/>
    <w:rsid w:val="00DE4A1E"/>
    <w:rsid w:val="00DE4B0B"/>
    <w:rsid w:val="00DE4BA5"/>
    <w:rsid w:val="00DE4C13"/>
    <w:rsid w:val="00DE4C2C"/>
    <w:rsid w:val="00DE4C47"/>
    <w:rsid w:val="00DE4CDE"/>
    <w:rsid w:val="00DE4D85"/>
    <w:rsid w:val="00DE4EA0"/>
    <w:rsid w:val="00DE4EAD"/>
    <w:rsid w:val="00DE4EB5"/>
    <w:rsid w:val="00DE4EFA"/>
    <w:rsid w:val="00DE4F57"/>
    <w:rsid w:val="00DE4FA9"/>
    <w:rsid w:val="00DE4FD0"/>
    <w:rsid w:val="00DE4FF0"/>
    <w:rsid w:val="00DE503D"/>
    <w:rsid w:val="00DE5091"/>
    <w:rsid w:val="00DE50F5"/>
    <w:rsid w:val="00DE50FA"/>
    <w:rsid w:val="00DE5238"/>
    <w:rsid w:val="00DE528A"/>
    <w:rsid w:val="00DE5350"/>
    <w:rsid w:val="00DE554F"/>
    <w:rsid w:val="00DE558F"/>
    <w:rsid w:val="00DE5661"/>
    <w:rsid w:val="00DE56E0"/>
    <w:rsid w:val="00DE5747"/>
    <w:rsid w:val="00DE576A"/>
    <w:rsid w:val="00DE576F"/>
    <w:rsid w:val="00DE57A5"/>
    <w:rsid w:val="00DE58F8"/>
    <w:rsid w:val="00DE5993"/>
    <w:rsid w:val="00DE5995"/>
    <w:rsid w:val="00DE5A33"/>
    <w:rsid w:val="00DE5A38"/>
    <w:rsid w:val="00DE5ABA"/>
    <w:rsid w:val="00DE5AEA"/>
    <w:rsid w:val="00DE5BA0"/>
    <w:rsid w:val="00DE5C3B"/>
    <w:rsid w:val="00DE5C49"/>
    <w:rsid w:val="00DE5DE5"/>
    <w:rsid w:val="00DE5E35"/>
    <w:rsid w:val="00DE5EEF"/>
    <w:rsid w:val="00DE5F46"/>
    <w:rsid w:val="00DE5FA3"/>
    <w:rsid w:val="00DE5FB8"/>
    <w:rsid w:val="00DE5FFC"/>
    <w:rsid w:val="00DE60C7"/>
    <w:rsid w:val="00DE61C6"/>
    <w:rsid w:val="00DE62A9"/>
    <w:rsid w:val="00DE6346"/>
    <w:rsid w:val="00DE6449"/>
    <w:rsid w:val="00DE6455"/>
    <w:rsid w:val="00DE64B1"/>
    <w:rsid w:val="00DE64BD"/>
    <w:rsid w:val="00DE64BE"/>
    <w:rsid w:val="00DE6519"/>
    <w:rsid w:val="00DE6533"/>
    <w:rsid w:val="00DE65C9"/>
    <w:rsid w:val="00DE662D"/>
    <w:rsid w:val="00DE6766"/>
    <w:rsid w:val="00DE68D7"/>
    <w:rsid w:val="00DE694E"/>
    <w:rsid w:val="00DE6AE7"/>
    <w:rsid w:val="00DE6B02"/>
    <w:rsid w:val="00DE6B11"/>
    <w:rsid w:val="00DE6BF3"/>
    <w:rsid w:val="00DE6C9E"/>
    <w:rsid w:val="00DE6D2E"/>
    <w:rsid w:val="00DE6DE1"/>
    <w:rsid w:val="00DE6E93"/>
    <w:rsid w:val="00DE6EDF"/>
    <w:rsid w:val="00DE6EE4"/>
    <w:rsid w:val="00DE705A"/>
    <w:rsid w:val="00DE7070"/>
    <w:rsid w:val="00DE70F1"/>
    <w:rsid w:val="00DE7139"/>
    <w:rsid w:val="00DE7191"/>
    <w:rsid w:val="00DE71A8"/>
    <w:rsid w:val="00DE71E0"/>
    <w:rsid w:val="00DE72AE"/>
    <w:rsid w:val="00DE72EE"/>
    <w:rsid w:val="00DE730E"/>
    <w:rsid w:val="00DE7357"/>
    <w:rsid w:val="00DE73AA"/>
    <w:rsid w:val="00DE7473"/>
    <w:rsid w:val="00DE74FA"/>
    <w:rsid w:val="00DE7531"/>
    <w:rsid w:val="00DE7650"/>
    <w:rsid w:val="00DE7689"/>
    <w:rsid w:val="00DE779F"/>
    <w:rsid w:val="00DE79F3"/>
    <w:rsid w:val="00DE7A74"/>
    <w:rsid w:val="00DE7A9C"/>
    <w:rsid w:val="00DE7AC4"/>
    <w:rsid w:val="00DE7ADD"/>
    <w:rsid w:val="00DE7B52"/>
    <w:rsid w:val="00DE7CC1"/>
    <w:rsid w:val="00DE7CE0"/>
    <w:rsid w:val="00DE7E52"/>
    <w:rsid w:val="00DE7EE9"/>
    <w:rsid w:val="00DE7F10"/>
    <w:rsid w:val="00DE7F75"/>
    <w:rsid w:val="00DE7FC0"/>
    <w:rsid w:val="00DF00F5"/>
    <w:rsid w:val="00DF016A"/>
    <w:rsid w:val="00DF0206"/>
    <w:rsid w:val="00DF0262"/>
    <w:rsid w:val="00DF0291"/>
    <w:rsid w:val="00DF02B5"/>
    <w:rsid w:val="00DF0347"/>
    <w:rsid w:val="00DF03C4"/>
    <w:rsid w:val="00DF040B"/>
    <w:rsid w:val="00DF062A"/>
    <w:rsid w:val="00DF0631"/>
    <w:rsid w:val="00DF06ED"/>
    <w:rsid w:val="00DF0815"/>
    <w:rsid w:val="00DF092E"/>
    <w:rsid w:val="00DF0976"/>
    <w:rsid w:val="00DF09A6"/>
    <w:rsid w:val="00DF09FA"/>
    <w:rsid w:val="00DF0A56"/>
    <w:rsid w:val="00DF0AE9"/>
    <w:rsid w:val="00DF0B2C"/>
    <w:rsid w:val="00DF0B41"/>
    <w:rsid w:val="00DF0B92"/>
    <w:rsid w:val="00DF0BE6"/>
    <w:rsid w:val="00DF0D4C"/>
    <w:rsid w:val="00DF0D54"/>
    <w:rsid w:val="00DF0D59"/>
    <w:rsid w:val="00DF0D68"/>
    <w:rsid w:val="00DF0E31"/>
    <w:rsid w:val="00DF0E3B"/>
    <w:rsid w:val="00DF0E41"/>
    <w:rsid w:val="00DF0E5E"/>
    <w:rsid w:val="00DF0EB6"/>
    <w:rsid w:val="00DF0F0D"/>
    <w:rsid w:val="00DF0FA0"/>
    <w:rsid w:val="00DF0FC4"/>
    <w:rsid w:val="00DF0FC8"/>
    <w:rsid w:val="00DF1072"/>
    <w:rsid w:val="00DF10C2"/>
    <w:rsid w:val="00DF10D4"/>
    <w:rsid w:val="00DF1101"/>
    <w:rsid w:val="00DF1178"/>
    <w:rsid w:val="00DF11DF"/>
    <w:rsid w:val="00DF1222"/>
    <w:rsid w:val="00DF1232"/>
    <w:rsid w:val="00DF1234"/>
    <w:rsid w:val="00DF124E"/>
    <w:rsid w:val="00DF129C"/>
    <w:rsid w:val="00DF134B"/>
    <w:rsid w:val="00DF143C"/>
    <w:rsid w:val="00DF144B"/>
    <w:rsid w:val="00DF1485"/>
    <w:rsid w:val="00DF15DD"/>
    <w:rsid w:val="00DF1683"/>
    <w:rsid w:val="00DF1696"/>
    <w:rsid w:val="00DF1777"/>
    <w:rsid w:val="00DF17B5"/>
    <w:rsid w:val="00DF18B7"/>
    <w:rsid w:val="00DF18F0"/>
    <w:rsid w:val="00DF1A15"/>
    <w:rsid w:val="00DF1A2C"/>
    <w:rsid w:val="00DF1A6B"/>
    <w:rsid w:val="00DF1A6F"/>
    <w:rsid w:val="00DF1B7C"/>
    <w:rsid w:val="00DF1BF6"/>
    <w:rsid w:val="00DF1C17"/>
    <w:rsid w:val="00DF1DB1"/>
    <w:rsid w:val="00DF1DD4"/>
    <w:rsid w:val="00DF1EBA"/>
    <w:rsid w:val="00DF1EEC"/>
    <w:rsid w:val="00DF1FFF"/>
    <w:rsid w:val="00DF2027"/>
    <w:rsid w:val="00DF204B"/>
    <w:rsid w:val="00DF2092"/>
    <w:rsid w:val="00DF217C"/>
    <w:rsid w:val="00DF21B8"/>
    <w:rsid w:val="00DF21E4"/>
    <w:rsid w:val="00DF22D5"/>
    <w:rsid w:val="00DF232A"/>
    <w:rsid w:val="00DF232F"/>
    <w:rsid w:val="00DF2350"/>
    <w:rsid w:val="00DF236E"/>
    <w:rsid w:val="00DF2395"/>
    <w:rsid w:val="00DF2433"/>
    <w:rsid w:val="00DF2558"/>
    <w:rsid w:val="00DF257B"/>
    <w:rsid w:val="00DF263B"/>
    <w:rsid w:val="00DF2648"/>
    <w:rsid w:val="00DF26D1"/>
    <w:rsid w:val="00DF27E5"/>
    <w:rsid w:val="00DF2813"/>
    <w:rsid w:val="00DF2954"/>
    <w:rsid w:val="00DF2AAA"/>
    <w:rsid w:val="00DF2B10"/>
    <w:rsid w:val="00DF2B49"/>
    <w:rsid w:val="00DF2B69"/>
    <w:rsid w:val="00DF2B90"/>
    <w:rsid w:val="00DF2B94"/>
    <w:rsid w:val="00DF2BAE"/>
    <w:rsid w:val="00DF2CDC"/>
    <w:rsid w:val="00DF2CE4"/>
    <w:rsid w:val="00DF2DA0"/>
    <w:rsid w:val="00DF2EB4"/>
    <w:rsid w:val="00DF2ED4"/>
    <w:rsid w:val="00DF2F8C"/>
    <w:rsid w:val="00DF2F95"/>
    <w:rsid w:val="00DF2FA9"/>
    <w:rsid w:val="00DF2FC4"/>
    <w:rsid w:val="00DF3000"/>
    <w:rsid w:val="00DF3055"/>
    <w:rsid w:val="00DF3319"/>
    <w:rsid w:val="00DF3331"/>
    <w:rsid w:val="00DF3353"/>
    <w:rsid w:val="00DF342A"/>
    <w:rsid w:val="00DF348B"/>
    <w:rsid w:val="00DF34B5"/>
    <w:rsid w:val="00DF35AA"/>
    <w:rsid w:val="00DF3737"/>
    <w:rsid w:val="00DF3793"/>
    <w:rsid w:val="00DF37CC"/>
    <w:rsid w:val="00DF37FB"/>
    <w:rsid w:val="00DF3823"/>
    <w:rsid w:val="00DF38CC"/>
    <w:rsid w:val="00DF39D0"/>
    <w:rsid w:val="00DF3A18"/>
    <w:rsid w:val="00DF3A3D"/>
    <w:rsid w:val="00DF3A60"/>
    <w:rsid w:val="00DF3AE7"/>
    <w:rsid w:val="00DF3B16"/>
    <w:rsid w:val="00DF3BF8"/>
    <w:rsid w:val="00DF3C5A"/>
    <w:rsid w:val="00DF3CCC"/>
    <w:rsid w:val="00DF3DD9"/>
    <w:rsid w:val="00DF3DE5"/>
    <w:rsid w:val="00DF3E8F"/>
    <w:rsid w:val="00DF3ED0"/>
    <w:rsid w:val="00DF4238"/>
    <w:rsid w:val="00DF42EF"/>
    <w:rsid w:val="00DF43F1"/>
    <w:rsid w:val="00DF4469"/>
    <w:rsid w:val="00DF4512"/>
    <w:rsid w:val="00DF451D"/>
    <w:rsid w:val="00DF459D"/>
    <w:rsid w:val="00DF470B"/>
    <w:rsid w:val="00DF4879"/>
    <w:rsid w:val="00DF4997"/>
    <w:rsid w:val="00DF49AE"/>
    <w:rsid w:val="00DF49E7"/>
    <w:rsid w:val="00DF4A41"/>
    <w:rsid w:val="00DF4A88"/>
    <w:rsid w:val="00DF4B5F"/>
    <w:rsid w:val="00DF4B66"/>
    <w:rsid w:val="00DF4B71"/>
    <w:rsid w:val="00DF4CD2"/>
    <w:rsid w:val="00DF4CF5"/>
    <w:rsid w:val="00DF4DBC"/>
    <w:rsid w:val="00DF4DCE"/>
    <w:rsid w:val="00DF4E3E"/>
    <w:rsid w:val="00DF4F62"/>
    <w:rsid w:val="00DF4FB7"/>
    <w:rsid w:val="00DF5093"/>
    <w:rsid w:val="00DF50F6"/>
    <w:rsid w:val="00DF510C"/>
    <w:rsid w:val="00DF5187"/>
    <w:rsid w:val="00DF519A"/>
    <w:rsid w:val="00DF51D9"/>
    <w:rsid w:val="00DF5225"/>
    <w:rsid w:val="00DF52C9"/>
    <w:rsid w:val="00DF5328"/>
    <w:rsid w:val="00DF5336"/>
    <w:rsid w:val="00DF53F4"/>
    <w:rsid w:val="00DF54A7"/>
    <w:rsid w:val="00DF5519"/>
    <w:rsid w:val="00DF5567"/>
    <w:rsid w:val="00DF5577"/>
    <w:rsid w:val="00DF55CA"/>
    <w:rsid w:val="00DF55E3"/>
    <w:rsid w:val="00DF571D"/>
    <w:rsid w:val="00DF5734"/>
    <w:rsid w:val="00DF5761"/>
    <w:rsid w:val="00DF581B"/>
    <w:rsid w:val="00DF59B9"/>
    <w:rsid w:val="00DF59C8"/>
    <w:rsid w:val="00DF5AA9"/>
    <w:rsid w:val="00DF5AB1"/>
    <w:rsid w:val="00DF5BF1"/>
    <w:rsid w:val="00DF5C08"/>
    <w:rsid w:val="00DF5C2C"/>
    <w:rsid w:val="00DF5C9D"/>
    <w:rsid w:val="00DF5CBB"/>
    <w:rsid w:val="00DF5EAA"/>
    <w:rsid w:val="00DF61D1"/>
    <w:rsid w:val="00DF61EE"/>
    <w:rsid w:val="00DF6296"/>
    <w:rsid w:val="00DF640E"/>
    <w:rsid w:val="00DF642C"/>
    <w:rsid w:val="00DF64DE"/>
    <w:rsid w:val="00DF6600"/>
    <w:rsid w:val="00DF66EA"/>
    <w:rsid w:val="00DF67F2"/>
    <w:rsid w:val="00DF6866"/>
    <w:rsid w:val="00DF6AD6"/>
    <w:rsid w:val="00DF6B60"/>
    <w:rsid w:val="00DF6BF7"/>
    <w:rsid w:val="00DF6C00"/>
    <w:rsid w:val="00DF6C02"/>
    <w:rsid w:val="00DF6C52"/>
    <w:rsid w:val="00DF6D25"/>
    <w:rsid w:val="00DF6DB8"/>
    <w:rsid w:val="00DF6DF3"/>
    <w:rsid w:val="00DF6E57"/>
    <w:rsid w:val="00DF6E79"/>
    <w:rsid w:val="00DF6ECC"/>
    <w:rsid w:val="00DF6F61"/>
    <w:rsid w:val="00DF6FA6"/>
    <w:rsid w:val="00DF7004"/>
    <w:rsid w:val="00DF7093"/>
    <w:rsid w:val="00DF712F"/>
    <w:rsid w:val="00DF7193"/>
    <w:rsid w:val="00DF71A4"/>
    <w:rsid w:val="00DF7219"/>
    <w:rsid w:val="00DF721D"/>
    <w:rsid w:val="00DF7289"/>
    <w:rsid w:val="00DF731F"/>
    <w:rsid w:val="00DF73D0"/>
    <w:rsid w:val="00DF73F9"/>
    <w:rsid w:val="00DF746C"/>
    <w:rsid w:val="00DF7501"/>
    <w:rsid w:val="00DF7629"/>
    <w:rsid w:val="00DF7689"/>
    <w:rsid w:val="00DF7696"/>
    <w:rsid w:val="00DF76B2"/>
    <w:rsid w:val="00DF76CE"/>
    <w:rsid w:val="00DF7712"/>
    <w:rsid w:val="00DF7722"/>
    <w:rsid w:val="00DF772A"/>
    <w:rsid w:val="00DF796D"/>
    <w:rsid w:val="00DF79DF"/>
    <w:rsid w:val="00DF79E0"/>
    <w:rsid w:val="00DF79F2"/>
    <w:rsid w:val="00DF79F6"/>
    <w:rsid w:val="00DF7AA0"/>
    <w:rsid w:val="00DF7B03"/>
    <w:rsid w:val="00DF7B4A"/>
    <w:rsid w:val="00DF7BAD"/>
    <w:rsid w:val="00DF7BE1"/>
    <w:rsid w:val="00DF7C02"/>
    <w:rsid w:val="00DF7CBD"/>
    <w:rsid w:val="00DF7CF7"/>
    <w:rsid w:val="00DF7FC6"/>
    <w:rsid w:val="00DF7FF6"/>
    <w:rsid w:val="00E00014"/>
    <w:rsid w:val="00E0003E"/>
    <w:rsid w:val="00E00129"/>
    <w:rsid w:val="00E00152"/>
    <w:rsid w:val="00E001A2"/>
    <w:rsid w:val="00E001FB"/>
    <w:rsid w:val="00E0020B"/>
    <w:rsid w:val="00E00250"/>
    <w:rsid w:val="00E00259"/>
    <w:rsid w:val="00E0026E"/>
    <w:rsid w:val="00E00299"/>
    <w:rsid w:val="00E00302"/>
    <w:rsid w:val="00E00356"/>
    <w:rsid w:val="00E00373"/>
    <w:rsid w:val="00E003C1"/>
    <w:rsid w:val="00E004F1"/>
    <w:rsid w:val="00E0053E"/>
    <w:rsid w:val="00E00556"/>
    <w:rsid w:val="00E0056F"/>
    <w:rsid w:val="00E00733"/>
    <w:rsid w:val="00E00738"/>
    <w:rsid w:val="00E007D8"/>
    <w:rsid w:val="00E007E6"/>
    <w:rsid w:val="00E008F1"/>
    <w:rsid w:val="00E008FF"/>
    <w:rsid w:val="00E00920"/>
    <w:rsid w:val="00E00A8D"/>
    <w:rsid w:val="00E00A8E"/>
    <w:rsid w:val="00E00AF8"/>
    <w:rsid w:val="00E00B5A"/>
    <w:rsid w:val="00E00BAD"/>
    <w:rsid w:val="00E00BCB"/>
    <w:rsid w:val="00E00BE5"/>
    <w:rsid w:val="00E00D84"/>
    <w:rsid w:val="00E00DAF"/>
    <w:rsid w:val="00E00E95"/>
    <w:rsid w:val="00E00ED4"/>
    <w:rsid w:val="00E00FB0"/>
    <w:rsid w:val="00E00FC2"/>
    <w:rsid w:val="00E00FF1"/>
    <w:rsid w:val="00E012AE"/>
    <w:rsid w:val="00E012C8"/>
    <w:rsid w:val="00E01309"/>
    <w:rsid w:val="00E01402"/>
    <w:rsid w:val="00E015D4"/>
    <w:rsid w:val="00E01612"/>
    <w:rsid w:val="00E01641"/>
    <w:rsid w:val="00E01789"/>
    <w:rsid w:val="00E01790"/>
    <w:rsid w:val="00E0180D"/>
    <w:rsid w:val="00E0188E"/>
    <w:rsid w:val="00E01A27"/>
    <w:rsid w:val="00E01A63"/>
    <w:rsid w:val="00E01AD8"/>
    <w:rsid w:val="00E01B6B"/>
    <w:rsid w:val="00E01C19"/>
    <w:rsid w:val="00E01C6E"/>
    <w:rsid w:val="00E01C75"/>
    <w:rsid w:val="00E01CC4"/>
    <w:rsid w:val="00E01CF0"/>
    <w:rsid w:val="00E01D04"/>
    <w:rsid w:val="00E01D3C"/>
    <w:rsid w:val="00E01D84"/>
    <w:rsid w:val="00E01D8C"/>
    <w:rsid w:val="00E02044"/>
    <w:rsid w:val="00E0207C"/>
    <w:rsid w:val="00E020EB"/>
    <w:rsid w:val="00E02113"/>
    <w:rsid w:val="00E021B5"/>
    <w:rsid w:val="00E02337"/>
    <w:rsid w:val="00E0244D"/>
    <w:rsid w:val="00E025A0"/>
    <w:rsid w:val="00E026AA"/>
    <w:rsid w:val="00E026C0"/>
    <w:rsid w:val="00E026D2"/>
    <w:rsid w:val="00E02823"/>
    <w:rsid w:val="00E02834"/>
    <w:rsid w:val="00E0288D"/>
    <w:rsid w:val="00E028BA"/>
    <w:rsid w:val="00E028F4"/>
    <w:rsid w:val="00E02A0C"/>
    <w:rsid w:val="00E02B4D"/>
    <w:rsid w:val="00E02C0A"/>
    <w:rsid w:val="00E02CCB"/>
    <w:rsid w:val="00E02CDD"/>
    <w:rsid w:val="00E02D96"/>
    <w:rsid w:val="00E02DA8"/>
    <w:rsid w:val="00E02EB7"/>
    <w:rsid w:val="00E02EC5"/>
    <w:rsid w:val="00E02F94"/>
    <w:rsid w:val="00E02FD6"/>
    <w:rsid w:val="00E02FD7"/>
    <w:rsid w:val="00E0302F"/>
    <w:rsid w:val="00E030AF"/>
    <w:rsid w:val="00E031A2"/>
    <w:rsid w:val="00E031B0"/>
    <w:rsid w:val="00E031D5"/>
    <w:rsid w:val="00E03219"/>
    <w:rsid w:val="00E0340C"/>
    <w:rsid w:val="00E03488"/>
    <w:rsid w:val="00E03492"/>
    <w:rsid w:val="00E034DD"/>
    <w:rsid w:val="00E03616"/>
    <w:rsid w:val="00E0372F"/>
    <w:rsid w:val="00E0376C"/>
    <w:rsid w:val="00E03942"/>
    <w:rsid w:val="00E0396C"/>
    <w:rsid w:val="00E03B34"/>
    <w:rsid w:val="00E03B51"/>
    <w:rsid w:val="00E03C78"/>
    <w:rsid w:val="00E03D7D"/>
    <w:rsid w:val="00E03D80"/>
    <w:rsid w:val="00E03DEA"/>
    <w:rsid w:val="00E03E13"/>
    <w:rsid w:val="00E03ED3"/>
    <w:rsid w:val="00E03F92"/>
    <w:rsid w:val="00E04199"/>
    <w:rsid w:val="00E041ED"/>
    <w:rsid w:val="00E0424D"/>
    <w:rsid w:val="00E042D5"/>
    <w:rsid w:val="00E04375"/>
    <w:rsid w:val="00E043A5"/>
    <w:rsid w:val="00E043D1"/>
    <w:rsid w:val="00E043F1"/>
    <w:rsid w:val="00E043F3"/>
    <w:rsid w:val="00E0449F"/>
    <w:rsid w:val="00E0455B"/>
    <w:rsid w:val="00E0464E"/>
    <w:rsid w:val="00E04732"/>
    <w:rsid w:val="00E04739"/>
    <w:rsid w:val="00E047E1"/>
    <w:rsid w:val="00E047EF"/>
    <w:rsid w:val="00E04804"/>
    <w:rsid w:val="00E0486D"/>
    <w:rsid w:val="00E048AD"/>
    <w:rsid w:val="00E048D5"/>
    <w:rsid w:val="00E04994"/>
    <w:rsid w:val="00E04A72"/>
    <w:rsid w:val="00E04A99"/>
    <w:rsid w:val="00E04B26"/>
    <w:rsid w:val="00E04CE3"/>
    <w:rsid w:val="00E04CE5"/>
    <w:rsid w:val="00E04F1D"/>
    <w:rsid w:val="00E05150"/>
    <w:rsid w:val="00E05169"/>
    <w:rsid w:val="00E05175"/>
    <w:rsid w:val="00E051BE"/>
    <w:rsid w:val="00E052CE"/>
    <w:rsid w:val="00E052D1"/>
    <w:rsid w:val="00E0533D"/>
    <w:rsid w:val="00E053DB"/>
    <w:rsid w:val="00E054CB"/>
    <w:rsid w:val="00E05526"/>
    <w:rsid w:val="00E05571"/>
    <w:rsid w:val="00E055FE"/>
    <w:rsid w:val="00E05628"/>
    <w:rsid w:val="00E0569F"/>
    <w:rsid w:val="00E057C9"/>
    <w:rsid w:val="00E05875"/>
    <w:rsid w:val="00E0588D"/>
    <w:rsid w:val="00E05A43"/>
    <w:rsid w:val="00E05A4C"/>
    <w:rsid w:val="00E05A8D"/>
    <w:rsid w:val="00E05B93"/>
    <w:rsid w:val="00E05BC5"/>
    <w:rsid w:val="00E05C8B"/>
    <w:rsid w:val="00E05D53"/>
    <w:rsid w:val="00E05ED6"/>
    <w:rsid w:val="00E05EF8"/>
    <w:rsid w:val="00E05F30"/>
    <w:rsid w:val="00E05F64"/>
    <w:rsid w:val="00E05FC0"/>
    <w:rsid w:val="00E06033"/>
    <w:rsid w:val="00E060DC"/>
    <w:rsid w:val="00E060F1"/>
    <w:rsid w:val="00E0617D"/>
    <w:rsid w:val="00E061C1"/>
    <w:rsid w:val="00E061D9"/>
    <w:rsid w:val="00E06276"/>
    <w:rsid w:val="00E062B8"/>
    <w:rsid w:val="00E06378"/>
    <w:rsid w:val="00E06439"/>
    <w:rsid w:val="00E065C0"/>
    <w:rsid w:val="00E065F1"/>
    <w:rsid w:val="00E06612"/>
    <w:rsid w:val="00E06621"/>
    <w:rsid w:val="00E066BD"/>
    <w:rsid w:val="00E068B4"/>
    <w:rsid w:val="00E0690A"/>
    <w:rsid w:val="00E06911"/>
    <w:rsid w:val="00E06A13"/>
    <w:rsid w:val="00E06A8D"/>
    <w:rsid w:val="00E06AC9"/>
    <w:rsid w:val="00E06AF6"/>
    <w:rsid w:val="00E06B85"/>
    <w:rsid w:val="00E06BAE"/>
    <w:rsid w:val="00E06C3F"/>
    <w:rsid w:val="00E06D24"/>
    <w:rsid w:val="00E06DD9"/>
    <w:rsid w:val="00E06EB0"/>
    <w:rsid w:val="00E06F38"/>
    <w:rsid w:val="00E06F39"/>
    <w:rsid w:val="00E06FEE"/>
    <w:rsid w:val="00E06FF6"/>
    <w:rsid w:val="00E07000"/>
    <w:rsid w:val="00E07027"/>
    <w:rsid w:val="00E0705D"/>
    <w:rsid w:val="00E0712E"/>
    <w:rsid w:val="00E07166"/>
    <w:rsid w:val="00E071D9"/>
    <w:rsid w:val="00E0720F"/>
    <w:rsid w:val="00E0741B"/>
    <w:rsid w:val="00E074BD"/>
    <w:rsid w:val="00E0753F"/>
    <w:rsid w:val="00E075B4"/>
    <w:rsid w:val="00E075E1"/>
    <w:rsid w:val="00E076A3"/>
    <w:rsid w:val="00E0784F"/>
    <w:rsid w:val="00E07875"/>
    <w:rsid w:val="00E078BC"/>
    <w:rsid w:val="00E079E9"/>
    <w:rsid w:val="00E079F0"/>
    <w:rsid w:val="00E07A6A"/>
    <w:rsid w:val="00E07AE3"/>
    <w:rsid w:val="00E07B58"/>
    <w:rsid w:val="00E07B5F"/>
    <w:rsid w:val="00E07BE2"/>
    <w:rsid w:val="00E07C8C"/>
    <w:rsid w:val="00E07CB0"/>
    <w:rsid w:val="00E07DC4"/>
    <w:rsid w:val="00E07F14"/>
    <w:rsid w:val="00E07FCA"/>
    <w:rsid w:val="00E07FCD"/>
    <w:rsid w:val="00E1002C"/>
    <w:rsid w:val="00E10154"/>
    <w:rsid w:val="00E10197"/>
    <w:rsid w:val="00E101C6"/>
    <w:rsid w:val="00E10288"/>
    <w:rsid w:val="00E102A1"/>
    <w:rsid w:val="00E10354"/>
    <w:rsid w:val="00E10526"/>
    <w:rsid w:val="00E105BA"/>
    <w:rsid w:val="00E10675"/>
    <w:rsid w:val="00E106B4"/>
    <w:rsid w:val="00E106D6"/>
    <w:rsid w:val="00E10874"/>
    <w:rsid w:val="00E108A2"/>
    <w:rsid w:val="00E108A5"/>
    <w:rsid w:val="00E10949"/>
    <w:rsid w:val="00E10A0D"/>
    <w:rsid w:val="00E10A3B"/>
    <w:rsid w:val="00E10AB3"/>
    <w:rsid w:val="00E10AD8"/>
    <w:rsid w:val="00E10C10"/>
    <w:rsid w:val="00E10C21"/>
    <w:rsid w:val="00E10CF0"/>
    <w:rsid w:val="00E10D04"/>
    <w:rsid w:val="00E10D14"/>
    <w:rsid w:val="00E10D48"/>
    <w:rsid w:val="00E10D97"/>
    <w:rsid w:val="00E10DDC"/>
    <w:rsid w:val="00E10DE5"/>
    <w:rsid w:val="00E10E16"/>
    <w:rsid w:val="00E10F09"/>
    <w:rsid w:val="00E10F1E"/>
    <w:rsid w:val="00E10F40"/>
    <w:rsid w:val="00E10F8E"/>
    <w:rsid w:val="00E10FE4"/>
    <w:rsid w:val="00E11051"/>
    <w:rsid w:val="00E1109A"/>
    <w:rsid w:val="00E110D9"/>
    <w:rsid w:val="00E110EB"/>
    <w:rsid w:val="00E1125C"/>
    <w:rsid w:val="00E11311"/>
    <w:rsid w:val="00E1134E"/>
    <w:rsid w:val="00E11546"/>
    <w:rsid w:val="00E11692"/>
    <w:rsid w:val="00E11785"/>
    <w:rsid w:val="00E117A0"/>
    <w:rsid w:val="00E117CB"/>
    <w:rsid w:val="00E11865"/>
    <w:rsid w:val="00E119BA"/>
    <w:rsid w:val="00E11A52"/>
    <w:rsid w:val="00E11A7F"/>
    <w:rsid w:val="00E11A8A"/>
    <w:rsid w:val="00E11B2C"/>
    <w:rsid w:val="00E11C00"/>
    <w:rsid w:val="00E11C16"/>
    <w:rsid w:val="00E11C38"/>
    <w:rsid w:val="00E11CB9"/>
    <w:rsid w:val="00E11CBD"/>
    <w:rsid w:val="00E11CCA"/>
    <w:rsid w:val="00E11CFB"/>
    <w:rsid w:val="00E11DF0"/>
    <w:rsid w:val="00E11E14"/>
    <w:rsid w:val="00E11ED1"/>
    <w:rsid w:val="00E11F1F"/>
    <w:rsid w:val="00E11F5E"/>
    <w:rsid w:val="00E1219E"/>
    <w:rsid w:val="00E121D9"/>
    <w:rsid w:val="00E12235"/>
    <w:rsid w:val="00E12285"/>
    <w:rsid w:val="00E12295"/>
    <w:rsid w:val="00E122A0"/>
    <w:rsid w:val="00E122CA"/>
    <w:rsid w:val="00E123B5"/>
    <w:rsid w:val="00E12426"/>
    <w:rsid w:val="00E1243E"/>
    <w:rsid w:val="00E1245F"/>
    <w:rsid w:val="00E1249D"/>
    <w:rsid w:val="00E12522"/>
    <w:rsid w:val="00E1254B"/>
    <w:rsid w:val="00E125BF"/>
    <w:rsid w:val="00E126D4"/>
    <w:rsid w:val="00E126DC"/>
    <w:rsid w:val="00E1280C"/>
    <w:rsid w:val="00E1287D"/>
    <w:rsid w:val="00E12886"/>
    <w:rsid w:val="00E1288D"/>
    <w:rsid w:val="00E12935"/>
    <w:rsid w:val="00E12B5C"/>
    <w:rsid w:val="00E12C5E"/>
    <w:rsid w:val="00E12CB4"/>
    <w:rsid w:val="00E12CE5"/>
    <w:rsid w:val="00E12DBF"/>
    <w:rsid w:val="00E12E9B"/>
    <w:rsid w:val="00E12EC7"/>
    <w:rsid w:val="00E12F20"/>
    <w:rsid w:val="00E1300E"/>
    <w:rsid w:val="00E130AD"/>
    <w:rsid w:val="00E1316E"/>
    <w:rsid w:val="00E131BD"/>
    <w:rsid w:val="00E131E1"/>
    <w:rsid w:val="00E1320A"/>
    <w:rsid w:val="00E13231"/>
    <w:rsid w:val="00E1329E"/>
    <w:rsid w:val="00E132EC"/>
    <w:rsid w:val="00E13384"/>
    <w:rsid w:val="00E133C2"/>
    <w:rsid w:val="00E13467"/>
    <w:rsid w:val="00E1359E"/>
    <w:rsid w:val="00E135F7"/>
    <w:rsid w:val="00E136CD"/>
    <w:rsid w:val="00E1375E"/>
    <w:rsid w:val="00E137A6"/>
    <w:rsid w:val="00E137D4"/>
    <w:rsid w:val="00E1380F"/>
    <w:rsid w:val="00E138B5"/>
    <w:rsid w:val="00E138EE"/>
    <w:rsid w:val="00E13985"/>
    <w:rsid w:val="00E13AF4"/>
    <w:rsid w:val="00E13CAC"/>
    <w:rsid w:val="00E13CBB"/>
    <w:rsid w:val="00E13CCA"/>
    <w:rsid w:val="00E13D5E"/>
    <w:rsid w:val="00E13DE3"/>
    <w:rsid w:val="00E13E9A"/>
    <w:rsid w:val="00E13ED5"/>
    <w:rsid w:val="00E13F2B"/>
    <w:rsid w:val="00E13F33"/>
    <w:rsid w:val="00E13F4D"/>
    <w:rsid w:val="00E13F6A"/>
    <w:rsid w:val="00E13FAF"/>
    <w:rsid w:val="00E1401E"/>
    <w:rsid w:val="00E1409D"/>
    <w:rsid w:val="00E1414A"/>
    <w:rsid w:val="00E1424E"/>
    <w:rsid w:val="00E142FA"/>
    <w:rsid w:val="00E14343"/>
    <w:rsid w:val="00E143D1"/>
    <w:rsid w:val="00E144B2"/>
    <w:rsid w:val="00E14669"/>
    <w:rsid w:val="00E147F8"/>
    <w:rsid w:val="00E149B0"/>
    <w:rsid w:val="00E149E3"/>
    <w:rsid w:val="00E14A8A"/>
    <w:rsid w:val="00E14ADF"/>
    <w:rsid w:val="00E14B3C"/>
    <w:rsid w:val="00E14C76"/>
    <w:rsid w:val="00E14C7E"/>
    <w:rsid w:val="00E14CB4"/>
    <w:rsid w:val="00E14CDF"/>
    <w:rsid w:val="00E14CE4"/>
    <w:rsid w:val="00E14D88"/>
    <w:rsid w:val="00E14DA2"/>
    <w:rsid w:val="00E14DD3"/>
    <w:rsid w:val="00E14E7E"/>
    <w:rsid w:val="00E14E98"/>
    <w:rsid w:val="00E14F01"/>
    <w:rsid w:val="00E14F2A"/>
    <w:rsid w:val="00E14FC6"/>
    <w:rsid w:val="00E15019"/>
    <w:rsid w:val="00E15067"/>
    <w:rsid w:val="00E1508C"/>
    <w:rsid w:val="00E150EB"/>
    <w:rsid w:val="00E15168"/>
    <w:rsid w:val="00E1518C"/>
    <w:rsid w:val="00E15191"/>
    <w:rsid w:val="00E1519A"/>
    <w:rsid w:val="00E15258"/>
    <w:rsid w:val="00E152D9"/>
    <w:rsid w:val="00E15303"/>
    <w:rsid w:val="00E153C4"/>
    <w:rsid w:val="00E153FC"/>
    <w:rsid w:val="00E1540A"/>
    <w:rsid w:val="00E154CF"/>
    <w:rsid w:val="00E15519"/>
    <w:rsid w:val="00E1563F"/>
    <w:rsid w:val="00E15670"/>
    <w:rsid w:val="00E156AB"/>
    <w:rsid w:val="00E157D0"/>
    <w:rsid w:val="00E1581D"/>
    <w:rsid w:val="00E15876"/>
    <w:rsid w:val="00E158B9"/>
    <w:rsid w:val="00E15944"/>
    <w:rsid w:val="00E15A4F"/>
    <w:rsid w:val="00E15ADC"/>
    <w:rsid w:val="00E15BCB"/>
    <w:rsid w:val="00E15CE4"/>
    <w:rsid w:val="00E15D2A"/>
    <w:rsid w:val="00E15D6B"/>
    <w:rsid w:val="00E15DD3"/>
    <w:rsid w:val="00E15DEB"/>
    <w:rsid w:val="00E15E14"/>
    <w:rsid w:val="00E15EBE"/>
    <w:rsid w:val="00E15F03"/>
    <w:rsid w:val="00E15F8E"/>
    <w:rsid w:val="00E15FAE"/>
    <w:rsid w:val="00E16055"/>
    <w:rsid w:val="00E160ED"/>
    <w:rsid w:val="00E16228"/>
    <w:rsid w:val="00E162FD"/>
    <w:rsid w:val="00E1639B"/>
    <w:rsid w:val="00E16495"/>
    <w:rsid w:val="00E164A1"/>
    <w:rsid w:val="00E164AC"/>
    <w:rsid w:val="00E16609"/>
    <w:rsid w:val="00E1663E"/>
    <w:rsid w:val="00E16648"/>
    <w:rsid w:val="00E166C8"/>
    <w:rsid w:val="00E16727"/>
    <w:rsid w:val="00E16735"/>
    <w:rsid w:val="00E16753"/>
    <w:rsid w:val="00E16A01"/>
    <w:rsid w:val="00E16A55"/>
    <w:rsid w:val="00E16AAF"/>
    <w:rsid w:val="00E16CBF"/>
    <w:rsid w:val="00E16CDB"/>
    <w:rsid w:val="00E16CE4"/>
    <w:rsid w:val="00E16D68"/>
    <w:rsid w:val="00E16DC0"/>
    <w:rsid w:val="00E16E56"/>
    <w:rsid w:val="00E16E86"/>
    <w:rsid w:val="00E16E8F"/>
    <w:rsid w:val="00E16EA8"/>
    <w:rsid w:val="00E16F44"/>
    <w:rsid w:val="00E170C6"/>
    <w:rsid w:val="00E17101"/>
    <w:rsid w:val="00E17183"/>
    <w:rsid w:val="00E17193"/>
    <w:rsid w:val="00E17267"/>
    <w:rsid w:val="00E17297"/>
    <w:rsid w:val="00E173C2"/>
    <w:rsid w:val="00E17457"/>
    <w:rsid w:val="00E1761B"/>
    <w:rsid w:val="00E17681"/>
    <w:rsid w:val="00E176DC"/>
    <w:rsid w:val="00E17850"/>
    <w:rsid w:val="00E17870"/>
    <w:rsid w:val="00E178D0"/>
    <w:rsid w:val="00E17900"/>
    <w:rsid w:val="00E17914"/>
    <w:rsid w:val="00E1791F"/>
    <w:rsid w:val="00E17936"/>
    <w:rsid w:val="00E17959"/>
    <w:rsid w:val="00E179A5"/>
    <w:rsid w:val="00E179BA"/>
    <w:rsid w:val="00E17A02"/>
    <w:rsid w:val="00E17A5D"/>
    <w:rsid w:val="00E17B16"/>
    <w:rsid w:val="00E17B54"/>
    <w:rsid w:val="00E17B92"/>
    <w:rsid w:val="00E17B98"/>
    <w:rsid w:val="00E17B9F"/>
    <w:rsid w:val="00E17C9D"/>
    <w:rsid w:val="00E17CC1"/>
    <w:rsid w:val="00E17D39"/>
    <w:rsid w:val="00E17DD4"/>
    <w:rsid w:val="00E17F5B"/>
    <w:rsid w:val="00E17F85"/>
    <w:rsid w:val="00E17F9D"/>
    <w:rsid w:val="00E17FE8"/>
    <w:rsid w:val="00E20012"/>
    <w:rsid w:val="00E2004F"/>
    <w:rsid w:val="00E200D6"/>
    <w:rsid w:val="00E200FE"/>
    <w:rsid w:val="00E2016B"/>
    <w:rsid w:val="00E201B9"/>
    <w:rsid w:val="00E201F3"/>
    <w:rsid w:val="00E20442"/>
    <w:rsid w:val="00E20572"/>
    <w:rsid w:val="00E205E8"/>
    <w:rsid w:val="00E20608"/>
    <w:rsid w:val="00E2062C"/>
    <w:rsid w:val="00E20631"/>
    <w:rsid w:val="00E207B3"/>
    <w:rsid w:val="00E207D8"/>
    <w:rsid w:val="00E207F2"/>
    <w:rsid w:val="00E2098A"/>
    <w:rsid w:val="00E20993"/>
    <w:rsid w:val="00E2099C"/>
    <w:rsid w:val="00E20E90"/>
    <w:rsid w:val="00E20F1E"/>
    <w:rsid w:val="00E20F85"/>
    <w:rsid w:val="00E2100B"/>
    <w:rsid w:val="00E21019"/>
    <w:rsid w:val="00E21025"/>
    <w:rsid w:val="00E21043"/>
    <w:rsid w:val="00E2104B"/>
    <w:rsid w:val="00E210D2"/>
    <w:rsid w:val="00E2112A"/>
    <w:rsid w:val="00E2116F"/>
    <w:rsid w:val="00E21186"/>
    <w:rsid w:val="00E211A2"/>
    <w:rsid w:val="00E211E1"/>
    <w:rsid w:val="00E2120E"/>
    <w:rsid w:val="00E21308"/>
    <w:rsid w:val="00E21314"/>
    <w:rsid w:val="00E2134D"/>
    <w:rsid w:val="00E213E8"/>
    <w:rsid w:val="00E2143A"/>
    <w:rsid w:val="00E21447"/>
    <w:rsid w:val="00E214F6"/>
    <w:rsid w:val="00E215D0"/>
    <w:rsid w:val="00E2160B"/>
    <w:rsid w:val="00E216BF"/>
    <w:rsid w:val="00E2172F"/>
    <w:rsid w:val="00E217F6"/>
    <w:rsid w:val="00E21888"/>
    <w:rsid w:val="00E218B6"/>
    <w:rsid w:val="00E219A8"/>
    <w:rsid w:val="00E219CF"/>
    <w:rsid w:val="00E219DB"/>
    <w:rsid w:val="00E21A21"/>
    <w:rsid w:val="00E21B46"/>
    <w:rsid w:val="00E21B86"/>
    <w:rsid w:val="00E21B8C"/>
    <w:rsid w:val="00E21C31"/>
    <w:rsid w:val="00E21C58"/>
    <w:rsid w:val="00E21C5C"/>
    <w:rsid w:val="00E21CD2"/>
    <w:rsid w:val="00E21D55"/>
    <w:rsid w:val="00E21E21"/>
    <w:rsid w:val="00E21EFD"/>
    <w:rsid w:val="00E21F47"/>
    <w:rsid w:val="00E21F88"/>
    <w:rsid w:val="00E2200A"/>
    <w:rsid w:val="00E22053"/>
    <w:rsid w:val="00E22071"/>
    <w:rsid w:val="00E2214B"/>
    <w:rsid w:val="00E222BC"/>
    <w:rsid w:val="00E223FF"/>
    <w:rsid w:val="00E22485"/>
    <w:rsid w:val="00E2250F"/>
    <w:rsid w:val="00E2256D"/>
    <w:rsid w:val="00E225D6"/>
    <w:rsid w:val="00E225E4"/>
    <w:rsid w:val="00E2263A"/>
    <w:rsid w:val="00E2271B"/>
    <w:rsid w:val="00E2271C"/>
    <w:rsid w:val="00E22880"/>
    <w:rsid w:val="00E22B80"/>
    <w:rsid w:val="00E22BC4"/>
    <w:rsid w:val="00E22C16"/>
    <w:rsid w:val="00E22CC3"/>
    <w:rsid w:val="00E22CFC"/>
    <w:rsid w:val="00E22D27"/>
    <w:rsid w:val="00E22D51"/>
    <w:rsid w:val="00E22E09"/>
    <w:rsid w:val="00E22E9F"/>
    <w:rsid w:val="00E23004"/>
    <w:rsid w:val="00E2307B"/>
    <w:rsid w:val="00E230D3"/>
    <w:rsid w:val="00E2312E"/>
    <w:rsid w:val="00E23151"/>
    <w:rsid w:val="00E232C7"/>
    <w:rsid w:val="00E23362"/>
    <w:rsid w:val="00E233AF"/>
    <w:rsid w:val="00E233C7"/>
    <w:rsid w:val="00E23440"/>
    <w:rsid w:val="00E2345B"/>
    <w:rsid w:val="00E234F8"/>
    <w:rsid w:val="00E236B0"/>
    <w:rsid w:val="00E236EE"/>
    <w:rsid w:val="00E236F8"/>
    <w:rsid w:val="00E23733"/>
    <w:rsid w:val="00E237BC"/>
    <w:rsid w:val="00E2384F"/>
    <w:rsid w:val="00E238D4"/>
    <w:rsid w:val="00E238EF"/>
    <w:rsid w:val="00E239E8"/>
    <w:rsid w:val="00E23AA8"/>
    <w:rsid w:val="00E23AC8"/>
    <w:rsid w:val="00E23ADB"/>
    <w:rsid w:val="00E23C59"/>
    <w:rsid w:val="00E23CF8"/>
    <w:rsid w:val="00E23DCE"/>
    <w:rsid w:val="00E23DFF"/>
    <w:rsid w:val="00E23E25"/>
    <w:rsid w:val="00E23E31"/>
    <w:rsid w:val="00E23EB6"/>
    <w:rsid w:val="00E23EC7"/>
    <w:rsid w:val="00E23F73"/>
    <w:rsid w:val="00E23FAB"/>
    <w:rsid w:val="00E24042"/>
    <w:rsid w:val="00E2404B"/>
    <w:rsid w:val="00E2411B"/>
    <w:rsid w:val="00E24147"/>
    <w:rsid w:val="00E24173"/>
    <w:rsid w:val="00E2426A"/>
    <w:rsid w:val="00E24297"/>
    <w:rsid w:val="00E242AB"/>
    <w:rsid w:val="00E24351"/>
    <w:rsid w:val="00E2435B"/>
    <w:rsid w:val="00E2439F"/>
    <w:rsid w:val="00E24599"/>
    <w:rsid w:val="00E245AF"/>
    <w:rsid w:val="00E245B8"/>
    <w:rsid w:val="00E24638"/>
    <w:rsid w:val="00E246BB"/>
    <w:rsid w:val="00E24804"/>
    <w:rsid w:val="00E248F4"/>
    <w:rsid w:val="00E249C0"/>
    <w:rsid w:val="00E249CA"/>
    <w:rsid w:val="00E24B47"/>
    <w:rsid w:val="00E24B5A"/>
    <w:rsid w:val="00E24C08"/>
    <w:rsid w:val="00E24C4E"/>
    <w:rsid w:val="00E24C65"/>
    <w:rsid w:val="00E24D4C"/>
    <w:rsid w:val="00E24DC5"/>
    <w:rsid w:val="00E24DC8"/>
    <w:rsid w:val="00E24E17"/>
    <w:rsid w:val="00E24EAB"/>
    <w:rsid w:val="00E24EC6"/>
    <w:rsid w:val="00E24FAC"/>
    <w:rsid w:val="00E2500A"/>
    <w:rsid w:val="00E250FB"/>
    <w:rsid w:val="00E251F5"/>
    <w:rsid w:val="00E2522E"/>
    <w:rsid w:val="00E25267"/>
    <w:rsid w:val="00E252A4"/>
    <w:rsid w:val="00E25302"/>
    <w:rsid w:val="00E25325"/>
    <w:rsid w:val="00E25348"/>
    <w:rsid w:val="00E25358"/>
    <w:rsid w:val="00E253CE"/>
    <w:rsid w:val="00E253E4"/>
    <w:rsid w:val="00E25404"/>
    <w:rsid w:val="00E2544D"/>
    <w:rsid w:val="00E2548C"/>
    <w:rsid w:val="00E254F7"/>
    <w:rsid w:val="00E25747"/>
    <w:rsid w:val="00E2581A"/>
    <w:rsid w:val="00E25821"/>
    <w:rsid w:val="00E2586E"/>
    <w:rsid w:val="00E2594B"/>
    <w:rsid w:val="00E25987"/>
    <w:rsid w:val="00E25999"/>
    <w:rsid w:val="00E259F3"/>
    <w:rsid w:val="00E25A22"/>
    <w:rsid w:val="00E25AB1"/>
    <w:rsid w:val="00E25AC2"/>
    <w:rsid w:val="00E25B1E"/>
    <w:rsid w:val="00E25B45"/>
    <w:rsid w:val="00E25BE0"/>
    <w:rsid w:val="00E25C27"/>
    <w:rsid w:val="00E25C65"/>
    <w:rsid w:val="00E25DCA"/>
    <w:rsid w:val="00E25E09"/>
    <w:rsid w:val="00E25E18"/>
    <w:rsid w:val="00E25E35"/>
    <w:rsid w:val="00E25E95"/>
    <w:rsid w:val="00E25ED1"/>
    <w:rsid w:val="00E26010"/>
    <w:rsid w:val="00E260C1"/>
    <w:rsid w:val="00E260C8"/>
    <w:rsid w:val="00E260E5"/>
    <w:rsid w:val="00E26224"/>
    <w:rsid w:val="00E263CF"/>
    <w:rsid w:val="00E26411"/>
    <w:rsid w:val="00E26425"/>
    <w:rsid w:val="00E26537"/>
    <w:rsid w:val="00E2663B"/>
    <w:rsid w:val="00E2668B"/>
    <w:rsid w:val="00E2676C"/>
    <w:rsid w:val="00E26774"/>
    <w:rsid w:val="00E267E9"/>
    <w:rsid w:val="00E267FC"/>
    <w:rsid w:val="00E26841"/>
    <w:rsid w:val="00E26859"/>
    <w:rsid w:val="00E268A3"/>
    <w:rsid w:val="00E26943"/>
    <w:rsid w:val="00E269DF"/>
    <w:rsid w:val="00E26A1D"/>
    <w:rsid w:val="00E26C29"/>
    <w:rsid w:val="00E26C3A"/>
    <w:rsid w:val="00E26C54"/>
    <w:rsid w:val="00E26C89"/>
    <w:rsid w:val="00E26CD8"/>
    <w:rsid w:val="00E26D08"/>
    <w:rsid w:val="00E26D12"/>
    <w:rsid w:val="00E26D88"/>
    <w:rsid w:val="00E26FB3"/>
    <w:rsid w:val="00E27110"/>
    <w:rsid w:val="00E27111"/>
    <w:rsid w:val="00E27190"/>
    <w:rsid w:val="00E271A7"/>
    <w:rsid w:val="00E27274"/>
    <w:rsid w:val="00E27324"/>
    <w:rsid w:val="00E273DA"/>
    <w:rsid w:val="00E273FC"/>
    <w:rsid w:val="00E27429"/>
    <w:rsid w:val="00E274CF"/>
    <w:rsid w:val="00E274E8"/>
    <w:rsid w:val="00E27548"/>
    <w:rsid w:val="00E275BA"/>
    <w:rsid w:val="00E2762C"/>
    <w:rsid w:val="00E276FE"/>
    <w:rsid w:val="00E27769"/>
    <w:rsid w:val="00E27821"/>
    <w:rsid w:val="00E27842"/>
    <w:rsid w:val="00E27990"/>
    <w:rsid w:val="00E27AA9"/>
    <w:rsid w:val="00E27B0E"/>
    <w:rsid w:val="00E27C73"/>
    <w:rsid w:val="00E27D03"/>
    <w:rsid w:val="00E27D54"/>
    <w:rsid w:val="00E27D68"/>
    <w:rsid w:val="00E27DD5"/>
    <w:rsid w:val="00E27E80"/>
    <w:rsid w:val="00E27EAA"/>
    <w:rsid w:val="00E27EC5"/>
    <w:rsid w:val="00E27F39"/>
    <w:rsid w:val="00E27FBF"/>
    <w:rsid w:val="00E30018"/>
    <w:rsid w:val="00E30045"/>
    <w:rsid w:val="00E3004F"/>
    <w:rsid w:val="00E30144"/>
    <w:rsid w:val="00E30297"/>
    <w:rsid w:val="00E3031B"/>
    <w:rsid w:val="00E303A3"/>
    <w:rsid w:val="00E303BA"/>
    <w:rsid w:val="00E30434"/>
    <w:rsid w:val="00E3045A"/>
    <w:rsid w:val="00E3047F"/>
    <w:rsid w:val="00E305C0"/>
    <w:rsid w:val="00E30768"/>
    <w:rsid w:val="00E3083A"/>
    <w:rsid w:val="00E309CF"/>
    <w:rsid w:val="00E30A53"/>
    <w:rsid w:val="00E30B77"/>
    <w:rsid w:val="00E30C88"/>
    <w:rsid w:val="00E30C9C"/>
    <w:rsid w:val="00E30CB6"/>
    <w:rsid w:val="00E30CED"/>
    <w:rsid w:val="00E30D7C"/>
    <w:rsid w:val="00E30E2B"/>
    <w:rsid w:val="00E30F68"/>
    <w:rsid w:val="00E30FB6"/>
    <w:rsid w:val="00E3100E"/>
    <w:rsid w:val="00E310BC"/>
    <w:rsid w:val="00E310CA"/>
    <w:rsid w:val="00E3120F"/>
    <w:rsid w:val="00E312D7"/>
    <w:rsid w:val="00E31343"/>
    <w:rsid w:val="00E313DB"/>
    <w:rsid w:val="00E3141C"/>
    <w:rsid w:val="00E3147F"/>
    <w:rsid w:val="00E31508"/>
    <w:rsid w:val="00E3151E"/>
    <w:rsid w:val="00E31538"/>
    <w:rsid w:val="00E3153F"/>
    <w:rsid w:val="00E31568"/>
    <w:rsid w:val="00E315BD"/>
    <w:rsid w:val="00E3178E"/>
    <w:rsid w:val="00E317A7"/>
    <w:rsid w:val="00E31833"/>
    <w:rsid w:val="00E31853"/>
    <w:rsid w:val="00E31893"/>
    <w:rsid w:val="00E318E8"/>
    <w:rsid w:val="00E3195F"/>
    <w:rsid w:val="00E31A72"/>
    <w:rsid w:val="00E31AF1"/>
    <w:rsid w:val="00E31C0C"/>
    <w:rsid w:val="00E31C5B"/>
    <w:rsid w:val="00E31C67"/>
    <w:rsid w:val="00E31C8B"/>
    <w:rsid w:val="00E31CDF"/>
    <w:rsid w:val="00E31CF5"/>
    <w:rsid w:val="00E31DCC"/>
    <w:rsid w:val="00E31F42"/>
    <w:rsid w:val="00E31FA7"/>
    <w:rsid w:val="00E31FAE"/>
    <w:rsid w:val="00E31FF1"/>
    <w:rsid w:val="00E320D0"/>
    <w:rsid w:val="00E320F4"/>
    <w:rsid w:val="00E321CD"/>
    <w:rsid w:val="00E32213"/>
    <w:rsid w:val="00E322AD"/>
    <w:rsid w:val="00E32305"/>
    <w:rsid w:val="00E32485"/>
    <w:rsid w:val="00E324A6"/>
    <w:rsid w:val="00E324A8"/>
    <w:rsid w:val="00E32565"/>
    <w:rsid w:val="00E3256D"/>
    <w:rsid w:val="00E3268D"/>
    <w:rsid w:val="00E327BD"/>
    <w:rsid w:val="00E327EC"/>
    <w:rsid w:val="00E327F9"/>
    <w:rsid w:val="00E328C5"/>
    <w:rsid w:val="00E328F6"/>
    <w:rsid w:val="00E328FB"/>
    <w:rsid w:val="00E329B8"/>
    <w:rsid w:val="00E329D0"/>
    <w:rsid w:val="00E32A6A"/>
    <w:rsid w:val="00E32A6B"/>
    <w:rsid w:val="00E32B18"/>
    <w:rsid w:val="00E32B54"/>
    <w:rsid w:val="00E32BB8"/>
    <w:rsid w:val="00E32BCD"/>
    <w:rsid w:val="00E32C29"/>
    <w:rsid w:val="00E32C52"/>
    <w:rsid w:val="00E32D6A"/>
    <w:rsid w:val="00E32D83"/>
    <w:rsid w:val="00E32E61"/>
    <w:rsid w:val="00E32F0E"/>
    <w:rsid w:val="00E32F81"/>
    <w:rsid w:val="00E32F8B"/>
    <w:rsid w:val="00E32FB1"/>
    <w:rsid w:val="00E32FEB"/>
    <w:rsid w:val="00E330B2"/>
    <w:rsid w:val="00E33198"/>
    <w:rsid w:val="00E331C5"/>
    <w:rsid w:val="00E33202"/>
    <w:rsid w:val="00E33298"/>
    <w:rsid w:val="00E33306"/>
    <w:rsid w:val="00E33371"/>
    <w:rsid w:val="00E333BF"/>
    <w:rsid w:val="00E333CA"/>
    <w:rsid w:val="00E33415"/>
    <w:rsid w:val="00E33445"/>
    <w:rsid w:val="00E334FA"/>
    <w:rsid w:val="00E335BB"/>
    <w:rsid w:val="00E3361A"/>
    <w:rsid w:val="00E33667"/>
    <w:rsid w:val="00E3366B"/>
    <w:rsid w:val="00E336C4"/>
    <w:rsid w:val="00E3375E"/>
    <w:rsid w:val="00E33766"/>
    <w:rsid w:val="00E337BE"/>
    <w:rsid w:val="00E337C3"/>
    <w:rsid w:val="00E3387D"/>
    <w:rsid w:val="00E33890"/>
    <w:rsid w:val="00E3389B"/>
    <w:rsid w:val="00E33976"/>
    <w:rsid w:val="00E33A7E"/>
    <w:rsid w:val="00E33A96"/>
    <w:rsid w:val="00E33ABE"/>
    <w:rsid w:val="00E33B4C"/>
    <w:rsid w:val="00E33CAB"/>
    <w:rsid w:val="00E33CEC"/>
    <w:rsid w:val="00E33D47"/>
    <w:rsid w:val="00E33D49"/>
    <w:rsid w:val="00E33DF9"/>
    <w:rsid w:val="00E33E1E"/>
    <w:rsid w:val="00E33E33"/>
    <w:rsid w:val="00E33ED1"/>
    <w:rsid w:val="00E33EE8"/>
    <w:rsid w:val="00E342DC"/>
    <w:rsid w:val="00E342E8"/>
    <w:rsid w:val="00E342F6"/>
    <w:rsid w:val="00E34348"/>
    <w:rsid w:val="00E343A7"/>
    <w:rsid w:val="00E343F7"/>
    <w:rsid w:val="00E34476"/>
    <w:rsid w:val="00E3453B"/>
    <w:rsid w:val="00E34555"/>
    <w:rsid w:val="00E345EF"/>
    <w:rsid w:val="00E3461B"/>
    <w:rsid w:val="00E34636"/>
    <w:rsid w:val="00E346AB"/>
    <w:rsid w:val="00E34746"/>
    <w:rsid w:val="00E34767"/>
    <w:rsid w:val="00E347F4"/>
    <w:rsid w:val="00E34843"/>
    <w:rsid w:val="00E349A7"/>
    <w:rsid w:val="00E349B4"/>
    <w:rsid w:val="00E34B3F"/>
    <w:rsid w:val="00E34BF5"/>
    <w:rsid w:val="00E34C3F"/>
    <w:rsid w:val="00E34D30"/>
    <w:rsid w:val="00E34D9D"/>
    <w:rsid w:val="00E34DAB"/>
    <w:rsid w:val="00E34F0F"/>
    <w:rsid w:val="00E34F30"/>
    <w:rsid w:val="00E34F38"/>
    <w:rsid w:val="00E34F9A"/>
    <w:rsid w:val="00E34FB8"/>
    <w:rsid w:val="00E3507D"/>
    <w:rsid w:val="00E350C1"/>
    <w:rsid w:val="00E352CF"/>
    <w:rsid w:val="00E352F0"/>
    <w:rsid w:val="00E353CC"/>
    <w:rsid w:val="00E35405"/>
    <w:rsid w:val="00E35463"/>
    <w:rsid w:val="00E3565A"/>
    <w:rsid w:val="00E3565D"/>
    <w:rsid w:val="00E35694"/>
    <w:rsid w:val="00E3573E"/>
    <w:rsid w:val="00E3582D"/>
    <w:rsid w:val="00E35863"/>
    <w:rsid w:val="00E35889"/>
    <w:rsid w:val="00E358AF"/>
    <w:rsid w:val="00E358B6"/>
    <w:rsid w:val="00E358BB"/>
    <w:rsid w:val="00E35914"/>
    <w:rsid w:val="00E35A34"/>
    <w:rsid w:val="00E35ADA"/>
    <w:rsid w:val="00E35B9A"/>
    <w:rsid w:val="00E35BE5"/>
    <w:rsid w:val="00E35D00"/>
    <w:rsid w:val="00E35D89"/>
    <w:rsid w:val="00E35E92"/>
    <w:rsid w:val="00E35EE4"/>
    <w:rsid w:val="00E35F0C"/>
    <w:rsid w:val="00E35FBC"/>
    <w:rsid w:val="00E35FF2"/>
    <w:rsid w:val="00E3602C"/>
    <w:rsid w:val="00E360A0"/>
    <w:rsid w:val="00E360B7"/>
    <w:rsid w:val="00E360D7"/>
    <w:rsid w:val="00E36286"/>
    <w:rsid w:val="00E36293"/>
    <w:rsid w:val="00E362B9"/>
    <w:rsid w:val="00E362F9"/>
    <w:rsid w:val="00E36450"/>
    <w:rsid w:val="00E3645A"/>
    <w:rsid w:val="00E364EF"/>
    <w:rsid w:val="00E365ED"/>
    <w:rsid w:val="00E3692F"/>
    <w:rsid w:val="00E36A9C"/>
    <w:rsid w:val="00E36C64"/>
    <w:rsid w:val="00E36C66"/>
    <w:rsid w:val="00E36D02"/>
    <w:rsid w:val="00E36D03"/>
    <w:rsid w:val="00E36D19"/>
    <w:rsid w:val="00E36DC9"/>
    <w:rsid w:val="00E36DD4"/>
    <w:rsid w:val="00E36ED4"/>
    <w:rsid w:val="00E36F64"/>
    <w:rsid w:val="00E3705C"/>
    <w:rsid w:val="00E3705F"/>
    <w:rsid w:val="00E3707A"/>
    <w:rsid w:val="00E370B1"/>
    <w:rsid w:val="00E370EA"/>
    <w:rsid w:val="00E3714D"/>
    <w:rsid w:val="00E371B3"/>
    <w:rsid w:val="00E371C9"/>
    <w:rsid w:val="00E371D8"/>
    <w:rsid w:val="00E371EB"/>
    <w:rsid w:val="00E3731C"/>
    <w:rsid w:val="00E3749B"/>
    <w:rsid w:val="00E37513"/>
    <w:rsid w:val="00E37577"/>
    <w:rsid w:val="00E37609"/>
    <w:rsid w:val="00E3778B"/>
    <w:rsid w:val="00E3782D"/>
    <w:rsid w:val="00E37848"/>
    <w:rsid w:val="00E379EA"/>
    <w:rsid w:val="00E37A2D"/>
    <w:rsid w:val="00E37A6F"/>
    <w:rsid w:val="00E37AF3"/>
    <w:rsid w:val="00E37B3A"/>
    <w:rsid w:val="00E37B40"/>
    <w:rsid w:val="00E37BCB"/>
    <w:rsid w:val="00E37BF4"/>
    <w:rsid w:val="00E37C68"/>
    <w:rsid w:val="00E37CAC"/>
    <w:rsid w:val="00E37CD9"/>
    <w:rsid w:val="00E37D01"/>
    <w:rsid w:val="00E37D0D"/>
    <w:rsid w:val="00E37D68"/>
    <w:rsid w:val="00E37D86"/>
    <w:rsid w:val="00E37D99"/>
    <w:rsid w:val="00E37DA9"/>
    <w:rsid w:val="00E37DD3"/>
    <w:rsid w:val="00E37F78"/>
    <w:rsid w:val="00E37FBE"/>
    <w:rsid w:val="00E40095"/>
    <w:rsid w:val="00E401B7"/>
    <w:rsid w:val="00E40208"/>
    <w:rsid w:val="00E40319"/>
    <w:rsid w:val="00E40330"/>
    <w:rsid w:val="00E40487"/>
    <w:rsid w:val="00E4057A"/>
    <w:rsid w:val="00E405C1"/>
    <w:rsid w:val="00E40671"/>
    <w:rsid w:val="00E406E1"/>
    <w:rsid w:val="00E40732"/>
    <w:rsid w:val="00E4077E"/>
    <w:rsid w:val="00E40869"/>
    <w:rsid w:val="00E408A9"/>
    <w:rsid w:val="00E408F4"/>
    <w:rsid w:val="00E40A5A"/>
    <w:rsid w:val="00E40B8F"/>
    <w:rsid w:val="00E40BAF"/>
    <w:rsid w:val="00E40C11"/>
    <w:rsid w:val="00E40CA4"/>
    <w:rsid w:val="00E40E11"/>
    <w:rsid w:val="00E40E5F"/>
    <w:rsid w:val="00E40EDB"/>
    <w:rsid w:val="00E40F4C"/>
    <w:rsid w:val="00E40F63"/>
    <w:rsid w:val="00E41044"/>
    <w:rsid w:val="00E4106C"/>
    <w:rsid w:val="00E4112B"/>
    <w:rsid w:val="00E412ED"/>
    <w:rsid w:val="00E41445"/>
    <w:rsid w:val="00E414B8"/>
    <w:rsid w:val="00E414F2"/>
    <w:rsid w:val="00E4153A"/>
    <w:rsid w:val="00E41556"/>
    <w:rsid w:val="00E41739"/>
    <w:rsid w:val="00E4173C"/>
    <w:rsid w:val="00E417A2"/>
    <w:rsid w:val="00E41855"/>
    <w:rsid w:val="00E41934"/>
    <w:rsid w:val="00E41975"/>
    <w:rsid w:val="00E419C9"/>
    <w:rsid w:val="00E419FA"/>
    <w:rsid w:val="00E41A5E"/>
    <w:rsid w:val="00E41A5F"/>
    <w:rsid w:val="00E41AF2"/>
    <w:rsid w:val="00E41B1E"/>
    <w:rsid w:val="00E41B23"/>
    <w:rsid w:val="00E41B30"/>
    <w:rsid w:val="00E41DCB"/>
    <w:rsid w:val="00E41DF9"/>
    <w:rsid w:val="00E41E6B"/>
    <w:rsid w:val="00E41F7C"/>
    <w:rsid w:val="00E41FAA"/>
    <w:rsid w:val="00E41FBA"/>
    <w:rsid w:val="00E4205C"/>
    <w:rsid w:val="00E420B5"/>
    <w:rsid w:val="00E42112"/>
    <w:rsid w:val="00E4235D"/>
    <w:rsid w:val="00E4243E"/>
    <w:rsid w:val="00E42514"/>
    <w:rsid w:val="00E4254B"/>
    <w:rsid w:val="00E425BD"/>
    <w:rsid w:val="00E425CE"/>
    <w:rsid w:val="00E425E1"/>
    <w:rsid w:val="00E42640"/>
    <w:rsid w:val="00E427C7"/>
    <w:rsid w:val="00E4280B"/>
    <w:rsid w:val="00E42854"/>
    <w:rsid w:val="00E42882"/>
    <w:rsid w:val="00E428C6"/>
    <w:rsid w:val="00E42930"/>
    <w:rsid w:val="00E429EE"/>
    <w:rsid w:val="00E429F3"/>
    <w:rsid w:val="00E42A85"/>
    <w:rsid w:val="00E42AAC"/>
    <w:rsid w:val="00E42B08"/>
    <w:rsid w:val="00E42BC3"/>
    <w:rsid w:val="00E42BD0"/>
    <w:rsid w:val="00E42C52"/>
    <w:rsid w:val="00E42D52"/>
    <w:rsid w:val="00E42FC4"/>
    <w:rsid w:val="00E43025"/>
    <w:rsid w:val="00E43091"/>
    <w:rsid w:val="00E430A1"/>
    <w:rsid w:val="00E430E4"/>
    <w:rsid w:val="00E43122"/>
    <w:rsid w:val="00E43160"/>
    <w:rsid w:val="00E43192"/>
    <w:rsid w:val="00E4323E"/>
    <w:rsid w:val="00E43294"/>
    <w:rsid w:val="00E43297"/>
    <w:rsid w:val="00E432FE"/>
    <w:rsid w:val="00E43374"/>
    <w:rsid w:val="00E433A0"/>
    <w:rsid w:val="00E433D7"/>
    <w:rsid w:val="00E4343C"/>
    <w:rsid w:val="00E434BB"/>
    <w:rsid w:val="00E4350A"/>
    <w:rsid w:val="00E4350B"/>
    <w:rsid w:val="00E4353E"/>
    <w:rsid w:val="00E4355B"/>
    <w:rsid w:val="00E436EF"/>
    <w:rsid w:val="00E43705"/>
    <w:rsid w:val="00E4375C"/>
    <w:rsid w:val="00E43782"/>
    <w:rsid w:val="00E438B7"/>
    <w:rsid w:val="00E4397F"/>
    <w:rsid w:val="00E43A72"/>
    <w:rsid w:val="00E43C2B"/>
    <w:rsid w:val="00E43CA0"/>
    <w:rsid w:val="00E43D85"/>
    <w:rsid w:val="00E43E52"/>
    <w:rsid w:val="00E43F56"/>
    <w:rsid w:val="00E440AA"/>
    <w:rsid w:val="00E440F7"/>
    <w:rsid w:val="00E44105"/>
    <w:rsid w:val="00E4412B"/>
    <w:rsid w:val="00E443DC"/>
    <w:rsid w:val="00E4446D"/>
    <w:rsid w:val="00E44527"/>
    <w:rsid w:val="00E4458F"/>
    <w:rsid w:val="00E445CF"/>
    <w:rsid w:val="00E44684"/>
    <w:rsid w:val="00E446D9"/>
    <w:rsid w:val="00E44841"/>
    <w:rsid w:val="00E44865"/>
    <w:rsid w:val="00E44925"/>
    <w:rsid w:val="00E44945"/>
    <w:rsid w:val="00E44946"/>
    <w:rsid w:val="00E44A3B"/>
    <w:rsid w:val="00E44AB2"/>
    <w:rsid w:val="00E44B70"/>
    <w:rsid w:val="00E44C5F"/>
    <w:rsid w:val="00E44D67"/>
    <w:rsid w:val="00E44F12"/>
    <w:rsid w:val="00E44F7A"/>
    <w:rsid w:val="00E44FEE"/>
    <w:rsid w:val="00E44FF1"/>
    <w:rsid w:val="00E4502B"/>
    <w:rsid w:val="00E4503A"/>
    <w:rsid w:val="00E45042"/>
    <w:rsid w:val="00E45078"/>
    <w:rsid w:val="00E450DC"/>
    <w:rsid w:val="00E45116"/>
    <w:rsid w:val="00E45164"/>
    <w:rsid w:val="00E45167"/>
    <w:rsid w:val="00E451C4"/>
    <w:rsid w:val="00E45302"/>
    <w:rsid w:val="00E45317"/>
    <w:rsid w:val="00E4537F"/>
    <w:rsid w:val="00E45462"/>
    <w:rsid w:val="00E454C2"/>
    <w:rsid w:val="00E456D4"/>
    <w:rsid w:val="00E456F4"/>
    <w:rsid w:val="00E45780"/>
    <w:rsid w:val="00E457B7"/>
    <w:rsid w:val="00E457BA"/>
    <w:rsid w:val="00E45976"/>
    <w:rsid w:val="00E45B90"/>
    <w:rsid w:val="00E45C27"/>
    <w:rsid w:val="00E45C44"/>
    <w:rsid w:val="00E45CED"/>
    <w:rsid w:val="00E45D79"/>
    <w:rsid w:val="00E45E11"/>
    <w:rsid w:val="00E45E6B"/>
    <w:rsid w:val="00E45E76"/>
    <w:rsid w:val="00E45EE2"/>
    <w:rsid w:val="00E45F82"/>
    <w:rsid w:val="00E45F91"/>
    <w:rsid w:val="00E4602F"/>
    <w:rsid w:val="00E46070"/>
    <w:rsid w:val="00E460A6"/>
    <w:rsid w:val="00E460AD"/>
    <w:rsid w:val="00E460EF"/>
    <w:rsid w:val="00E460F5"/>
    <w:rsid w:val="00E46106"/>
    <w:rsid w:val="00E46163"/>
    <w:rsid w:val="00E46191"/>
    <w:rsid w:val="00E461B9"/>
    <w:rsid w:val="00E46296"/>
    <w:rsid w:val="00E4636E"/>
    <w:rsid w:val="00E463F5"/>
    <w:rsid w:val="00E46485"/>
    <w:rsid w:val="00E46586"/>
    <w:rsid w:val="00E4666D"/>
    <w:rsid w:val="00E466B8"/>
    <w:rsid w:val="00E466C3"/>
    <w:rsid w:val="00E4678B"/>
    <w:rsid w:val="00E4678C"/>
    <w:rsid w:val="00E4682D"/>
    <w:rsid w:val="00E4682E"/>
    <w:rsid w:val="00E468BB"/>
    <w:rsid w:val="00E46961"/>
    <w:rsid w:val="00E4697A"/>
    <w:rsid w:val="00E46984"/>
    <w:rsid w:val="00E46997"/>
    <w:rsid w:val="00E469AC"/>
    <w:rsid w:val="00E46ADA"/>
    <w:rsid w:val="00E46B26"/>
    <w:rsid w:val="00E46B2D"/>
    <w:rsid w:val="00E46B8C"/>
    <w:rsid w:val="00E46CB7"/>
    <w:rsid w:val="00E46D3F"/>
    <w:rsid w:val="00E46DD8"/>
    <w:rsid w:val="00E46DDF"/>
    <w:rsid w:val="00E46E07"/>
    <w:rsid w:val="00E46F5C"/>
    <w:rsid w:val="00E47004"/>
    <w:rsid w:val="00E47061"/>
    <w:rsid w:val="00E4708F"/>
    <w:rsid w:val="00E47161"/>
    <w:rsid w:val="00E47261"/>
    <w:rsid w:val="00E472A3"/>
    <w:rsid w:val="00E475AB"/>
    <w:rsid w:val="00E476B7"/>
    <w:rsid w:val="00E476C8"/>
    <w:rsid w:val="00E47795"/>
    <w:rsid w:val="00E477EB"/>
    <w:rsid w:val="00E4781A"/>
    <w:rsid w:val="00E47829"/>
    <w:rsid w:val="00E4782C"/>
    <w:rsid w:val="00E47865"/>
    <w:rsid w:val="00E47872"/>
    <w:rsid w:val="00E478CE"/>
    <w:rsid w:val="00E478DD"/>
    <w:rsid w:val="00E47A19"/>
    <w:rsid w:val="00E47A51"/>
    <w:rsid w:val="00E47A5F"/>
    <w:rsid w:val="00E47A74"/>
    <w:rsid w:val="00E47A8D"/>
    <w:rsid w:val="00E47B1A"/>
    <w:rsid w:val="00E47B48"/>
    <w:rsid w:val="00E47C27"/>
    <w:rsid w:val="00E47C5E"/>
    <w:rsid w:val="00E47C91"/>
    <w:rsid w:val="00E47DB8"/>
    <w:rsid w:val="00E47DBA"/>
    <w:rsid w:val="00E47DD4"/>
    <w:rsid w:val="00E47DDD"/>
    <w:rsid w:val="00E47E03"/>
    <w:rsid w:val="00E47E08"/>
    <w:rsid w:val="00E47E0D"/>
    <w:rsid w:val="00E47E50"/>
    <w:rsid w:val="00E47EA7"/>
    <w:rsid w:val="00E47EC2"/>
    <w:rsid w:val="00E47ECF"/>
    <w:rsid w:val="00E47EFC"/>
    <w:rsid w:val="00E47F9A"/>
    <w:rsid w:val="00E502B9"/>
    <w:rsid w:val="00E503CA"/>
    <w:rsid w:val="00E503E4"/>
    <w:rsid w:val="00E50430"/>
    <w:rsid w:val="00E5047F"/>
    <w:rsid w:val="00E504F5"/>
    <w:rsid w:val="00E5050A"/>
    <w:rsid w:val="00E50537"/>
    <w:rsid w:val="00E5054E"/>
    <w:rsid w:val="00E50565"/>
    <w:rsid w:val="00E505BF"/>
    <w:rsid w:val="00E505E4"/>
    <w:rsid w:val="00E505F3"/>
    <w:rsid w:val="00E50602"/>
    <w:rsid w:val="00E50716"/>
    <w:rsid w:val="00E50781"/>
    <w:rsid w:val="00E507F5"/>
    <w:rsid w:val="00E50804"/>
    <w:rsid w:val="00E5085E"/>
    <w:rsid w:val="00E50A03"/>
    <w:rsid w:val="00E50A8D"/>
    <w:rsid w:val="00E50B35"/>
    <w:rsid w:val="00E50B78"/>
    <w:rsid w:val="00E50BD0"/>
    <w:rsid w:val="00E50BE3"/>
    <w:rsid w:val="00E50BF6"/>
    <w:rsid w:val="00E50C54"/>
    <w:rsid w:val="00E50C6C"/>
    <w:rsid w:val="00E50D04"/>
    <w:rsid w:val="00E50E7C"/>
    <w:rsid w:val="00E50EF3"/>
    <w:rsid w:val="00E50FF2"/>
    <w:rsid w:val="00E510AA"/>
    <w:rsid w:val="00E510B9"/>
    <w:rsid w:val="00E510E4"/>
    <w:rsid w:val="00E510F2"/>
    <w:rsid w:val="00E5123C"/>
    <w:rsid w:val="00E51518"/>
    <w:rsid w:val="00E51545"/>
    <w:rsid w:val="00E51637"/>
    <w:rsid w:val="00E5171E"/>
    <w:rsid w:val="00E5171F"/>
    <w:rsid w:val="00E51722"/>
    <w:rsid w:val="00E517AF"/>
    <w:rsid w:val="00E518D9"/>
    <w:rsid w:val="00E518E4"/>
    <w:rsid w:val="00E51907"/>
    <w:rsid w:val="00E5191A"/>
    <w:rsid w:val="00E51925"/>
    <w:rsid w:val="00E5195D"/>
    <w:rsid w:val="00E5198D"/>
    <w:rsid w:val="00E51A50"/>
    <w:rsid w:val="00E51B02"/>
    <w:rsid w:val="00E51BA0"/>
    <w:rsid w:val="00E51C31"/>
    <w:rsid w:val="00E51CA9"/>
    <w:rsid w:val="00E51CD1"/>
    <w:rsid w:val="00E51D84"/>
    <w:rsid w:val="00E51D9E"/>
    <w:rsid w:val="00E51DB4"/>
    <w:rsid w:val="00E51E85"/>
    <w:rsid w:val="00E51EE9"/>
    <w:rsid w:val="00E51F7C"/>
    <w:rsid w:val="00E51FD3"/>
    <w:rsid w:val="00E52043"/>
    <w:rsid w:val="00E5209A"/>
    <w:rsid w:val="00E52113"/>
    <w:rsid w:val="00E52148"/>
    <w:rsid w:val="00E521A2"/>
    <w:rsid w:val="00E521C3"/>
    <w:rsid w:val="00E5221C"/>
    <w:rsid w:val="00E52447"/>
    <w:rsid w:val="00E52551"/>
    <w:rsid w:val="00E52582"/>
    <w:rsid w:val="00E525FE"/>
    <w:rsid w:val="00E5276B"/>
    <w:rsid w:val="00E527A7"/>
    <w:rsid w:val="00E527BD"/>
    <w:rsid w:val="00E527C7"/>
    <w:rsid w:val="00E52821"/>
    <w:rsid w:val="00E5283E"/>
    <w:rsid w:val="00E52AAF"/>
    <w:rsid w:val="00E52B13"/>
    <w:rsid w:val="00E52BAB"/>
    <w:rsid w:val="00E52C99"/>
    <w:rsid w:val="00E52D03"/>
    <w:rsid w:val="00E52E2A"/>
    <w:rsid w:val="00E52EA1"/>
    <w:rsid w:val="00E52EE6"/>
    <w:rsid w:val="00E52F26"/>
    <w:rsid w:val="00E52F91"/>
    <w:rsid w:val="00E530A5"/>
    <w:rsid w:val="00E53237"/>
    <w:rsid w:val="00E53278"/>
    <w:rsid w:val="00E53284"/>
    <w:rsid w:val="00E532CA"/>
    <w:rsid w:val="00E532D9"/>
    <w:rsid w:val="00E53342"/>
    <w:rsid w:val="00E53361"/>
    <w:rsid w:val="00E533B2"/>
    <w:rsid w:val="00E534CD"/>
    <w:rsid w:val="00E5351D"/>
    <w:rsid w:val="00E53581"/>
    <w:rsid w:val="00E535A1"/>
    <w:rsid w:val="00E535D7"/>
    <w:rsid w:val="00E5360C"/>
    <w:rsid w:val="00E53737"/>
    <w:rsid w:val="00E5373D"/>
    <w:rsid w:val="00E53754"/>
    <w:rsid w:val="00E537D1"/>
    <w:rsid w:val="00E5381C"/>
    <w:rsid w:val="00E5392A"/>
    <w:rsid w:val="00E5393A"/>
    <w:rsid w:val="00E539F9"/>
    <w:rsid w:val="00E53ABF"/>
    <w:rsid w:val="00E53BF4"/>
    <w:rsid w:val="00E53C41"/>
    <w:rsid w:val="00E53C69"/>
    <w:rsid w:val="00E53CD9"/>
    <w:rsid w:val="00E53D3D"/>
    <w:rsid w:val="00E53E62"/>
    <w:rsid w:val="00E53EC2"/>
    <w:rsid w:val="00E53F5E"/>
    <w:rsid w:val="00E53FF6"/>
    <w:rsid w:val="00E53FF9"/>
    <w:rsid w:val="00E53FFE"/>
    <w:rsid w:val="00E5401A"/>
    <w:rsid w:val="00E54022"/>
    <w:rsid w:val="00E540AC"/>
    <w:rsid w:val="00E540D7"/>
    <w:rsid w:val="00E540F0"/>
    <w:rsid w:val="00E54213"/>
    <w:rsid w:val="00E5423C"/>
    <w:rsid w:val="00E542C6"/>
    <w:rsid w:val="00E54353"/>
    <w:rsid w:val="00E54396"/>
    <w:rsid w:val="00E5439F"/>
    <w:rsid w:val="00E543D6"/>
    <w:rsid w:val="00E5442B"/>
    <w:rsid w:val="00E5448F"/>
    <w:rsid w:val="00E544BF"/>
    <w:rsid w:val="00E54533"/>
    <w:rsid w:val="00E54549"/>
    <w:rsid w:val="00E546BE"/>
    <w:rsid w:val="00E54809"/>
    <w:rsid w:val="00E54853"/>
    <w:rsid w:val="00E5485E"/>
    <w:rsid w:val="00E548A2"/>
    <w:rsid w:val="00E54974"/>
    <w:rsid w:val="00E549AF"/>
    <w:rsid w:val="00E54A5C"/>
    <w:rsid w:val="00E54C1A"/>
    <w:rsid w:val="00E54CCF"/>
    <w:rsid w:val="00E54DA9"/>
    <w:rsid w:val="00E54DF2"/>
    <w:rsid w:val="00E54E02"/>
    <w:rsid w:val="00E54E4E"/>
    <w:rsid w:val="00E54EC8"/>
    <w:rsid w:val="00E54F2D"/>
    <w:rsid w:val="00E54F86"/>
    <w:rsid w:val="00E55082"/>
    <w:rsid w:val="00E550A3"/>
    <w:rsid w:val="00E550D3"/>
    <w:rsid w:val="00E55141"/>
    <w:rsid w:val="00E5518A"/>
    <w:rsid w:val="00E55214"/>
    <w:rsid w:val="00E5524E"/>
    <w:rsid w:val="00E55299"/>
    <w:rsid w:val="00E552E9"/>
    <w:rsid w:val="00E552F6"/>
    <w:rsid w:val="00E55313"/>
    <w:rsid w:val="00E553B1"/>
    <w:rsid w:val="00E553EB"/>
    <w:rsid w:val="00E55406"/>
    <w:rsid w:val="00E55418"/>
    <w:rsid w:val="00E55464"/>
    <w:rsid w:val="00E554CD"/>
    <w:rsid w:val="00E55571"/>
    <w:rsid w:val="00E55650"/>
    <w:rsid w:val="00E55682"/>
    <w:rsid w:val="00E556B9"/>
    <w:rsid w:val="00E556EB"/>
    <w:rsid w:val="00E556F6"/>
    <w:rsid w:val="00E557A4"/>
    <w:rsid w:val="00E557E9"/>
    <w:rsid w:val="00E5580B"/>
    <w:rsid w:val="00E5584A"/>
    <w:rsid w:val="00E558CD"/>
    <w:rsid w:val="00E55904"/>
    <w:rsid w:val="00E55929"/>
    <w:rsid w:val="00E559F4"/>
    <w:rsid w:val="00E55A06"/>
    <w:rsid w:val="00E55B1B"/>
    <w:rsid w:val="00E55DDE"/>
    <w:rsid w:val="00E55E41"/>
    <w:rsid w:val="00E55E7A"/>
    <w:rsid w:val="00E55E97"/>
    <w:rsid w:val="00E55EAC"/>
    <w:rsid w:val="00E55F3E"/>
    <w:rsid w:val="00E55F7B"/>
    <w:rsid w:val="00E55F85"/>
    <w:rsid w:val="00E55FE5"/>
    <w:rsid w:val="00E56080"/>
    <w:rsid w:val="00E560CE"/>
    <w:rsid w:val="00E56148"/>
    <w:rsid w:val="00E561E6"/>
    <w:rsid w:val="00E562E5"/>
    <w:rsid w:val="00E56305"/>
    <w:rsid w:val="00E5640B"/>
    <w:rsid w:val="00E56488"/>
    <w:rsid w:val="00E565EF"/>
    <w:rsid w:val="00E567C0"/>
    <w:rsid w:val="00E567E6"/>
    <w:rsid w:val="00E567F4"/>
    <w:rsid w:val="00E56971"/>
    <w:rsid w:val="00E569F9"/>
    <w:rsid w:val="00E56A6F"/>
    <w:rsid w:val="00E56A8E"/>
    <w:rsid w:val="00E56ADE"/>
    <w:rsid w:val="00E56B19"/>
    <w:rsid w:val="00E56C1C"/>
    <w:rsid w:val="00E56C6C"/>
    <w:rsid w:val="00E56D08"/>
    <w:rsid w:val="00E56D50"/>
    <w:rsid w:val="00E56D76"/>
    <w:rsid w:val="00E56DA0"/>
    <w:rsid w:val="00E56E49"/>
    <w:rsid w:val="00E56E55"/>
    <w:rsid w:val="00E56F14"/>
    <w:rsid w:val="00E56FA4"/>
    <w:rsid w:val="00E5711A"/>
    <w:rsid w:val="00E5712A"/>
    <w:rsid w:val="00E57144"/>
    <w:rsid w:val="00E57145"/>
    <w:rsid w:val="00E571AB"/>
    <w:rsid w:val="00E57251"/>
    <w:rsid w:val="00E57269"/>
    <w:rsid w:val="00E572BA"/>
    <w:rsid w:val="00E57363"/>
    <w:rsid w:val="00E573BA"/>
    <w:rsid w:val="00E573EA"/>
    <w:rsid w:val="00E574A2"/>
    <w:rsid w:val="00E574CA"/>
    <w:rsid w:val="00E5755D"/>
    <w:rsid w:val="00E5757E"/>
    <w:rsid w:val="00E5758D"/>
    <w:rsid w:val="00E5763E"/>
    <w:rsid w:val="00E57640"/>
    <w:rsid w:val="00E576A2"/>
    <w:rsid w:val="00E577BB"/>
    <w:rsid w:val="00E57884"/>
    <w:rsid w:val="00E5788E"/>
    <w:rsid w:val="00E5796E"/>
    <w:rsid w:val="00E57C1D"/>
    <w:rsid w:val="00E57CCC"/>
    <w:rsid w:val="00E57D45"/>
    <w:rsid w:val="00E57E7C"/>
    <w:rsid w:val="00E57EAE"/>
    <w:rsid w:val="00E57F03"/>
    <w:rsid w:val="00E57F64"/>
    <w:rsid w:val="00E60046"/>
    <w:rsid w:val="00E600C5"/>
    <w:rsid w:val="00E60169"/>
    <w:rsid w:val="00E601DB"/>
    <w:rsid w:val="00E60290"/>
    <w:rsid w:val="00E6032E"/>
    <w:rsid w:val="00E60446"/>
    <w:rsid w:val="00E60447"/>
    <w:rsid w:val="00E60678"/>
    <w:rsid w:val="00E6068C"/>
    <w:rsid w:val="00E6074C"/>
    <w:rsid w:val="00E608FA"/>
    <w:rsid w:val="00E60998"/>
    <w:rsid w:val="00E609BE"/>
    <w:rsid w:val="00E609DF"/>
    <w:rsid w:val="00E60A13"/>
    <w:rsid w:val="00E60AC2"/>
    <w:rsid w:val="00E60B25"/>
    <w:rsid w:val="00E60C36"/>
    <w:rsid w:val="00E60D43"/>
    <w:rsid w:val="00E60F49"/>
    <w:rsid w:val="00E60FA2"/>
    <w:rsid w:val="00E6100B"/>
    <w:rsid w:val="00E6109D"/>
    <w:rsid w:val="00E6111D"/>
    <w:rsid w:val="00E61120"/>
    <w:rsid w:val="00E61230"/>
    <w:rsid w:val="00E61437"/>
    <w:rsid w:val="00E61441"/>
    <w:rsid w:val="00E6145B"/>
    <w:rsid w:val="00E61484"/>
    <w:rsid w:val="00E614F9"/>
    <w:rsid w:val="00E61518"/>
    <w:rsid w:val="00E6154E"/>
    <w:rsid w:val="00E61639"/>
    <w:rsid w:val="00E617C4"/>
    <w:rsid w:val="00E618DB"/>
    <w:rsid w:val="00E618DF"/>
    <w:rsid w:val="00E61956"/>
    <w:rsid w:val="00E61A62"/>
    <w:rsid w:val="00E61AEB"/>
    <w:rsid w:val="00E61B05"/>
    <w:rsid w:val="00E61B51"/>
    <w:rsid w:val="00E61B75"/>
    <w:rsid w:val="00E61B91"/>
    <w:rsid w:val="00E61CDA"/>
    <w:rsid w:val="00E61CEC"/>
    <w:rsid w:val="00E61D16"/>
    <w:rsid w:val="00E61E20"/>
    <w:rsid w:val="00E61EB2"/>
    <w:rsid w:val="00E61F08"/>
    <w:rsid w:val="00E61F16"/>
    <w:rsid w:val="00E61F4A"/>
    <w:rsid w:val="00E61F9C"/>
    <w:rsid w:val="00E620AA"/>
    <w:rsid w:val="00E62143"/>
    <w:rsid w:val="00E62205"/>
    <w:rsid w:val="00E62220"/>
    <w:rsid w:val="00E62242"/>
    <w:rsid w:val="00E62245"/>
    <w:rsid w:val="00E62266"/>
    <w:rsid w:val="00E6226F"/>
    <w:rsid w:val="00E6228D"/>
    <w:rsid w:val="00E62338"/>
    <w:rsid w:val="00E6243F"/>
    <w:rsid w:val="00E62599"/>
    <w:rsid w:val="00E626F5"/>
    <w:rsid w:val="00E626FA"/>
    <w:rsid w:val="00E6272A"/>
    <w:rsid w:val="00E627F9"/>
    <w:rsid w:val="00E62878"/>
    <w:rsid w:val="00E62B1E"/>
    <w:rsid w:val="00E62C94"/>
    <w:rsid w:val="00E62DC2"/>
    <w:rsid w:val="00E62F40"/>
    <w:rsid w:val="00E6308E"/>
    <w:rsid w:val="00E630E1"/>
    <w:rsid w:val="00E63231"/>
    <w:rsid w:val="00E63240"/>
    <w:rsid w:val="00E63266"/>
    <w:rsid w:val="00E63301"/>
    <w:rsid w:val="00E6332E"/>
    <w:rsid w:val="00E633BD"/>
    <w:rsid w:val="00E633ED"/>
    <w:rsid w:val="00E63496"/>
    <w:rsid w:val="00E6358E"/>
    <w:rsid w:val="00E6376B"/>
    <w:rsid w:val="00E638B5"/>
    <w:rsid w:val="00E6393F"/>
    <w:rsid w:val="00E639B9"/>
    <w:rsid w:val="00E63A12"/>
    <w:rsid w:val="00E63B0E"/>
    <w:rsid w:val="00E63BB9"/>
    <w:rsid w:val="00E63CDA"/>
    <w:rsid w:val="00E63D62"/>
    <w:rsid w:val="00E63DB2"/>
    <w:rsid w:val="00E63DE3"/>
    <w:rsid w:val="00E63E13"/>
    <w:rsid w:val="00E63EE7"/>
    <w:rsid w:val="00E64004"/>
    <w:rsid w:val="00E6402A"/>
    <w:rsid w:val="00E64070"/>
    <w:rsid w:val="00E640D1"/>
    <w:rsid w:val="00E640E8"/>
    <w:rsid w:val="00E64240"/>
    <w:rsid w:val="00E642DA"/>
    <w:rsid w:val="00E6437D"/>
    <w:rsid w:val="00E643C7"/>
    <w:rsid w:val="00E644C4"/>
    <w:rsid w:val="00E644D9"/>
    <w:rsid w:val="00E644F6"/>
    <w:rsid w:val="00E64527"/>
    <w:rsid w:val="00E64537"/>
    <w:rsid w:val="00E64580"/>
    <w:rsid w:val="00E645C9"/>
    <w:rsid w:val="00E645E5"/>
    <w:rsid w:val="00E645F5"/>
    <w:rsid w:val="00E6463C"/>
    <w:rsid w:val="00E64661"/>
    <w:rsid w:val="00E64785"/>
    <w:rsid w:val="00E64856"/>
    <w:rsid w:val="00E6491D"/>
    <w:rsid w:val="00E64938"/>
    <w:rsid w:val="00E64A5C"/>
    <w:rsid w:val="00E64AA4"/>
    <w:rsid w:val="00E64ADD"/>
    <w:rsid w:val="00E64BEF"/>
    <w:rsid w:val="00E64BFA"/>
    <w:rsid w:val="00E64CB1"/>
    <w:rsid w:val="00E64D2A"/>
    <w:rsid w:val="00E64E2C"/>
    <w:rsid w:val="00E64F49"/>
    <w:rsid w:val="00E6505C"/>
    <w:rsid w:val="00E6505D"/>
    <w:rsid w:val="00E650B4"/>
    <w:rsid w:val="00E650EC"/>
    <w:rsid w:val="00E652B4"/>
    <w:rsid w:val="00E654E9"/>
    <w:rsid w:val="00E6551A"/>
    <w:rsid w:val="00E6555C"/>
    <w:rsid w:val="00E65639"/>
    <w:rsid w:val="00E65668"/>
    <w:rsid w:val="00E6566F"/>
    <w:rsid w:val="00E656E2"/>
    <w:rsid w:val="00E656F1"/>
    <w:rsid w:val="00E65774"/>
    <w:rsid w:val="00E65837"/>
    <w:rsid w:val="00E6586C"/>
    <w:rsid w:val="00E6587F"/>
    <w:rsid w:val="00E65938"/>
    <w:rsid w:val="00E65AC1"/>
    <w:rsid w:val="00E65AE5"/>
    <w:rsid w:val="00E65AE8"/>
    <w:rsid w:val="00E65B88"/>
    <w:rsid w:val="00E65B93"/>
    <w:rsid w:val="00E65C84"/>
    <w:rsid w:val="00E65D32"/>
    <w:rsid w:val="00E65DCF"/>
    <w:rsid w:val="00E65E0F"/>
    <w:rsid w:val="00E65E53"/>
    <w:rsid w:val="00E65FD3"/>
    <w:rsid w:val="00E6605D"/>
    <w:rsid w:val="00E661C5"/>
    <w:rsid w:val="00E6622F"/>
    <w:rsid w:val="00E66278"/>
    <w:rsid w:val="00E662B7"/>
    <w:rsid w:val="00E66350"/>
    <w:rsid w:val="00E66403"/>
    <w:rsid w:val="00E664AC"/>
    <w:rsid w:val="00E6669D"/>
    <w:rsid w:val="00E666C3"/>
    <w:rsid w:val="00E66868"/>
    <w:rsid w:val="00E668F4"/>
    <w:rsid w:val="00E66B81"/>
    <w:rsid w:val="00E66C90"/>
    <w:rsid w:val="00E66CB1"/>
    <w:rsid w:val="00E66CB6"/>
    <w:rsid w:val="00E66D91"/>
    <w:rsid w:val="00E66E35"/>
    <w:rsid w:val="00E66E78"/>
    <w:rsid w:val="00E66F5E"/>
    <w:rsid w:val="00E66FAF"/>
    <w:rsid w:val="00E66FC2"/>
    <w:rsid w:val="00E6707F"/>
    <w:rsid w:val="00E67112"/>
    <w:rsid w:val="00E67136"/>
    <w:rsid w:val="00E671B6"/>
    <w:rsid w:val="00E671DF"/>
    <w:rsid w:val="00E67211"/>
    <w:rsid w:val="00E67262"/>
    <w:rsid w:val="00E6728B"/>
    <w:rsid w:val="00E672E8"/>
    <w:rsid w:val="00E6745B"/>
    <w:rsid w:val="00E67483"/>
    <w:rsid w:val="00E6755D"/>
    <w:rsid w:val="00E676C0"/>
    <w:rsid w:val="00E6773F"/>
    <w:rsid w:val="00E6774A"/>
    <w:rsid w:val="00E6779F"/>
    <w:rsid w:val="00E67823"/>
    <w:rsid w:val="00E67998"/>
    <w:rsid w:val="00E67A6B"/>
    <w:rsid w:val="00E67AFE"/>
    <w:rsid w:val="00E67B7F"/>
    <w:rsid w:val="00E67BD5"/>
    <w:rsid w:val="00E67D0E"/>
    <w:rsid w:val="00E67DF3"/>
    <w:rsid w:val="00E67E99"/>
    <w:rsid w:val="00E67EB0"/>
    <w:rsid w:val="00E67F19"/>
    <w:rsid w:val="00E67F44"/>
    <w:rsid w:val="00E67F61"/>
    <w:rsid w:val="00E67FBC"/>
    <w:rsid w:val="00E67FDB"/>
    <w:rsid w:val="00E67FFE"/>
    <w:rsid w:val="00E70021"/>
    <w:rsid w:val="00E700CC"/>
    <w:rsid w:val="00E700E5"/>
    <w:rsid w:val="00E70111"/>
    <w:rsid w:val="00E7017C"/>
    <w:rsid w:val="00E701BF"/>
    <w:rsid w:val="00E701EA"/>
    <w:rsid w:val="00E70264"/>
    <w:rsid w:val="00E70295"/>
    <w:rsid w:val="00E703AE"/>
    <w:rsid w:val="00E703C1"/>
    <w:rsid w:val="00E70431"/>
    <w:rsid w:val="00E70443"/>
    <w:rsid w:val="00E70510"/>
    <w:rsid w:val="00E70558"/>
    <w:rsid w:val="00E705BD"/>
    <w:rsid w:val="00E70644"/>
    <w:rsid w:val="00E7071F"/>
    <w:rsid w:val="00E7075D"/>
    <w:rsid w:val="00E70782"/>
    <w:rsid w:val="00E707C1"/>
    <w:rsid w:val="00E707E7"/>
    <w:rsid w:val="00E70840"/>
    <w:rsid w:val="00E70841"/>
    <w:rsid w:val="00E70875"/>
    <w:rsid w:val="00E70993"/>
    <w:rsid w:val="00E709F0"/>
    <w:rsid w:val="00E70AB8"/>
    <w:rsid w:val="00E70ABC"/>
    <w:rsid w:val="00E70B04"/>
    <w:rsid w:val="00E70B0E"/>
    <w:rsid w:val="00E70B40"/>
    <w:rsid w:val="00E70B6B"/>
    <w:rsid w:val="00E70B95"/>
    <w:rsid w:val="00E70BF0"/>
    <w:rsid w:val="00E70C43"/>
    <w:rsid w:val="00E70D5C"/>
    <w:rsid w:val="00E70D91"/>
    <w:rsid w:val="00E70DF2"/>
    <w:rsid w:val="00E70E6C"/>
    <w:rsid w:val="00E70F63"/>
    <w:rsid w:val="00E70F6C"/>
    <w:rsid w:val="00E70FC6"/>
    <w:rsid w:val="00E7104D"/>
    <w:rsid w:val="00E7106E"/>
    <w:rsid w:val="00E711B4"/>
    <w:rsid w:val="00E711D7"/>
    <w:rsid w:val="00E712A1"/>
    <w:rsid w:val="00E712F6"/>
    <w:rsid w:val="00E713F7"/>
    <w:rsid w:val="00E71484"/>
    <w:rsid w:val="00E71604"/>
    <w:rsid w:val="00E71621"/>
    <w:rsid w:val="00E71989"/>
    <w:rsid w:val="00E719C2"/>
    <w:rsid w:val="00E719ED"/>
    <w:rsid w:val="00E71A95"/>
    <w:rsid w:val="00E71B17"/>
    <w:rsid w:val="00E71B9A"/>
    <w:rsid w:val="00E71C03"/>
    <w:rsid w:val="00E71C09"/>
    <w:rsid w:val="00E71C68"/>
    <w:rsid w:val="00E71CEA"/>
    <w:rsid w:val="00E71DE2"/>
    <w:rsid w:val="00E71F6A"/>
    <w:rsid w:val="00E71FF9"/>
    <w:rsid w:val="00E7207A"/>
    <w:rsid w:val="00E7208A"/>
    <w:rsid w:val="00E72170"/>
    <w:rsid w:val="00E721FB"/>
    <w:rsid w:val="00E72256"/>
    <w:rsid w:val="00E7241B"/>
    <w:rsid w:val="00E72430"/>
    <w:rsid w:val="00E724D9"/>
    <w:rsid w:val="00E725CE"/>
    <w:rsid w:val="00E72668"/>
    <w:rsid w:val="00E726B8"/>
    <w:rsid w:val="00E7270F"/>
    <w:rsid w:val="00E72733"/>
    <w:rsid w:val="00E7280E"/>
    <w:rsid w:val="00E7285D"/>
    <w:rsid w:val="00E7286B"/>
    <w:rsid w:val="00E72899"/>
    <w:rsid w:val="00E728A4"/>
    <w:rsid w:val="00E72935"/>
    <w:rsid w:val="00E72987"/>
    <w:rsid w:val="00E729A3"/>
    <w:rsid w:val="00E72AE6"/>
    <w:rsid w:val="00E72B0A"/>
    <w:rsid w:val="00E72B6E"/>
    <w:rsid w:val="00E72B9D"/>
    <w:rsid w:val="00E72BAC"/>
    <w:rsid w:val="00E72C5B"/>
    <w:rsid w:val="00E72CE8"/>
    <w:rsid w:val="00E72D22"/>
    <w:rsid w:val="00E72D41"/>
    <w:rsid w:val="00E72D90"/>
    <w:rsid w:val="00E72E39"/>
    <w:rsid w:val="00E72E48"/>
    <w:rsid w:val="00E72E52"/>
    <w:rsid w:val="00E72EF6"/>
    <w:rsid w:val="00E72FA8"/>
    <w:rsid w:val="00E731A9"/>
    <w:rsid w:val="00E7321A"/>
    <w:rsid w:val="00E732FF"/>
    <w:rsid w:val="00E73469"/>
    <w:rsid w:val="00E73484"/>
    <w:rsid w:val="00E734D1"/>
    <w:rsid w:val="00E735AC"/>
    <w:rsid w:val="00E73604"/>
    <w:rsid w:val="00E73628"/>
    <w:rsid w:val="00E736A8"/>
    <w:rsid w:val="00E736BF"/>
    <w:rsid w:val="00E7376D"/>
    <w:rsid w:val="00E73771"/>
    <w:rsid w:val="00E73937"/>
    <w:rsid w:val="00E73ACE"/>
    <w:rsid w:val="00E740F5"/>
    <w:rsid w:val="00E7411A"/>
    <w:rsid w:val="00E742C6"/>
    <w:rsid w:val="00E74308"/>
    <w:rsid w:val="00E7433A"/>
    <w:rsid w:val="00E7435F"/>
    <w:rsid w:val="00E74370"/>
    <w:rsid w:val="00E74382"/>
    <w:rsid w:val="00E74406"/>
    <w:rsid w:val="00E744E1"/>
    <w:rsid w:val="00E74549"/>
    <w:rsid w:val="00E74557"/>
    <w:rsid w:val="00E745A7"/>
    <w:rsid w:val="00E7465E"/>
    <w:rsid w:val="00E74673"/>
    <w:rsid w:val="00E746FB"/>
    <w:rsid w:val="00E747E0"/>
    <w:rsid w:val="00E748A8"/>
    <w:rsid w:val="00E748E4"/>
    <w:rsid w:val="00E7492C"/>
    <w:rsid w:val="00E7493E"/>
    <w:rsid w:val="00E7494F"/>
    <w:rsid w:val="00E749AB"/>
    <w:rsid w:val="00E749DF"/>
    <w:rsid w:val="00E74A00"/>
    <w:rsid w:val="00E74A40"/>
    <w:rsid w:val="00E74AE2"/>
    <w:rsid w:val="00E74B71"/>
    <w:rsid w:val="00E74B84"/>
    <w:rsid w:val="00E74C5B"/>
    <w:rsid w:val="00E74CA2"/>
    <w:rsid w:val="00E74DD8"/>
    <w:rsid w:val="00E74E40"/>
    <w:rsid w:val="00E74E63"/>
    <w:rsid w:val="00E74F6A"/>
    <w:rsid w:val="00E75012"/>
    <w:rsid w:val="00E7502F"/>
    <w:rsid w:val="00E750B1"/>
    <w:rsid w:val="00E75298"/>
    <w:rsid w:val="00E7539A"/>
    <w:rsid w:val="00E7553B"/>
    <w:rsid w:val="00E75552"/>
    <w:rsid w:val="00E75585"/>
    <w:rsid w:val="00E75666"/>
    <w:rsid w:val="00E756C6"/>
    <w:rsid w:val="00E75735"/>
    <w:rsid w:val="00E75743"/>
    <w:rsid w:val="00E75796"/>
    <w:rsid w:val="00E757AE"/>
    <w:rsid w:val="00E757DC"/>
    <w:rsid w:val="00E757F8"/>
    <w:rsid w:val="00E758AB"/>
    <w:rsid w:val="00E758C3"/>
    <w:rsid w:val="00E758DA"/>
    <w:rsid w:val="00E75912"/>
    <w:rsid w:val="00E75916"/>
    <w:rsid w:val="00E7596C"/>
    <w:rsid w:val="00E75984"/>
    <w:rsid w:val="00E75A2F"/>
    <w:rsid w:val="00E75B04"/>
    <w:rsid w:val="00E75B86"/>
    <w:rsid w:val="00E75B8D"/>
    <w:rsid w:val="00E75C04"/>
    <w:rsid w:val="00E75DF7"/>
    <w:rsid w:val="00E75E9A"/>
    <w:rsid w:val="00E75F2A"/>
    <w:rsid w:val="00E75FA2"/>
    <w:rsid w:val="00E75FFB"/>
    <w:rsid w:val="00E7603D"/>
    <w:rsid w:val="00E760BD"/>
    <w:rsid w:val="00E760DF"/>
    <w:rsid w:val="00E7619A"/>
    <w:rsid w:val="00E761B7"/>
    <w:rsid w:val="00E761D2"/>
    <w:rsid w:val="00E76214"/>
    <w:rsid w:val="00E7636C"/>
    <w:rsid w:val="00E76580"/>
    <w:rsid w:val="00E765A4"/>
    <w:rsid w:val="00E765E6"/>
    <w:rsid w:val="00E76657"/>
    <w:rsid w:val="00E766A1"/>
    <w:rsid w:val="00E766A5"/>
    <w:rsid w:val="00E766F1"/>
    <w:rsid w:val="00E7676B"/>
    <w:rsid w:val="00E7679A"/>
    <w:rsid w:val="00E76979"/>
    <w:rsid w:val="00E7699B"/>
    <w:rsid w:val="00E76A66"/>
    <w:rsid w:val="00E76A9A"/>
    <w:rsid w:val="00E76B36"/>
    <w:rsid w:val="00E76B5B"/>
    <w:rsid w:val="00E76C58"/>
    <w:rsid w:val="00E76C8E"/>
    <w:rsid w:val="00E76CAE"/>
    <w:rsid w:val="00E76D4A"/>
    <w:rsid w:val="00E76D52"/>
    <w:rsid w:val="00E76DCE"/>
    <w:rsid w:val="00E76DE9"/>
    <w:rsid w:val="00E76DF3"/>
    <w:rsid w:val="00E76E11"/>
    <w:rsid w:val="00E76EC1"/>
    <w:rsid w:val="00E76F63"/>
    <w:rsid w:val="00E76F8C"/>
    <w:rsid w:val="00E7701C"/>
    <w:rsid w:val="00E77115"/>
    <w:rsid w:val="00E7714C"/>
    <w:rsid w:val="00E772AD"/>
    <w:rsid w:val="00E7741A"/>
    <w:rsid w:val="00E7742A"/>
    <w:rsid w:val="00E77461"/>
    <w:rsid w:val="00E77570"/>
    <w:rsid w:val="00E776E1"/>
    <w:rsid w:val="00E77723"/>
    <w:rsid w:val="00E7773D"/>
    <w:rsid w:val="00E7775D"/>
    <w:rsid w:val="00E77769"/>
    <w:rsid w:val="00E777F1"/>
    <w:rsid w:val="00E778C5"/>
    <w:rsid w:val="00E77A6E"/>
    <w:rsid w:val="00E77ABC"/>
    <w:rsid w:val="00E77AFE"/>
    <w:rsid w:val="00E77B0C"/>
    <w:rsid w:val="00E77BFE"/>
    <w:rsid w:val="00E77D02"/>
    <w:rsid w:val="00E77D16"/>
    <w:rsid w:val="00E77D79"/>
    <w:rsid w:val="00E77E49"/>
    <w:rsid w:val="00E77E72"/>
    <w:rsid w:val="00E77E73"/>
    <w:rsid w:val="00E8006D"/>
    <w:rsid w:val="00E800B8"/>
    <w:rsid w:val="00E800EE"/>
    <w:rsid w:val="00E800F9"/>
    <w:rsid w:val="00E801D8"/>
    <w:rsid w:val="00E802B0"/>
    <w:rsid w:val="00E803A2"/>
    <w:rsid w:val="00E8041A"/>
    <w:rsid w:val="00E804AD"/>
    <w:rsid w:val="00E80521"/>
    <w:rsid w:val="00E8065D"/>
    <w:rsid w:val="00E806C8"/>
    <w:rsid w:val="00E8075F"/>
    <w:rsid w:val="00E807E5"/>
    <w:rsid w:val="00E807E9"/>
    <w:rsid w:val="00E807EF"/>
    <w:rsid w:val="00E8091A"/>
    <w:rsid w:val="00E8094B"/>
    <w:rsid w:val="00E8094E"/>
    <w:rsid w:val="00E80A9F"/>
    <w:rsid w:val="00E80C45"/>
    <w:rsid w:val="00E80D39"/>
    <w:rsid w:val="00E80E8F"/>
    <w:rsid w:val="00E80EB8"/>
    <w:rsid w:val="00E80EE3"/>
    <w:rsid w:val="00E80EEE"/>
    <w:rsid w:val="00E80EFD"/>
    <w:rsid w:val="00E80F1C"/>
    <w:rsid w:val="00E81048"/>
    <w:rsid w:val="00E81087"/>
    <w:rsid w:val="00E81099"/>
    <w:rsid w:val="00E810DB"/>
    <w:rsid w:val="00E8114B"/>
    <w:rsid w:val="00E811DC"/>
    <w:rsid w:val="00E81228"/>
    <w:rsid w:val="00E81271"/>
    <w:rsid w:val="00E81285"/>
    <w:rsid w:val="00E812E9"/>
    <w:rsid w:val="00E81301"/>
    <w:rsid w:val="00E81349"/>
    <w:rsid w:val="00E81355"/>
    <w:rsid w:val="00E81356"/>
    <w:rsid w:val="00E813A2"/>
    <w:rsid w:val="00E8142A"/>
    <w:rsid w:val="00E814DC"/>
    <w:rsid w:val="00E81538"/>
    <w:rsid w:val="00E81555"/>
    <w:rsid w:val="00E815A1"/>
    <w:rsid w:val="00E815E1"/>
    <w:rsid w:val="00E816AC"/>
    <w:rsid w:val="00E81744"/>
    <w:rsid w:val="00E81745"/>
    <w:rsid w:val="00E8184C"/>
    <w:rsid w:val="00E81861"/>
    <w:rsid w:val="00E8186B"/>
    <w:rsid w:val="00E81881"/>
    <w:rsid w:val="00E819BF"/>
    <w:rsid w:val="00E81A56"/>
    <w:rsid w:val="00E81AA0"/>
    <w:rsid w:val="00E81AA3"/>
    <w:rsid w:val="00E81AEE"/>
    <w:rsid w:val="00E81AF6"/>
    <w:rsid w:val="00E81C3A"/>
    <w:rsid w:val="00E81C4B"/>
    <w:rsid w:val="00E81C6A"/>
    <w:rsid w:val="00E81C70"/>
    <w:rsid w:val="00E81C86"/>
    <w:rsid w:val="00E81CCD"/>
    <w:rsid w:val="00E81D33"/>
    <w:rsid w:val="00E81D5B"/>
    <w:rsid w:val="00E81D75"/>
    <w:rsid w:val="00E81D78"/>
    <w:rsid w:val="00E81F26"/>
    <w:rsid w:val="00E81FC8"/>
    <w:rsid w:val="00E820BE"/>
    <w:rsid w:val="00E820CE"/>
    <w:rsid w:val="00E82108"/>
    <w:rsid w:val="00E82174"/>
    <w:rsid w:val="00E82190"/>
    <w:rsid w:val="00E822D3"/>
    <w:rsid w:val="00E822E8"/>
    <w:rsid w:val="00E82376"/>
    <w:rsid w:val="00E824A9"/>
    <w:rsid w:val="00E824F6"/>
    <w:rsid w:val="00E82517"/>
    <w:rsid w:val="00E82656"/>
    <w:rsid w:val="00E826E9"/>
    <w:rsid w:val="00E82730"/>
    <w:rsid w:val="00E828A9"/>
    <w:rsid w:val="00E82947"/>
    <w:rsid w:val="00E82AA5"/>
    <w:rsid w:val="00E82BC7"/>
    <w:rsid w:val="00E82CB0"/>
    <w:rsid w:val="00E82CEB"/>
    <w:rsid w:val="00E82D6A"/>
    <w:rsid w:val="00E82D9A"/>
    <w:rsid w:val="00E82DAA"/>
    <w:rsid w:val="00E82EA3"/>
    <w:rsid w:val="00E82FEE"/>
    <w:rsid w:val="00E82FF8"/>
    <w:rsid w:val="00E83089"/>
    <w:rsid w:val="00E830EB"/>
    <w:rsid w:val="00E83128"/>
    <w:rsid w:val="00E831CD"/>
    <w:rsid w:val="00E831E1"/>
    <w:rsid w:val="00E8326D"/>
    <w:rsid w:val="00E832E3"/>
    <w:rsid w:val="00E83479"/>
    <w:rsid w:val="00E83626"/>
    <w:rsid w:val="00E8363D"/>
    <w:rsid w:val="00E83656"/>
    <w:rsid w:val="00E8370E"/>
    <w:rsid w:val="00E837C3"/>
    <w:rsid w:val="00E8388F"/>
    <w:rsid w:val="00E83907"/>
    <w:rsid w:val="00E8395D"/>
    <w:rsid w:val="00E83A18"/>
    <w:rsid w:val="00E83AB3"/>
    <w:rsid w:val="00E83B5C"/>
    <w:rsid w:val="00E83BF8"/>
    <w:rsid w:val="00E83C1E"/>
    <w:rsid w:val="00E83C30"/>
    <w:rsid w:val="00E83C87"/>
    <w:rsid w:val="00E83D0E"/>
    <w:rsid w:val="00E83DB3"/>
    <w:rsid w:val="00E83DC6"/>
    <w:rsid w:val="00E83E8C"/>
    <w:rsid w:val="00E83EB7"/>
    <w:rsid w:val="00E83EBC"/>
    <w:rsid w:val="00E83EFA"/>
    <w:rsid w:val="00E83F92"/>
    <w:rsid w:val="00E83FBB"/>
    <w:rsid w:val="00E83FFC"/>
    <w:rsid w:val="00E84176"/>
    <w:rsid w:val="00E84230"/>
    <w:rsid w:val="00E84253"/>
    <w:rsid w:val="00E842CE"/>
    <w:rsid w:val="00E84342"/>
    <w:rsid w:val="00E8441C"/>
    <w:rsid w:val="00E84536"/>
    <w:rsid w:val="00E84609"/>
    <w:rsid w:val="00E84638"/>
    <w:rsid w:val="00E846AF"/>
    <w:rsid w:val="00E846F3"/>
    <w:rsid w:val="00E84726"/>
    <w:rsid w:val="00E8473B"/>
    <w:rsid w:val="00E8475B"/>
    <w:rsid w:val="00E84811"/>
    <w:rsid w:val="00E8490B"/>
    <w:rsid w:val="00E84940"/>
    <w:rsid w:val="00E84987"/>
    <w:rsid w:val="00E8498C"/>
    <w:rsid w:val="00E84A02"/>
    <w:rsid w:val="00E84A13"/>
    <w:rsid w:val="00E84C24"/>
    <w:rsid w:val="00E84C87"/>
    <w:rsid w:val="00E84D81"/>
    <w:rsid w:val="00E84EA3"/>
    <w:rsid w:val="00E84F19"/>
    <w:rsid w:val="00E84F55"/>
    <w:rsid w:val="00E84FB9"/>
    <w:rsid w:val="00E85019"/>
    <w:rsid w:val="00E850FD"/>
    <w:rsid w:val="00E8510C"/>
    <w:rsid w:val="00E8511C"/>
    <w:rsid w:val="00E851A4"/>
    <w:rsid w:val="00E85310"/>
    <w:rsid w:val="00E853B0"/>
    <w:rsid w:val="00E853E4"/>
    <w:rsid w:val="00E85450"/>
    <w:rsid w:val="00E855B3"/>
    <w:rsid w:val="00E855B7"/>
    <w:rsid w:val="00E855FA"/>
    <w:rsid w:val="00E8565F"/>
    <w:rsid w:val="00E85671"/>
    <w:rsid w:val="00E8579C"/>
    <w:rsid w:val="00E857F7"/>
    <w:rsid w:val="00E85931"/>
    <w:rsid w:val="00E8599E"/>
    <w:rsid w:val="00E859A1"/>
    <w:rsid w:val="00E859AA"/>
    <w:rsid w:val="00E859B8"/>
    <w:rsid w:val="00E85A1F"/>
    <w:rsid w:val="00E85A69"/>
    <w:rsid w:val="00E85B1E"/>
    <w:rsid w:val="00E85B37"/>
    <w:rsid w:val="00E85B41"/>
    <w:rsid w:val="00E85BA1"/>
    <w:rsid w:val="00E85BC0"/>
    <w:rsid w:val="00E85CB1"/>
    <w:rsid w:val="00E85D50"/>
    <w:rsid w:val="00E85DBB"/>
    <w:rsid w:val="00E85E32"/>
    <w:rsid w:val="00E85F65"/>
    <w:rsid w:val="00E86315"/>
    <w:rsid w:val="00E863CA"/>
    <w:rsid w:val="00E863F8"/>
    <w:rsid w:val="00E8640E"/>
    <w:rsid w:val="00E8643C"/>
    <w:rsid w:val="00E86533"/>
    <w:rsid w:val="00E865D2"/>
    <w:rsid w:val="00E866A8"/>
    <w:rsid w:val="00E8678A"/>
    <w:rsid w:val="00E8691C"/>
    <w:rsid w:val="00E8694F"/>
    <w:rsid w:val="00E869AF"/>
    <w:rsid w:val="00E869F5"/>
    <w:rsid w:val="00E86C4D"/>
    <w:rsid w:val="00E86C6B"/>
    <w:rsid w:val="00E86C7A"/>
    <w:rsid w:val="00E86D5A"/>
    <w:rsid w:val="00E86D9D"/>
    <w:rsid w:val="00E86DCD"/>
    <w:rsid w:val="00E86E16"/>
    <w:rsid w:val="00E86E68"/>
    <w:rsid w:val="00E86E7E"/>
    <w:rsid w:val="00E86F2A"/>
    <w:rsid w:val="00E8700F"/>
    <w:rsid w:val="00E870B9"/>
    <w:rsid w:val="00E870CA"/>
    <w:rsid w:val="00E87191"/>
    <w:rsid w:val="00E871AF"/>
    <w:rsid w:val="00E87309"/>
    <w:rsid w:val="00E8730F"/>
    <w:rsid w:val="00E87350"/>
    <w:rsid w:val="00E87354"/>
    <w:rsid w:val="00E873A2"/>
    <w:rsid w:val="00E873E7"/>
    <w:rsid w:val="00E87484"/>
    <w:rsid w:val="00E874D4"/>
    <w:rsid w:val="00E8754C"/>
    <w:rsid w:val="00E87611"/>
    <w:rsid w:val="00E87634"/>
    <w:rsid w:val="00E87662"/>
    <w:rsid w:val="00E877E9"/>
    <w:rsid w:val="00E8784A"/>
    <w:rsid w:val="00E87992"/>
    <w:rsid w:val="00E87B6F"/>
    <w:rsid w:val="00E87C6E"/>
    <w:rsid w:val="00E87CCF"/>
    <w:rsid w:val="00E87DC8"/>
    <w:rsid w:val="00E87DE5"/>
    <w:rsid w:val="00E87E23"/>
    <w:rsid w:val="00E87E5B"/>
    <w:rsid w:val="00E87E9D"/>
    <w:rsid w:val="00E87FA6"/>
    <w:rsid w:val="00E90025"/>
    <w:rsid w:val="00E900C1"/>
    <w:rsid w:val="00E901C4"/>
    <w:rsid w:val="00E901E3"/>
    <w:rsid w:val="00E90219"/>
    <w:rsid w:val="00E902B0"/>
    <w:rsid w:val="00E902E8"/>
    <w:rsid w:val="00E90334"/>
    <w:rsid w:val="00E903F1"/>
    <w:rsid w:val="00E903F5"/>
    <w:rsid w:val="00E9049D"/>
    <w:rsid w:val="00E905B6"/>
    <w:rsid w:val="00E9064C"/>
    <w:rsid w:val="00E9072F"/>
    <w:rsid w:val="00E907FB"/>
    <w:rsid w:val="00E9090E"/>
    <w:rsid w:val="00E9091F"/>
    <w:rsid w:val="00E909DE"/>
    <w:rsid w:val="00E90B45"/>
    <w:rsid w:val="00E90B54"/>
    <w:rsid w:val="00E90B8D"/>
    <w:rsid w:val="00E90C6C"/>
    <w:rsid w:val="00E90C87"/>
    <w:rsid w:val="00E90CF7"/>
    <w:rsid w:val="00E90E0C"/>
    <w:rsid w:val="00E90E5A"/>
    <w:rsid w:val="00E90F77"/>
    <w:rsid w:val="00E90FA2"/>
    <w:rsid w:val="00E90FC6"/>
    <w:rsid w:val="00E9107F"/>
    <w:rsid w:val="00E911AE"/>
    <w:rsid w:val="00E91560"/>
    <w:rsid w:val="00E915F2"/>
    <w:rsid w:val="00E91621"/>
    <w:rsid w:val="00E91676"/>
    <w:rsid w:val="00E916C2"/>
    <w:rsid w:val="00E91792"/>
    <w:rsid w:val="00E917C7"/>
    <w:rsid w:val="00E9184E"/>
    <w:rsid w:val="00E91862"/>
    <w:rsid w:val="00E91897"/>
    <w:rsid w:val="00E91917"/>
    <w:rsid w:val="00E91952"/>
    <w:rsid w:val="00E91984"/>
    <w:rsid w:val="00E91987"/>
    <w:rsid w:val="00E919A6"/>
    <w:rsid w:val="00E91BF0"/>
    <w:rsid w:val="00E91C69"/>
    <w:rsid w:val="00E91D99"/>
    <w:rsid w:val="00E91E78"/>
    <w:rsid w:val="00E91EDC"/>
    <w:rsid w:val="00E92087"/>
    <w:rsid w:val="00E92195"/>
    <w:rsid w:val="00E92297"/>
    <w:rsid w:val="00E922A0"/>
    <w:rsid w:val="00E92418"/>
    <w:rsid w:val="00E9250B"/>
    <w:rsid w:val="00E925BC"/>
    <w:rsid w:val="00E92656"/>
    <w:rsid w:val="00E92671"/>
    <w:rsid w:val="00E92700"/>
    <w:rsid w:val="00E927B2"/>
    <w:rsid w:val="00E92916"/>
    <w:rsid w:val="00E92923"/>
    <w:rsid w:val="00E9296B"/>
    <w:rsid w:val="00E929C8"/>
    <w:rsid w:val="00E92A4A"/>
    <w:rsid w:val="00E92BD5"/>
    <w:rsid w:val="00E92D11"/>
    <w:rsid w:val="00E92D7A"/>
    <w:rsid w:val="00E92DD3"/>
    <w:rsid w:val="00E92FB8"/>
    <w:rsid w:val="00E93050"/>
    <w:rsid w:val="00E930E9"/>
    <w:rsid w:val="00E93161"/>
    <w:rsid w:val="00E931BD"/>
    <w:rsid w:val="00E9332F"/>
    <w:rsid w:val="00E933D1"/>
    <w:rsid w:val="00E934C5"/>
    <w:rsid w:val="00E93574"/>
    <w:rsid w:val="00E936A9"/>
    <w:rsid w:val="00E93736"/>
    <w:rsid w:val="00E9376D"/>
    <w:rsid w:val="00E937B5"/>
    <w:rsid w:val="00E93881"/>
    <w:rsid w:val="00E93995"/>
    <w:rsid w:val="00E93AA0"/>
    <w:rsid w:val="00E93AB5"/>
    <w:rsid w:val="00E93AFA"/>
    <w:rsid w:val="00E93B32"/>
    <w:rsid w:val="00E93BF9"/>
    <w:rsid w:val="00E93C8E"/>
    <w:rsid w:val="00E93CF9"/>
    <w:rsid w:val="00E93E36"/>
    <w:rsid w:val="00E93E95"/>
    <w:rsid w:val="00E93F30"/>
    <w:rsid w:val="00E93FFD"/>
    <w:rsid w:val="00E94073"/>
    <w:rsid w:val="00E94179"/>
    <w:rsid w:val="00E9424E"/>
    <w:rsid w:val="00E9425E"/>
    <w:rsid w:val="00E942BA"/>
    <w:rsid w:val="00E942E0"/>
    <w:rsid w:val="00E942FA"/>
    <w:rsid w:val="00E94329"/>
    <w:rsid w:val="00E9445D"/>
    <w:rsid w:val="00E944CE"/>
    <w:rsid w:val="00E9453E"/>
    <w:rsid w:val="00E946A7"/>
    <w:rsid w:val="00E947F5"/>
    <w:rsid w:val="00E94811"/>
    <w:rsid w:val="00E94822"/>
    <w:rsid w:val="00E9487D"/>
    <w:rsid w:val="00E948DF"/>
    <w:rsid w:val="00E94912"/>
    <w:rsid w:val="00E94926"/>
    <w:rsid w:val="00E9498D"/>
    <w:rsid w:val="00E9499C"/>
    <w:rsid w:val="00E94A12"/>
    <w:rsid w:val="00E94A2B"/>
    <w:rsid w:val="00E94E1A"/>
    <w:rsid w:val="00E94F42"/>
    <w:rsid w:val="00E95034"/>
    <w:rsid w:val="00E9504F"/>
    <w:rsid w:val="00E9511B"/>
    <w:rsid w:val="00E95134"/>
    <w:rsid w:val="00E95148"/>
    <w:rsid w:val="00E95230"/>
    <w:rsid w:val="00E95254"/>
    <w:rsid w:val="00E9528C"/>
    <w:rsid w:val="00E952AE"/>
    <w:rsid w:val="00E952B2"/>
    <w:rsid w:val="00E95309"/>
    <w:rsid w:val="00E9532F"/>
    <w:rsid w:val="00E9538B"/>
    <w:rsid w:val="00E953B7"/>
    <w:rsid w:val="00E953B9"/>
    <w:rsid w:val="00E95455"/>
    <w:rsid w:val="00E954CD"/>
    <w:rsid w:val="00E955AE"/>
    <w:rsid w:val="00E95620"/>
    <w:rsid w:val="00E95627"/>
    <w:rsid w:val="00E95738"/>
    <w:rsid w:val="00E9582F"/>
    <w:rsid w:val="00E958B2"/>
    <w:rsid w:val="00E958CF"/>
    <w:rsid w:val="00E95902"/>
    <w:rsid w:val="00E9593B"/>
    <w:rsid w:val="00E959A0"/>
    <w:rsid w:val="00E959D1"/>
    <w:rsid w:val="00E959D2"/>
    <w:rsid w:val="00E959E7"/>
    <w:rsid w:val="00E95A69"/>
    <w:rsid w:val="00E95A9A"/>
    <w:rsid w:val="00E95AFB"/>
    <w:rsid w:val="00E95BE2"/>
    <w:rsid w:val="00E95C66"/>
    <w:rsid w:val="00E95E17"/>
    <w:rsid w:val="00E95E52"/>
    <w:rsid w:val="00E95E71"/>
    <w:rsid w:val="00E95EA2"/>
    <w:rsid w:val="00E95F13"/>
    <w:rsid w:val="00E95F68"/>
    <w:rsid w:val="00E9607B"/>
    <w:rsid w:val="00E960A3"/>
    <w:rsid w:val="00E9649B"/>
    <w:rsid w:val="00E964DA"/>
    <w:rsid w:val="00E964EC"/>
    <w:rsid w:val="00E9651B"/>
    <w:rsid w:val="00E96555"/>
    <w:rsid w:val="00E965C6"/>
    <w:rsid w:val="00E965E8"/>
    <w:rsid w:val="00E966C6"/>
    <w:rsid w:val="00E966EC"/>
    <w:rsid w:val="00E96756"/>
    <w:rsid w:val="00E96776"/>
    <w:rsid w:val="00E967B4"/>
    <w:rsid w:val="00E969E6"/>
    <w:rsid w:val="00E96A43"/>
    <w:rsid w:val="00E96A55"/>
    <w:rsid w:val="00E96AAA"/>
    <w:rsid w:val="00E96AE3"/>
    <w:rsid w:val="00E96B4B"/>
    <w:rsid w:val="00E96B7F"/>
    <w:rsid w:val="00E96BF7"/>
    <w:rsid w:val="00E96F22"/>
    <w:rsid w:val="00E96F7B"/>
    <w:rsid w:val="00E96F97"/>
    <w:rsid w:val="00E97021"/>
    <w:rsid w:val="00E9707E"/>
    <w:rsid w:val="00E970AC"/>
    <w:rsid w:val="00E9716D"/>
    <w:rsid w:val="00E9719C"/>
    <w:rsid w:val="00E97270"/>
    <w:rsid w:val="00E97319"/>
    <w:rsid w:val="00E97352"/>
    <w:rsid w:val="00E973F3"/>
    <w:rsid w:val="00E97514"/>
    <w:rsid w:val="00E97524"/>
    <w:rsid w:val="00E97556"/>
    <w:rsid w:val="00E97557"/>
    <w:rsid w:val="00E975BC"/>
    <w:rsid w:val="00E9766B"/>
    <w:rsid w:val="00E976A0"/>
    <w:rsid w:val="00E9777C"/>
    <w:rsid w:val="00E9778F"/>
    <w:rsid w:val="00E97806"/>
    <w:rsid w:val="00E9780D"/>
    <w:rsid w:val="00E9781E"/>
    <w:rsid w:val="00E979C8"/>
    <w:rsid w:val="00E97A92"/>
    <w:rsid w:val="00E97C19"/>
    <w:rsid w:val="00E97C39"/>
    <w:rsid w:val="00E97C91"/>
    <w:rsid w:val="00E97D2A"/>
    <w:rsid w:val="00E97D7E"/>
    <w:rsid w:val="00E97D92"/>
    <w:rsid w:val="00E97DD0"/>
    <w:rsid w:val="00E97E99"/>
    <w:rsid w:val="00E97FC2"/>
    <w:rsid w:val="00E97FC7"/>
    <w:rsid w:val="00E97FD0"/>
    <w:rsid w:val="00EA003E"/>
    <w:rsid w:val="00EA0047"/>
    <w:rsid w:val="00EA0083"/>
    <w:rsid w:val="00EA0194"/>
    <w:rsid w:val="00EA02C4"/>
    <w:rsid w:val="00EA04CE"/>
    <w:rsid w:val="00EA04D8"/>
    <w:rsid w:val="00EA0507"/>
    <w:rsid w:val="00EA05F0"/>
    <w:rsid w:val="00EA062F"/>
    <w:rsid w:val="00EA0697"/>
    <w:rsid w:val="00EA0804"/>
    <w:rsid w:val="00EA0840"/>
    <w:rsid w:val="00EA08B7"/>
    <w:rsid w:val="00EA0927"/>
    <w:rsid w:val="00EA0A1A"/>
    <w:rsid w:val="00EA0A42"/>
    <w:rsid w:val="00EA0AEA"/>
    <w:rsid w:val="00EA0B4F"/>
    <w:rsid w:val="00EA0C74"/>
    <w:rsid w:val="00EA0CD8"/>
    <w:rsid w:val="00EA0D1E"/>
    <w:rsid w:val="00EA0D71"/>
    <w:rsid w:val="00EA0D9E"/>
    <w:rsid w:val="00EA0DD2"/>
    <w:rsid w:val="00EA0FD7"/>
    <w:rsid w:val="00EA1030"/>
    <w:rsid w:val="00EA104A"/>
    <w:rsid w:val="00EA1083"/>
    <w:rsid w:val="00EA1094"/>
    <w:rsid w:val="00EA1096"/>
    <w:rsid w:val="00EA10F5"/>
    <w:rsid w:val="00EA10F6"/>
    <w:rsid w:val="00EA113B"/>
    <w:rsid w:val="00EA1142"/>
    <w:rsid w:val="00EA1159"/>
    <w:rsid w:val="00EA1402"/>
    <w:rsid w:val="00EA141F"/>
    <w:rsid w:val="00EA142A"/>
    <w:rsid w:val="00EA152F"/>
    <w:rsid w:val="00EA15CB"/>
    <w:rsid w:val="00EA15F2"/>
    <w:rsid w:val="00EA15FC"/>
    <w:rsid w:val="00EA1621"/>
    <w:rsid w:val="00EA189E"/>
    <w:rsid w:val="00EA1915"/>
    <w:rsid w:val="00EA1951"/>
    <w:rsid w:val="00EA196B"/>
    <w:rsid w:val="00EA196C"/>
    <w:rsid w:val="00EA1A83"/>
    <w:rsid w:val="00EA1ACE"/>
    <w:rsid w:val="00EA1AF2"/>
    <w:rsid w:val="00EA1C94"/>
    <w:rsid w:val="00EA1D29"/>
    <w:rsid w:val="00EA1D38"/>
    <w:rsid w:val="00EA1D7F"/>
    <w:rsid w:val="00EA1DC8"/>
    <w:rsid w:val="00EA1E07"/>
    <w:rsid w:val="00EA1ECA"/>
    <w:rsid w:val="00EA1FE2"/>
    <w:rsid w:val="00EA2004"/>
    <w:rsid w:val="00EA2118"/>
    <w:rsid w:val="00EA2278"/>
    <w:rsid w:val="00EA229D"/>
    <w:rsid w:val="00EA2301"/>
    <w:rsid w:val="00EA238F"/>
    <w:rsid w:val="00EA23AC"/>
    <w:rsid w:val="00EA23E5"/>
    <w:rsid w:val="00EA2406"/>
    <w:rsid w:val="00EA2438"/>
    <w:rsid w:val="00EA2659"/>
    <w:rsid w:val="00EA270F"/>
    <w:rsid w:val="00EA2738"/>
    <w:rsid w:val="00EA287D"/>
    <w:rsid w:val="00EA2924"/>
    <w:rsid w:val="00EA2986"/>
    <w:rsid w:val="00EA29F5"/>
    <w:rsid w:val="00EA2B6A"/>
    <w:rsid w:val="00EA2C90"/>
    <w:rsid w:val="00EA2DB2"/>
    <w:rsid w:val="00EA2DBD"/>
    <w:rsid w:val="00EA2DFD"/>
    <w:rsid w:val="00EA2E0B"/>
    <w:rsid w:val="00EA2F17"/>
    <w:rsid w:val="00EA2FF1"/>
    <w:rsid w:val="00EA309B"/>
    <w:rsid w:val="00EA326A"/>
    <w:rsid w:val="00EA32ED"/>
    <w:rsid w:val="00EA334B"/>
    <w:rsid w:val="00EA34C9"/>
    <w:rsid w:val="00EA34E3"/>
    <w:rsid w:val="00EA355A"/>
    <w:rsid w:val="00EA3599"/>
    <w:rsid w:val="00EA369C"/>
    <w:rsid w:val="00EA36A8"/>
    <w:rsid w:val="00EA3807"/>
    <w:rsid w:val="00EA388E"/>
    <w:rsid w:val="00EA38A8"/>
    <w:rsid w:val="00EA38B8"/>
    <w:rsid w:val="00EA3939"/>
    <w:rsid w:val="00EA3982"/>
    <w:rsid w:val="00EA398F"/>
    <w:rsid w:val="00EA39BA"/>
    <w:rsid w:val="00EA39FE"/>
    <w:rsid w:val="00EA3A30"/>
    <w:rsid w:val="00EA3AE7"/>
    <w:rsid w:val="00EA3BC0"/>
    <w:rsid w:val="00EA3BE6"/>
    <w:rsid w:val="00EA3C21"/>
    <w:rsid w:val="00EA3CCE"/>
    <w:rsid w:val="00EA3D18"/>
    <w:rsid w:val="00EA3D2D"/>
    <w:rsid w:val="00EA3D44"/>
    <w:rsid w:val="00EA3D69"/>
    <w:rsid w:val="00EA3DF2"/>
    <w:rsid w:val="00EA3F31"/>
    <w:rsid w:val="00EA3F9E"/>
    <w:rsid w:val="00EA405C"/>
    <w:rsid w:val="00EA4063"/>
    <w:rsid w:val="00EA40F7"/>
    <w:rsid w:val="00EA4112"/>
    <w:rsid w:val="00EA4120"/>
    <w:rsid w:val="00EA413F"/>
    <w:rsid w:val="00EA423A"/>
    <w:rsid w:val="00EA424D"/>
    <w:rsid w:val="00EA4252"/>
    <w:rsid w:val="00EA4285"/>
    <w:rsid w:val="00EA436C"/>
    <w:rsid w:val="00EA43AD"/>
    <w:rsid w:val="00EA4469"/>
    <w:rsid w:val="00EA4500"/>
    <w:rsid w:val="00EA456A"/>
    <w:rsid w:val="00EA45B7"/>
    <w:rsid w:val="00EA47AF"/>
    <w:rsid w:val="00EA47E1"/>
    <w:rsid w:val="00EA4810"/>
    <w:rsid w:val="00EA48CC"/>
    <w:rsid w:val="00EA4951"/>
    <w:rsid w:val="00EA497A"/>
    <w:rsid w:val="00EA499F"/>
    <w:rsid w:val="00EA4B22"/>
    <w:rsid w:val="00EA4B39"/>
    <w:rsid w:val="00EA4B47"/>
    <w:rsid w:val="00EA4B68"/>
    <w:rsid w:val="00EA4B80"/>
    <w:rsid w:val="00EA4C02"/>
    <w:rsid w:val="00EA4C2C"/>
    <w:rsid w:val="00EA4D02"/>
    <w:rsid w:val="00EA4DE7"/>
    <w:rsid w:val="00EA4DEF"/>
    <w:rsid w:val="00EA4EA1"/>
    <w:rsid w:val="00EA4EA6"/>
    <w:rsid w:val="00EA4F18"/>
    <w:rsid w:val="00EA4F92"/>
    <w:rsid w:val="00EA502A"/>
    <w:rsid w:val="00EA504C"/>
    <w:rsid w:val="00EA50B0"/>
    <w:rsid w:val="00EA5148"/>
    <w:rsid w:val="00EA5198"/>
    <w:rsid w:val="00EA51D1"/>
    <w:rsid w:val="00EA51DE"/>
    <w:rsid w:val="00EA5265"/>
    <w:rsid w:val="00EA526F"/>
    <w:rsid w:val="00EA52E9"/>
    <w:rsid w:val="00EA5327"/>
    <w:rsid w:val="00EA5427"/>
    <w:rsid w:val="00EA546D"/>
    <w:rsid w:val="00EA54E6"/>
    <w:rsid w:val="00EA550C"/>
    <w:rsid w:val="00EA551B"/>
    <w:rsid w:val="00EA5527"/>
    <w:rsid w:val="00EA5556"/>
    <w:rsid w:val="00EA5622"/>
    <w:rsid w:val="00EA56C0"/>
    <w:rsid w:val="00EA5728"/>
    <w:rsid w:val="00EA57EE"/>
    <w:rsid w:val="00EA5876"/>
    <w:rsid w:val="00EA5896"/>
    <w:rsid w:val="00EA5935"/>
    <w:rsid w:val="00EA596C"/>
    <w:rsid w:val="00EA5B12"/>
    <w:rsid w:val="00EA5BBB"/>
    <w:rsid w:val="00EA5C82"/>
    <w:rsid w:val="00EA5CC0"/>
    <w:rsid w:val="00EA5D7B"/>
    <w:rsid w:val="00EA5E08"/>
    <w:rsid w:val="00EA5E19"/>
    <w:rsid w:val="00EA5E43"/>
    <w:rsid w:val="00EA5E90"/>
    <w:rsid w:val="00EA60DB"/>
    <w:rsid w:val="00EA6107"/>
    <w:rsid w:val="00EA61D9"/>
    <w:rsid w:val="00EA6205"/>
    <w:rsid w:val="00EA6225"/>
    <w:rsid w:val="00EA62BC"/>
    <w:rsid w:val="00EA62D4"/>
    <w:rsid w:val="00EA62F0"/>
    <w:rsid w:val="00EA62FD"/>
    <w:rsid w:val="00EA631A"/>
    <w:rsid w:val="00EA646E"/>
    <w:rsid w:val="00EA64E1"/>
    <w:rsid w:val="00EA665F"/>
    <w:rsid w:val="00EA66A8"/>
    <w:rsid w:val="00EA670C"/>
    <w:rsid w:val="00EA672E"/>
    <w:rsid w:val="00EA672F"/>
    <w:rsid w:val="00EA6732"/>
    <w:rsid w:val="00EA67C0"/>
    <w:rsid w:val="00EA67DF"/>
    <w:rsid w:val="00EA689B"/>
    <w:rsid w:val="00EA68FB"/>
    <w:rsid w:val="00EA69DF"/>
    <w:rsid w:val="00EA6BB1"/>
    <w:rsid w:val="00EA6BF0"/>
    <w:rsid w:val="00EA6C1B"/>
    <w:rsid w:val="00EA6C6A"/>
    <w:rsid w:val="00EA6C7C"/>
    <w:rsid w:val="00EA6D55"/>
    <w:rsid w:val="00EA6DA8"/>
    <w:rsid w:val="00EA6DD9"/>
    <w:rsid w:val="00EA6E2F"/>
    <w:rsid w:val="00EA700F"/>
    <w:rsid w:val="00EA701A"/>
    <w:rsid w:val="00EA7058"/>
    <w:rsid w:val="00EA709C"/>
    <w:rsid w:val="00EA70F7"/>
    <w:rsid w:val="00EA718C"/>
    <w:rsid w:val="00EA71A8"/>
    <w:rsid w:val="00EA7274"/>
    <w:rsid w:val="00EA72EE"/>
    <w:rsid w:val="00EA7302"/>
    <w:rsid w:val="00EA73BE"/>
    <w:rsid w:val="00EA73EF"/>
    <w:rsid w:val="00EA744E"/>
    <w:rsid w:val="00EA745B"/>
    <w:rsid w:val="00EA7492"/>
    <w:rsid w:val="00EA74DD"/>
    <w:rsid w:val="00EA75E6"/>
    <w:rsid w:val="00EA7632"/>
    <w:rsid w:val="00EA7682"/>
    <w:rsid w:val="00EA76FE"/>
    <w:rsid w:val="00EA797C"/>
    <w:rsid w:val="00EA79D3"/>
    <w:rsid w:val="00EA7A42"/>
    <w:rsid w:val="00EA7A63"/>
    <w:rsid w:val="00EA7B0D"/>
    <w:rsid w:val="00EA7B73"/>
    <w:rsid w:val="00EA7C3D"/>
    <w:rsid w:val="00EA7C43"/>
    <w:rsid w:val="00EA7C91"/>
    <w:rsid w:val="00EA7C9D"/>
    <w:rsid w:val="00EA7C9E"/>
    <w:rsid w:val="00EA7D62"/>
    <w:rsid w:val="00EA7D63"/>
    <w:rsid w:val="00EA7DE0"/>
    <w:rsid w:val="00EA7E4D"/>
    <w:rsid w:val="00EA7E5B"/>
    <w:rsid w:val="00EA7E61"/>
    <w:rsid w:val="00EA7EE2"/>
    <w:rsid w:val="00EA7F10"/>
    <w:rsid w:val="00EA7F88"/>
    <w:rsid w:val="00EA7FE1"/>
    <w:rsid w:val="00EA7FEE"/>
    <w:rsid w:val="00EB00F8"/>
    <w:rsid w:val="00EB0177"/>
    <w:rsid w:val="00EB0225"/>
    <w:rsid w:val="00EB0389"/>
    <w:rsid w:val="00EB04D2"/>
    <w:rsid w:val="00EB04F0"/>
    <w:rsid w:val="00EB0518"/>
    <w:rsid w:val="00EB0670"/>
    <w:rsid w:val="00EB075D"/>
    <w:rsid w:val="00EB07CF"/>
    <w:rsid w:val="00EB07DF"/>
    <w:rsid w:val="00EB0867"/>
    <w:rsid w:val="00EB08F8"/>
    <w:rsid w:val="00EB0925"/>
    <w:rsid w:val="00EB09F8"/>
    <w:rsid w:val="00EB0B1C"/>
    <w:rsid w:val="00EB0C28"/>
    <w:rsid w:val="00EB0C2D"/>
    <w:rsid w:val="00EB0C79"/>
    <w:rsid w:val="00EB0D0F"/>
    <w:rsid w:val="00EB0D17"/>
    <w:rsid w:val="00EB0DF9"/>
    <w:rsid w:val="00EB0E30"/>
    <w:rsid w:val="00EB0E38"/>
    <w:rsid w:val="00EB0EB7"/>
    <w:rsid w:val="00EB0EB8"/>
    <w:rsid w:val="00EB0FEA"/>
    <w:rsid w:val="00EB1033"/>
    <w:rsid w:val="00EB1098"/>
    <w:rsid w:val="00EB115B"/>
    <w:rsid w:val="00EB11D5"/>
    <w:rsid w:val="00EB125D"/>
    <w:rsid w:val="00EB1269"/>
    <w:rsid w:val="00EB1393"/>
    <w:rsid w:val="00EB13EC"/>
    <w:rsid w:val="00EB1421"/>
    <w:rsid w:val="00EB1464"/>
    <w:rsid w:val="00EB155F"/>
    <w:rsid w:val="00EB1602"/>
    <w:rsid w:val="00EB1653"/>
    <w:rsid w:val="00EB16B4"/>
    <w:rsid w:val="00EB16BB"/>
    <w:rsid w:val="00EB17A6"/>
    <w:rsid w:val="00EB17B0"/>
    <w:rsid w:val="00EB186D"/>
    <w:rsid w:val="00EB1878"/>
    <w:rsid w:val="00EB18BB"/>
    <w:rsid w:val="00EB197D"/>
    <w:rsid w:val="00EB1996"/>
    <w:rsid w:val="00EB19C4"/>
    <w:rsid w:val="00EB19D3"/>
    <w:rsid w:val="00EB1A31"/>
    <w:rsid w:val="00EB1BA5"/>
    <w:rsid w:val="00EB1BA9"/>
    <w:rsid w:val="00EB1BC1"/>
    <w:rsid w:val="00EB1C0A"/>
    <w:rsid w:val="00EB1C95"/>
    <w:rsid w:val="00EB1CB4"/>
    <w:rsid w:val="00EB1CDE"/>
    <w:rsid w:val="00EB1D03"/>
    <w:rsid w:val="00EB1D21"/>
    <w:rsid w:val="00EB1D7C"/>
    <w:rsid w:val="00EB1E39"/>
    <w:rsid w:val="00EB1EE5"/>
    <w:rsid w:val="00EB1F02"/>
    <w:rsid w:val="00EB1F42"/>
    <w:rsid w:val="00EB1F58"/>
    <w:rsid w:val="00EB1FBC"/>
    <w:rsid w:val="00EB1FF3"/>
    <w:rsid w:val="00EB2011"/>
    <w:rsid w:val="00EB20D0"/>
    <w:rsid w:val="00EB214C"/>
    <w:rsid w:val="00EB22AE"/>
    <w:rsid w:val="00EB2305"/>
    <w:rsid w:val="00EB2399"/>
    <w:rsid w:val="00EB23E7"/>
    <w:rsid w:val="00EB23FC"/>
    <w:rsid w:val="00EB241C"/>
    <w:rsid w:val="00EB24CB"/>
    <w:rsid w:val="00EB24DF"/>
    <w:rsid w:val="00EB25A7"/>
    <w:rsid w:val="00EB25DC"/>
    <w:rsid w:val="00EB25E1"/>
    <w:rsid w:val="00EB26B1"/>
    <w:rsid w:val="00EB26ED"/>
    <w:rsid w:val="00EB273B"/>
    <w:rsid w:val="00EB29EB"/>
    <w:rsid w:val="00EB2ACA"/>
    <w:rsid w:val="00EB2B29"/>
    <w:rsid w:val="00EB2BB6"/>
    <w:rsid w:val="00EB2C37"/>
    <w:rsid w:val="00EB2C94"/>
    <w:rsid w:val="00EB2D0D"/>
    <w:rsid w:val="00EB2D1C"/>
    <w:rsid w:val="00EB2EAD"/>
    <w:rsid w:val="00EB2EEF"/>
    <w:rsid w:val="00EB2F68"/>
    <w:rsid w:val="00EB2F7F"/>
    <w:rsid w:val="00EB2F96"/>
    <w:rsid w:val="00EB2FFF"/>
    <w:rsid w:val="00EB300A"/>
    <w:rsid w:val="00EB3021"/>
    <w:rsid w:val="00EB303C"/>
    <w:rsid w:val="00EB308D"/>
    <w:rsid w:val="00EB313A"/>
    <w:rsid w:val="00EB31D7"/>
    <w:rsid w:val="00EB32B8"/>
    <w:rsid w:val="00EB33D1"/>
    <w:rsid w:val="00EB33DE"/>
    <w:rsid w:val="00EB3440"/>
    <w:rsid w:val="00EB3463"/>
    <w:rsid w:val="00EB34D5"/>
    <w:rsid w:val="00EB35DB"/>
    <w:rsid w:val="00EB3785"/>
    <w:rsid w:val="00EB37BA"/>
    <w:rsid w:val="00EB384C"/>
    <w:rsid w:val="00EB388F"/>
    <w:rsid w:val="00EB397B"/>
    <w:rsid w:val="00EB399F"/>
    <w:rsid w:val="00EB3A2E"/>
    <w:rsid w:val="00EB3A91"/>
    <w:rsid w:val="00EB3B95"/>
    <w:rsid w:val="00EB3CB6"/>
    <w:rsid w:val="00EB3CEC"/>
    <w:rsid w:val="00EB3D4A"/>
    <w:rsid w:val="00EB3D88"/>
    <w:rsid w:val="00EB3E1A"/>
    <w:rsid w:val="00EB3E75"/>
    <w:rsid w:val="00EB3EE5"/>
    <w:rsid w:val="00EB3F00"/>
    <w:rsid w:val="00EB3F27"/>
    <w:rsid w:val="00EB401E"/>
    <w:rsid w:val="00EB4022"/>
    <w:rsid w:val="00EB40D4"/>
    <w:rsid w:val="00EB40DB"/>
    <w:rsid w:val="00EB4171"/>
    <w:rsid w:val="00EB41C4"/>
    <w:rsid w:val="00EB4218"/>
    <w:rsid w:val="00EB4359"/>
    <w:rsid w:val="00EB441D"/>
    <w:rsid w:val="00EB45CE"/>
    <w:rsid w:val="00EB45E1"/>
    <w:rsid w:val="00EB4628"/>
    <w:rsid w:val="00EB4683"/>
    <w:rsid w:val="00EB46B8"/>
    <w:rsid w:val="00EB4835"/>
    <w:rsid w:val="00EB48BA"/>
    <w:rsid w:val="00EB4A15"/>
    <w:rsid w:val="00EB4A86"/>
    <w:rsid w:val="00EB4AFF"/>
    <w:rsid w:val="00EB4B0B"/>
    <w:rsid w:val="00EB4B0C"/>
    <w:rsid w:val="00EB4B31"/>
    <w:rsid w:val="00EB4B45"/>
    <w:rsid w:val="00EB4CA2"/>
    <w:rsid w:val="00EB4CB4"/>
    <w:rsid w:val="00EB4D4D"/>
    <w:rsid w:val="00EB4F5C"/>
    <w:rsid w:val="00EB4F85"/>
    <w:rsid w:val="00EB4FA0"/>
    <w:rsid w:val="00EB5190"/>
    <w:rsid w:val="00EB5211"/>
    <w:rsid w:val="00EB524D"/>
    <w:rsid w:val="00EB52CC"/>
    <w:rsid w:val="00EB5301"/>
    <w:rsid w:val="00EB536D"/>
    <w:rsid w:val="00EB5383"/>
    <w:rsid w:val="00EB5395"/>
    <w:rsid w:val="00EB53F9"/>
    <w:rsid w:val="00EB542D"/>
    <w:rsid w:val="00EB5473"/>
    <w:rsid w:val="00EB5475"/>
    <w:rsid w:val="00EB5555"/>
    <w:rsid w:val="00EB55B4"/>
    <w:rsid w:val="00EB55B6"/>
    <w:rsid w:val="00EB561B"/>
    <w:rsid w:val="00EB56EE"/>
    <w:rsid w:val="00EB5816"/>
    <w:rsid w:val="00EB58A6"/>
    <w:rsid w:val="00EB58EE"/>
    <w:rsid w:val="00EB5942"/>
    <w:rsid w:val="00EB59A3"/>
    <w:rsid w:val="00EB5A22"/>
    <w:rsid w:val="00EB5A55"/>
    <w:rsid w:val="00EB5A57"/>
    <w:rsid w:val="00EB5ADA"/>
    <w:rsid w:val="00EB5B5A"/>
    <w:rsid w:val="00EB5BE9"/>
    <w:rsid w:val="00EB5C0F"/>
    <w:rsid w:val="00EB5CB0"/>
    <w:rsid w:val="00EB5CC1"/>
    <w:rsid w:val="00EB5CEC"/>
    <w:rsid w:val="00EB5D43"/>
    <w:rsid w:val="00EB5D63"/>
    <w:rsid w:val="00EB5D6D"/>
    <w:rsid w:val="00EB5DF3"/>
    <w:rsid w:val="00EB5E22"/>
    <w:rsid w:val="00EB5EA5"/>
    <w:rsid w:val="00EB5EF1"/>
    <w:rsid w:val="00EB5F73"/>
    <w:rsid w:val="00EB5F77"/>
    <w:rsid w:val="00EB5F82"/>
    <w:rsid w:val="00EB5F9C"/>
    <w:rsid w:val="00EB6084"/>
    <w:rsid w:val="00EB6100"/>
    <w:rsid w:val="00EB613E"/>
    <w:rsid w:val="00EB6153"/>
    <w:rsid w:val="00EB615B"/>
    <w:rsid w:val="00EB61FF"/>
    <w:rsid w:val="00EB62E5"/>
    <w:rsid w:val="00EB62F0"/>
    <w:rsid w:val="00EB6364"/>
    <w:rsid w:val="00EB6378"/>
    <w:rsid w:val="00EB6396"/>
    <w:rsid w:val="00EB6423"/>
    <w:rsid w:val="00EB64DF"/>
    <w:rsid w:val="00EB6688"/>
    <w:rsid w:val="00EB67BA"/>
    <w:rsid w:val="00EB67C1"/>
    <w:rsid w:val="00EB6878"/>
    <w:rsid w:val="00EB69B2"/>
    <w:rsid w:val="00EB69DB"/>
    <w:rsid w:val="00EB6A8D"/>
    <w:rsid w:val="00EB6AC9"/>
    <w:rsid w:val="00EB6AF7"/>
    <w:rsid w:val="00EB6B27"/>
    <w:rsid w:val="00EB6C75"/>
    <w:rsid w:val="00EB6CCC"/>
    <w:rsid w:val="00EB6F03"/>
    <w:rsid w:val="00EB6F22"/>
    <w:rsid w:val="00EB6FBE"/>
    <w:rsid w:val="00EB7032"/>
    <w:rsid w:val="00EB70A9"/>
    <w:rsid w:val="00EB70DA"/>
    <w:rsid w:val="00EB7104"/>
    <w:rsid w:val="00EB7145"/>
    <w:rsid w:val="00EB718C"/>
    <w:rsid w:val="00EB71CB"/>
    <w:rsid w:val="00EB728C"/>
    <w:rsid w:val="00EB73AB"/>
    <w:rsid w:val="00EB7434"/>
    <w:rsid w:val="00EB7485"/>
    <w:rsid w:val="00EB74C8"/>
    <w:rsid w:val="00EB7508"/>
    <w:rsid w:val="00EB7578"/>
    <w:rsid w:val="00EB75AC"/>
    <w:rsid w:val="00EB75D0"/>
    <w:rsid w:val="00EB75E6"/>
    <w:rsid w:val="00EB75F1"/>
    <w:rsid w:val="00EB7670"/>
    <w:rsid w:val="00EB76C5"/>
    <w:rsid w:val="00EB76EB"/>
    <w:rsid w:val="00EB7742"/>
    <w:rsid w:val="00EB77D6"/>
    <w:rsid w:val="00EB7882"/>
    <w:rsid w:val="00EB789E"/>
    <w:rsid w:val="00EB78B6"/>
    <w:rsid w:val="00EB7976"/>
    <w:rsid w:val="00EB79BB"/>
    <w:rsid w:val="00EB79E7"/>
    <w:rsid w:val="00EB7A13"/>
    <w:rsid w:val="00EB7B51"/>
    <w:rsid w:val="00EB7B97"/>
    <w:rsid w:val="00EB7BA9"/>
    <w:rsid w:val="00EB7BC9"/>
    <w:rsid w:val="00EB7BEB"/>
    <w:rsid w:val="00EB7C0D"/>
    <w:rsid w:val="00EB7C9C"/>
    <w:rsid w:val="00EB7D69"/>
    <w:rsid w:val="00EB7E27"/>
    <w:rsid w:val="00EB7F18"/>
    <w:rsid w:val="00EB7F65"/>
    <w:rsid w:val="00EC0019"/>
    <w:rsid w:val="00EC0139"/>
    <w:rsid w:val="00EC01B8"/>
    <w:rsid w:val="00EC0233"/>
    <w:rsid w:val="00EC02AE"/>
    <w:rsid w:val="00EC032D"/>
    <w:rsid w:val="00EC037D"/>
    <w:rsid w:val="00EC0449"/>
    <w:rsid w:val="00EC04E9"/>
    <w:rsid w:val="00EC0600"/>
    <w:rsid w:val="00EC062F"/>
    <w:rsid w:val="00EC06CE"/>
    <w:rsid w:val="00EC0725"/>
    <w:rsid w:val="00EC07F7"/>
    <w:rsid w:val="00EC08C4"/>
    <w:rsid w:val="00EC08CB"/>
    <w:rsid w:val="00EC0905"/>
    <w:rsid w:val="00EC09D1"/>
    <w:rsid w:val="00EC0AE7"/>
    <w:rsid w:val="00EC0B14"/>
    <w:rsid w:val="00EC0BB3"/>
    <w:rsid w:val="00EC0C20"/>
    <w:rsid w:val="00EC0CAE"/>
    <w:rsid w:val="00EC0CE6"/>
    <w:rsid w:val="00EC0D32"/>
    <w:rsid w:val="00EC0D6A"/>
    <w:rsid w:val="00EC0E4C"/>
    <w:rsid w:val="00EC1184"/>
    <w:rsid w:val="00EC1201"/>
    <w:rsid w:val="00EC12A4"/>
    <w:rsid w:val="00EC12BD"/>
    <w:rsid w:val="00EC12C4"/>
    <w:rsid w:val="00EC132A"/>
    <w:rsid w:val="00EC1342"/>
    <w:rsid w:val="00EC13DC"/>
    <w:rsid w:val="00EC1452"/>
    <w:rsid w:val="00EC14F0"/>
    <w:rsid w:val="00EC1651"/>
    <w:rsid w:val="00EC177E"/>
    <w:rsid w:val="00EC18D1"/>
    <w:rsid w:val="00EC1979"/>
    <w:rsid w:val="00EC19CC"/>
    <w:rsid w:val="00EC1AB4"/>
    <w:rsid w:val="00EC1BCC"/>
    <w:rsid w:val="00EC1C20"/>
    <w:rsid w:val="00EC1C31"/>
    <w:rsid w:val="00EC1C56"/>
    <w:rsid w:val="00EC1D22"/>
    <w:rsid w:val="00EC1DC1"/>
    <w:rsid w:val="00EC1DE0"/>
    <w:rsid w:val="00EC1E0E"/>
    <w:rsid w:val="00EC1E46"/>
    <w:rsid w:val="00EC1F51"/>
    <w:rsid w:val="00EC2014"/>
    <w:rsid w:val="00EC2097"/>
    <w:rsid w:val="00EC20D1"/>
    <w:rsid w:val="00EC20E1"/>
    <w:rsid w:val="00EC22C0"/>
    <w:rsid w:val="00EC236D"/>
    <w:rsid w:val="00EC239B"/>
    <w:rsid w:val="00EC2417"/>
    <w:rsid w:val="00EC244F"/>
    <w:rsid w:val="00EC2469"/>
    <w:rsid w:val="00EC2488"/>
    <w:rsid w:val="00EC24A2"/>
    <w:rsid w:val="00EC2696"/>
    <w:rsid w:val="00EC26E2"/>
    <w:rsid w:val="00EC279D"/>
    <w:rsid w:val="00EC27BF"/>
    <w:rsid w:val="00EC2828"/>
    <w:rsid w:val="00EC284D"/>
    <w:rsid w:val="00EC285C"/>
    <w:rsid w:val="00EC2929"/>
    <w:rsid w:val="00EC2941"/>
    <w:rsid w:val="00EC297B"/>
    <w:rsid w:val="00EC298B"/>
    <w:rsid w:val="00EC29DC"/>
    <w:rsid w:val="00EC29FB"/>
    <w:rsid w:val="00EC2A17"/>
    <w:rsid w:val="00EC2AD4"/>
    <w:rsid w:val="00EC2AF2"/>
    <w:rsid w:val="00EC2B8E"/>
    <w:rsid w:val="00EC2BB3"/>
    <w:rsid w:val="00EC2D1F"/>
    <w:rsid w:val="00EC2D26"/>
    <w:rsid w:val="00EC2E2F"/>
    <w:rsid w:val="00EC2E6A"/>
    <w:rsid w:val="00EC2EAF"/>
    <w:rsid w:val="00EC3101"/>
    <w:rsid w:val="00EC314D"/>
    <w:rsid w:val="00EC32AA"/>
    <w:rsid w:val="00EC338A"/>
    <w:rsid w:val="00EC33BF"/>
    <w:rsid w:val="00EC3501"/>
    <w:rsid w:val="00EC3565"/>
    <w:rsid w:val="00EC35E4"/>
    <w:rsid w:val="00EC368D"/>
    <w:rsid w:val="00EC36A6"/>
    <w:rsid w:val="00EC36EF"/>
    <w:rsid w:val="00EC3730"/>
    <w:rsid w:val="00EC37FE"/>
    <w:rsid w:val="00EC381B"/>
    <w:rsid w:val="00EC382C"/>
    <w:rsid w:val="00EC3865"/>
    <w:rsid w:val="00EC38D5"/>
    <w:rsid w:val="00EC394C"/>
    <w:rsid w:val="00EC3BB0"/>
    <w:rsid w:val="00EC3C70"/>
    <w:rsid w:val="00EC3C80"/>
    <w:rsid w:val="00EC3D6C"/>
    <w:rsid w:val="00EC3D8B"/>
    <w:rsid w:val="00EC3DD1"/>
    <w:rsid w:val="00EC3EE2"/>
    <w:rsid w:val="00EC3EE8"/>
    <w:rsid w:val="00EC40F0"/>
    <w:rsid w:val="00EC41AD"/>
    <w:rsid w:val="00EC41F3"/>
    <w:rsid w:val="00EC4211"/>
    <w:rsid w:val="00EC422B"/>
    <w:rsid w:val="00EC42E8"/>
    <w:rsid w:val="00EC4503"/>
    <w:rsid w:val="00EC455F"/>
    <w:rsid w:val="00EC456E"/>
    <w:rsid w:val="00EC4577"/>
    <w:rsid w:val="00EC45B0"/>
    <w:rsid w:val="00EC45FF"/>
    <w:rsid w:val="00EC461D"/>
    <w:rsid w:val="00EC4768"/>
    <w:rsid w:val="00EC480E"/>
    <w:rsid w:val="00EC4966"/>
    <w:rsid w:val="00EC4B35"/>
    <w:rsid w:val="00EC4BF7"/>
    <w:rsid w:val="00EC4C8A"/>
    <w:rsid w:val="00EC4CD4"/>
    <w:rsid w:val="00EC4D87"/>
    <w:rsid w:val="00EC4E17"/>
    <w:rsid w:val="00EC4E4E"/>
    <w:rsid w:val="00EC4F2D"/>
    <w:rsid w:val="00EC4F30"/>
    <w:rsid w:val="00EC4FB2"/>
    <w:rsid w:val="00EC5009"/>
    <w:rsid w:val="00EC5018"/>
    <w:rsid w:val="00EC5223"/>
    <w:rsid w:val="00EC5232"/>
    <w:rsid w:val="00EC53D1"/>
    <w:rsid w:val="00EC54D4"/>
    <w:rsid w:val="00EC54E2"/>
    <w:rsid w:val="00EC54EB"/>
    <w:rsid w:val="00EC55B2"/>
    <w:rsid w:val="00EC5604"/>
    <w:rsid w:val="00EC5673"/>
    <w:rsid w:val="00EC5676"/>
    <w:rsid w:val="00EC572E"/>
    <w:rsid w:val="00EC576B"/>
    <w:rsid w:val="00EC57D3"/>
    <w:rsid w:val="00EC589F"/>
    <w:rsid w:val="00EC5959"/>
    <w:rsid w:val="00EC597C"/>
    <w:rsid w:val="00EC5A0A"/>
    <w:rsid w:val="00EC5B5A"/>
    <w:rsid w:val="00EC5C03"/>
    <w:rsid w:val="00EC5C64"/>
    <w:rsid w:val="00EC5CA3"/>
    <w:rsid w:val="00EC5E95"/>
    <w:rsid w:val="00EC5F6B"/>
    <w:rsid w:val="00EC6181"/>
    <w:rsid w:val="00EC6190"/>
    <w:rsid w:val="00EC61B5"/>
    <w:rsid w:val="00EC61D4"/>
    <w:rsid w:val="00EC62FE"/>
    <w:rsid w:val="00EC6322"/>
    <w:rsid w:val="00EC63FC"/>
    <w:rsid w:val="00EC6413"/>
    <w:rsid w:val="00EC64A3"/>
    <w:rsid w:val="00EC654D"/>
    <w:rsid w:val="00EC6579"/>
    <w:rsid w:val="00EC66D2"/>
    <w:rsid w:val="00EC6739"/>
    <w:rsid w:val="00EC676C"/>
    <w:rsid w:val="00EC67C0"/>
    <w:rsid w:val="00EC6814"/>
    <w:rsid w:val="00EC686A"/>
    <w:rsid w:val="00EC69A6"/>
    <w:rsid w:val="00EC6B16"/>
    <w:rsid w:val="00EC6B44"/>
    <w:rsid w:val="00EC6BBC"/>
    <w:rsid w:val="00EC6C3D"/>
    <w:rsid w:val="00EC6CED"/>
    <w:rsid w:val="00EC6D96"/>
    <w:rsid w:val="00EC6E10"/>
    <w:rsid w:val="00EC6EE2"/>
    <w:rsid w:val="00EC6F91"/>
    <w:rsid w:val="00EC7018"/>
    <w:rsid w:val="00EC702D"/>
    <w:rsid w:val="00EC70DB"/>
    <w:rsid w:val="00EC7105"/>
    <w:rsid w:val="00EC712A"/>
    <w:rsid w:val="00EC7159"/>
    <w:rsid w:val="00EC7260"/>
    <w:rsid w:val="00EC72E1"/>
    <w:rsid w:val="00EC7318"/>
    <w:rsid w:val="00EC7357"/>
    <w:rsid w:val="00EC7379"/>
    <w:rsid w:val="00EC73AB"/>
    <w:rsid w:val="00EC73B3"/>
    <w:rsid w:val="00EC7433"/>
    <w:rsid w:val="00EC7501"/>
    <w:rsid w:val="00EC7557"/>
    <w:rsid w:val="00EC75E5"/>
    <w:rsid w:val="00EC75F2"/>
    <w:rsid w:val="00EC76F1"/>
    <w:rsid w:val="00EC774C"/>
    <w:rsid w:val="00EC7762"/>
    <w:rsid w:val="00EC7786"/>
    <w:rsid w:val="00EC77CD"/>
    <w:rsid w:val="00EC7850"/>
    <w:rsid w:val="00EC7888"/>
    <w:rsid w:val="00EC788A"/>
    <w:rsid w:val="00EC78DA"/>
    <w:rsid w:val="00EC7989"/>
    <w:rsid w:val="00EC7A19"/>
    <w:rsid w:val="00EC7A1A"/>
    <w:rsid w:val="00EC7B32"/>
    <w:rsid w:val="00EC7BA6"/>
    <w:rsid w:val="00EC7C04"/>
    <w:rsid w:val="00EC7C63"/>
    <w:rsid w:val="00EC7CEB"/>
    <w:rsid w:val="00EC7D67"/>
    <w:rsid w:val="00EC7D6A"/>
    <w:rsid w:val="00EC7E37"/>
    <w:rsid w:val="00EC7E96"/>
    <w:rsid w:val="00EC7F7D"/>
    <w:rsid w:val="00EC7F91"/>
    <w:rsid w:val="00EC7F92"/>
    <w:rsid w:val="00EC7FC2"/>
    <w:rsid w:val="00EC7FD4"/>
    <w:rsid w:val="00EC7FE5"/>
    <w:rsid w:val="00ED0023"/>
    <w:rsid w:val="00ED0064"/>
    <w:rsid w:val="00ED00AD"/>
    <w:rsid w:val="00ED00D1"/>
    <w:rsid w:val="00ED03BE"/>
    <w:rsid w:val="00ED0486"/>
    <w:rsid w:val="00ED0492"/>
    <w:rsid w:val="00ED0497"/>
    <w:rsid w:val="00ED04DF"/>
    <w:rsid w:val="00ED0579"/>
    <w:rsid w:val="00ED0586"/>
    <w:rsid w:val="00ED058B"/>
    <w:rsid w:val="00ED05C0"/>
    <w:rsid w:val="00ED05F3"/>
    <w:rsid w:val="00ED0722"/>
    <w:rsid w:val="00ED0739"/>
    <w:rsid w:val="00ED074E"/>
    <w:rsid w:val="00ED075C"/>
    <w:rsid w:val="00ED07B9"/>
    <w:rsid w:val="00ED0819"/>
    <w:rsid w:val="00ED08BD"/>
    <w:rsid w:val="00ED09BA"/>
    <w:rsid w:val="00ED09F1"/>
    <w:rsid w:val="00ED0A95"/>
    <w:rsid w:val="00ED0BE6"/>
    <w:rsid w:val="00ED0C54"/>
    <w:rsid w:val="00ED0C89"/>
    <w:rsid w:val="00ED0CFA"/>
    <w:rsid w:val="00ED0DB3"/>
    <w:rsid w:val="00ED0E17"/>
    <w:rsid w:val="00ED0EA8"/>
    <w:rsid w:val="00ED0EDC"/>
    <w:rsid w:val="00ED0FF2"/>
    <w:rsid w:val="00ED1009"/>
    <w:rsid w:val="00ED10E0"/>
    <w:rsid w:val="00ED1110"/>
    <w:rsid w:val="00ED1152"/>
    <w:rsid w:val="00ED1196"/>
    <w:rsid w:val="00ED120C"/>
    <w:rsid w:val="00ED1220"/>
    <w:rsid w:val="00ED1247"/>
    <w:rsid w:val="00ED13B8"/>
    <w:rsid w:val="00ED13E4"/>
    <w:rsid w:val="00ED140F"/>
    <w:rsid w:val="00ED141D"/>
    <w:rsid w:val="00ED141F"/>
    <w:rsid w:val="00ED14A1"/>
    <w:rsid w:val="00ED14C9"/>
    <w:rsid w:val="00ED153E"/>
    <w:rsid w:val="00ED167B"/>
    <w:rsid w:val="00ED168F"/>
    <w:rsid w:val="00ED169F"/>
    <w:rsid w:val="00ED16F9"/>
    <w:rsid w:val="00ED173B"/>
    <w:rsid w:val="00ED1779"/>
    <w:rsid w:val="00ED17FD"/>
    <w:rsid w:val="00ED19B1"/>
    <w:rsid w:val="00ED1A37"/>
    <w:rsid w:val="00ED1A49"/>
    <w:rsid w:val="00ED1A8E"/>
    <w:rsid w:val="00ED1AEC"/>
    <w:rsid w:val="00ED1B6D"/>
    <w:rsid w:val="00ED1BC4"/>
    <w:rsid w:val="00ED1BDD"/>
    <w:rsid w:val="00ED1C2A"/>
    <w:rsid w:val="00ED1D35"/>
    <w:rsid w:val="00ED1DA9"/>
    <w:rsid w:val="00ED1DD7"/>
    <w:rsid w:val="00ED1E95"/>
    <w:rsid w:val="00ED1EA4"/>
    <w:rsid w:val="00ED1EBC"/>
    <w:rsid w:val="00ED1ECB"/>
    <w:rsid w:val="00ED1EE2"/>
    <w:rsid w:val="00ED20A2"/>
    <w:rsid w:val="00ED20A8"/>
    <w:rsid w:val="00ED20E4"/>
    <w:rsid w:val="00ED2137"/>
    <w:rsid w:val="00ED2151"/>
    <w:rsid w:val="00ED221E"/>
    <w:rsid w:val="00ED222B"/>
    <w:rsid w:val="00ED229E"/>
    <w:rsid w:val="00ED22B2"/>
    <w:rsid w:val="00ED22D7"/>
    <w:rsid w:val="00ED2347"/>
    <w:rsid w:val="00ED23AD"/>
    <w:rsid w:val="00ED2406"/>
    <w:rsid w:val="00ED24D8"/>
    <w:rsid w:val="00ED251E"/>
    <w:rsid w:val="00ED257C"/>
    <w:rsid w:val="00ED2644"/>
    <w:rsid w:val="00ED2673"/>
    <w:rsid w:val="00ED26BD"/>
    <w:rsid w:val="00ED26D3"/>
    <w:rsid w:val="00ED26EE"/>
    <w:rsid w:val="00ED274D"/>
    <w:rsid w:val="00ED27CC"/>
    <w:rsid w:val="00ED289F"/>
    <w:rsid w:val="00ED28FB"/>
    <w:rsid w:val="00ED2914"/>
    <w:rsid w:val="00ED29E2"/>
    <w:rsid w:val="00ED2A3E"/>
    <w:rsid w:val="00ED2A8D"/>
    <w:rsid w:val="00ED2A93"/>
    <w:rsid w:val="00ED2B05"/>
    <w:rsid w:val="00ED2CC9"/>
    <w:rsid w:val="00ED2CDA"/>
    <w:rsid w:val="00ED2CF1"/>
    <w:rsid w:val="00ED2D62"/>
    <w:rsid w:val="00ED2F01"/>
    <w:rsid w:val="00ED2F8C"/>
    <w:rsid w:val="00ED3008"/>
    <w:rsid w:val="00ED30CE"/>
    <w:rsid w:val="00ED3127"/>
    <w:rsid w:val="00ED3187"/>
    <w:rsid w:val="00ED31CE"/>
    <w:rsid w:val="00ED31DA"/>
    <w:rsid w:val="00ED3288"/>
    <w:rsid w:val="00ED331D"/>
    <w:rsid w:val="00ED3401"/>
    <w:rsid w:val="00ED349B"/>
    <w:rsid w:val="00ED34A6"/>
    <w:rsid w:val="00ED3528"/>
    <w:rsid w:val="00ED356C"/>
    <w:rsid w:val="00ED35E7"/>
    <w:rsid w:val="00ED36F1"/>
    <w:rsid w:val="00ED37E7"/>
    <w:rsid w:val="00ED387B"/>
    <w:rsid w:val="00ED38E4"/>
    <w:rsid w:val="00ED39A6"/>
    <w:rsid w:val="00ED3A71"/>
    <w:rsid w:val="00ED3A98"/>
    <w:rsid w:val="00ED3BF5"/>
    <w:rsid w:val="00ED3C9E"/>
    <w:rsid w:val="00ED3CD5"/>
    <w:rsid w:val="00ED3CF1"/>
    <w:rsid w:val="00ED3D59"/>
    <w:rsid w:val="00ED3DA4"/>
    <w:rsid w:val="00ED3EBE"/>
    <w:rsid w:val="00ED3EEB"/>
    <w:rsid w:val="00ED400F"/>
    <w:rsid w:val="00ED4058"/>
    <w:rsid w:val="00ED40BA"/>
    <w:rsid w:val="00ED40DA"/>
    <w:rsid w:val="00ED40F9"/>
    <w:rsid w:val="00ED4179"/>
    <w:rsid w:val="00ED41AE"/>
    <w:rsid w:val="00ED43D8"/>
    <w:rsid w:val="00ED43EC"/>
    <w:rsid w:val="00ED4439"/>
    <w:rsid w:val="00ED445E"/>
    <w:rsid w:val="00ED4465"/>
    <w:rsid w:val="00ED4468"/>
    <w:rsid w:val="00ED446A"/>
    <w:rsid w:val="00ED44A9"/>
    <w:rsid w:val="00ED44E5"/>
    <w:rsid w:val="00ED44F5"/>
    <w:rsid w:val="00ED453A"/>
    <w:rsid w:val="00ED4606"/>
    <w:rsid w:val="00ED460B"/>
    <w:rsid w:val="00ED4759"/>
    <w:rsid w:val="00ED47F7"/>
    <w:rsid w:val="00ED4868"/>
    <w:rsid w:val="00ED48A2"/>
    <w:rsid w:val="00ED4935"/>
    <w:rsid w:val="00ED4ACC"/>
    <w:rsid w:val="00ED4BE5"/>
    <w:rsid w:val="00ED4C69"/>
    <w:rsid w:val="00ED4D32"/>
    <w:rsid w:val="00ED4D63"/>
    <w:rsid w:val="00ED4E2A"/>
    <w:rsid w:val="00ED4E75"/>
    <w:rsid w:val="00ED4E7F"/>
    <w:rsid w:val="00ED4ED9"/>
    <w:rsid w:val="00ED4F99"/>
    <w:rsid w:val="00ED50AC"/>
    <w:rsid w:val="00ED50FA"/>
    <w:rsid w:val="00ED5106"/>
    <w:rsid w:val="00ED5178"/>
    <w:rsid w:val="00ED51A6"/>
    <w:rsid w:val="00ED5218"/>
    <w:rsid w:val="00ED52E1"/>
    <w:rsid w:val="00ED530B"/>
    <w:rsid w:val="00ED53C8"/>
    <w:rsid w:val="00ED544F"/>
    <w:rsid w:val="00ED54A0"/>
    <w:rsid w:val="00ED54CF"/>
    <w:rsid w:val="00ED56BF"/>
    <w:rsid w:val="00ED572E"/>
    <w:rsid w:val="00ED586C"/>
    <w:rsid w:val="00ED5907"/>
    <w:rsid w:val="00ED5959"/>
    <w:rsid w:val="00ED59AF"/>
    <w:rsid w:val="00ED5A20"/>
    <w:rsid w:val="00ED5A2E"/>
    <w:rsid w:val="00ED5B62"/>
    <w:rsid w:val="00ED5C3F"/>
    <w:rsid w:val="00ED5C81"/>
    <w:rsid w:val="00ED5C8B"/>
    <w:rsid w:val="00ED5CDF"/>
    <w:rsid w:val="00ED5D37"/>
    <w:rsid w:val="00ED5E07"/>
    <w:rsid w:val="00ED5E42"/>
    <w:rsid w:val="00ED5EEC"/>
    <w:rsid w:val="00ED5F99"/>
    <w:rsid w:val="00ED5FA6"/>
    <w:rsid w:val="00ED60F2"/>
    <w:rsid w:val="00ED6199"/>
    <w:rsid w:val="00ED61A3"/>
    <w:rsid w:val="00ED61A8"/>
    <w:rsid w:val="00ED6325"/>
    <w:rsid w:val="00ED63BB"/>
    <w:rsid w:val="00ED6414"/>
    <w:rsid w:val="00ED6447"/>
    <w:rsid w:val="00ED645E"/>
    <w:rsid w:val="00ED64F5"/>
    <w:rsid w:val="00ED6620"/>
    <w:rsid w:val="00ED66A7"/>
    <w:rsid w:val="00ED66B6"/>
    <w:rsid w:val="00ED685B"/>
    <w:rsid w:val="00ED689F"/>
    <w:rsid w:val="00ED68A0"/>
    <w:rsid w:val="00ED68C4"/>
    <w:rsid w:val="00ED68CC"/>
    <w:rsid w:val="00ED6907"/>
    <w:rsid w:val="00ED6921"/>
    <w:rsid w:val="00ED6926"/>
    <w:rsid w:val="00ED6981"/>
    <w:rsid w:val="00ED6A10"/>
    <w:rsid w:val="00ED6A53"/>
    <w:rsid w:val="00ED6A87"/>
    <w:rsid w:val="00ED6B20"/>
    <w:rsid w:val="00ED6D8B"/>
    <w:rsid w:val="00ED6E85"/>
    <w:rsid w:val="00ED6EAD"/>
    <w:rsid w:val="00ED6EB5"/>
    <w:rsid w:val="00ED6F17"/>
    <w:rsid w:val="00ED6F3A"/>
    <w:rsid w:val="00ED6F6A"/>
    <w:rsid w:val="00ED6F71"/>
    <w:rsid w:val="00ED700C"/>
    <w:rsid w:val="00ED703B"/>
    <w:rsid w:val="00ED7239"/>
    <w:rsid w:val="00ED72DE"/>
    <w:rsid w:val="00ED732F"/>
    <w:rsid w:val="00ED74DA"/>
    <w:rsid w:val="00ED75EA"/>
    <w:rsid w:val="00ED76D8"/>
    <w:rsid w:val="00ED787D"/>
    <w:rsid w:val="00ED78BA"/>
    <w:rsid w:val="00ED78EC"/>
    <w:rsid w:val="00ED78F3"/>
    <w:rsid w:val="00ED7992"/>
    <w:rsid w:val="00ED79CB"/>
    <w:rsid w:val="00ED7A37"/>
    <w:rsid w:val="00ED7AB5"/>
    <w:rsid w:val="00ED7B1D"/>
    <w:rsid w:val="00ED7B24"/>
    <w:rsid w:val="00ED7B42"/>
    <w:rsid w:val="00ED7BD8"/>
    <w:rsid w:val="00ED7C78"/>
    <w:rsid w:val="00ED7CA6"/>
    <w:rsid w:val="00ED7CE5"/>
    <w:rsid w:val="00ED7F28"/>
    <w:rsid w:val="00ED7FB2"/>
    <w:rsid w:val="00EE0000"/>
    <w:rsid w:val="00EE00CA"/>
    <w:rsid w:val="00EE00CE"/>
    <w:rsid w:val="00EE0122"/>
    <w:rsid w:val="00EE02AD"/>
    <w:rsid w:val="00EE0378"/>
    <w:rsid w:val="00EE037A"/>
    <w:rsid w:val="00EE0393"/>
    <w:rsid w:val="00EE0449"/>
    <w:rsid w:val="00EE04C4"/>
    <w:rsid w:val="00EE0584"/>
    <w:rsid w:val="00EE0628"/>
    <w:rsid w:val="00EE0649"/>
    <w:rsid w:val="00EE0763"/>
    <w:rsid w:val="00EE07E3"/>
    <w:rsid w:val="00EE08C2"/>
    <w:rsid w:val="00EE08C4"/>
    <w:rsid w:val="00EE094B"/>
    <w:rsid w:val="00EE0A65"/>
    <w:rsid w:val="00EE0ADA"/>
    <w:rsid w:val="00EE0B19"/>
    <w:rsid w:val="00EE0B3A"/>
    <w:rsid w:val="00EE0B41"/>
    <w:rsid w:val="00EE0C5D"/>
    <w:rsid w:val="00EE0C6B"/>
    <w:rsid w:val="00EE0C7B"/>
    <w:rsid w:val="00EE0CC8"/>
    <w:rsid w:val="00EE0CCF"/>
    <w:rsid w:val="00EE0D97"/>
    <w:rsid w:val="00EE0DAD"/>
    <w:rsid w:val="00EE0E6F"/>
    <w:rsid w:val="00EE0E98"/>
    <w:rsid w:val="00EE0ED2"/>
    <w:rsid w:val="00EE0EE7"/>
    <w:rsid w:val="00EE0F2D"/>
    <w:rsid w:val="00EE0F52"/>
    <w:rsid w:val="00EE0FAB"/>
    <w:rsid w:val="00EE0FB9"/>
    <w:rsid w:val="00EE104D"/>
    <w:rsid w:val="00EE105D"/>
    <w:rsid w:val="00EE109E"/>
    <w:rsid w:val="00EE10B5"/>
    <w:rsid w:val="00EE10C5"/>
    <w:rsid w:val="00EE1104"/>
    <w:rsid w:val="00EE112A"/>
    <w:rsid w:val="00EE1187"/>
    <w:rsid w:val="00EE11B1"/>
    <w:rsid w:val="00EE11C1"/>
    <w:rsid w:val="00EE12E4"/>
    <w:rsid w:val="00EE13E2"/>
    <w:rsid w:val="00EE140B"/>
    <w:rsid w:val="00EE1447"/>
    <w:rsid w:val="00EE14BB"/>
    <w:rsid w:val="00EE14DC"/>
    <w:rsid w:val="00EE1506"/>
    <w:rsid w:val="00EE154B"/>
    <w:rsid w:val="00EE1599"/>
    <w:rsid w:val="00EE1747"/>
    <w:rsid w:val="00EE179A"/>
    <w:rsid w:val="00EE17E3"/>
    <w:rsid w:val="00EE17EA"/>
    <w:rsid w:val="00EE18A6"/>
    <w:rsid w:val="00EE1A48"/>
    <w:rsid w:val="00EE1A53"/>
    <w:rsid w:val="00EE1A6D"/>
    <w:rsid w:val="00EE1BF1"/>
    <w:rsid w:val="00EE1C1E"/>
    <w:rsid w:val="00EE1CDB"/>
    <w:rsid w:val="00EE1D7D"/>
    <w:rsid w:val="00EE1D7F"/>
    <w:rsid w:val="00EE1DBE"/>
    <w:rsid w:val="00EE1F15"/>
    <w:rsid w:val="00EE1F5C"/>
    <w:rsid w:val="00EE2066"/>
    <w:rsid w:val="00EE2122"/>
    <w:rsid w:val="00EE21D3"/>
    <w:rsid w:val="00EE221A"/>
    <w:rsid w:val="00EE2377"/>
    <w:rsid w:val="00EE23C7"/>
    <w:rsid w:val="00EE23F2"/>
    <w:rsid w:val="00EE23F4"/>
    <w:rsid w:val="00EE243B"/>
    <w:rsid w:val="00EE246C"/>
    <w:rsid w:val="00EE2485"/>
    <w:rsid w:val="00EE252C"/>
    <w:rsid w:val="00EE258C"/>
    <w:rsid w:val="00EE26FD"/>
    <w:rsid w:val="00EE2730"/>
    <w:rsid w:val="00EE278A"/>
    <w:rsid w:val="00EE288A"/>
    <w:rsid w:val="00EE28FA"/>
    <w:rsid w:val="00EE29D8"/>
    <w:rsid w:val="00EE2AA9"/>
    <w:rsid w:val="00EE2AB9"/>
    <w:rsid w:val="00EE2ABC"/>
    <w:rsid w:val="00EE2ABD"/>
    <w:rsid w:val="00EE2AF2"/>
    <w:rsid w:val="00EE2B00"/>
    <w:rsid w:val="00EE2BDC"/>
    <w:rsid w:val="00EE2C04"/>
    <w:rsid w:val="00EE2C4A"/>
    <w:rsid w:val="00EE2CBC"/>
    <w:rsid w:val="00EE2D1B"/>
    <w:rsid w:val="00EE2D65"/>
    <w:rsid w:val="00EE2DA0"/>
    <w:rsid w:val="00EE2DC2"/>
    <w:rsid w:val="00EE2E28"/>
    <w:rsid w:val="00EE2E8F"/>
    <w:rsid w:val="00EE2EED"/>
    <w:rsid w:val="00EE2F3A"/>
    <w:rsid w:val="00EE2F9F"/>
    <w:rsid w:val="00EE2FA9"/>
    <w:rsid w:val="00EE2FBA"/>
    <w:rsid w:val="00EE3005"/>
    <w:rsid w:val="00EE30AA"/>
    <w:rsid w:val="00EE30C3"/>
    <w:rsid w:val="00EE31C3"/>
    <w:rsid w:val="00EE31DA"/>
    <w:rsid w:val="00EE31F2"/>
    <w:rsid w:val="00EE3254"/>
    <w:rsid w:val="00EE32E2"/>
    <w:rsid w:val="00EE3356"/>
    <w:rsid w:val="00EE3462"/>
    <w:rsid w:val="00EE347F"/>
    <w:rsid w:val="00EE3573"/>
    <w:rsid w:val="00EE3666"/>
    <w:rsid w:val="00EE3726"/>
    <w:rsid w:val="00EE37A5"/>
    <w:rsid w:val="00EE37C3"/>
    <w:rsid w:val="00EE382C"/>
    <w:rsid w:val="00EE3852"/>
    <w:rsid w:val="00EE3875"/>
    <w:rsid w:val="00EE38B8"/>
    <w:rsid w:val="00EE39DB"/>
    <w:rsid w:val="00EE39F0"/>
    <w:rsid w:val="00EE3A29"/>
    <w:rsid w:val="00EE3B01"/>
    <w:rsid w:val="00EE3B80"/>
    <w:rsid w:val="00EE3C03"/>
    <w:rsid w:val="00EE3CCE"/>
    <w:rsid w:val="00EE3CFB"/>
    <w:rsid w:val="00EE3D08"/>
    <w:rsid w:val="00EE3D42"/>
    <w:rsid w:val="00EE3D86"/>
    <w:rsid w:val="00EE3DA0"/>
    <w:rsid w:val="00EE3E5B"/>
    <w:rsid w:val="00EE3ECA"/>
    <w:rsid w:val="00EE3F97"/>
    <w:rsid w:val="00EE3FCD"/>
    <w:rsid w:val="00EE4006"/>
    <w:rsid w:val="00EE4051"/>
    <w:rsid w:val="00EE4151"/>
    <w:rsid w:val="00EE4155"/>
    <w:rsid w:val="00EE417A"/>
    <w:rsid w:val="00EE41F0"/>
    <w:rsid w:val="00EE4479"/>
    <w:rsid w:val="00EE450D"/>
    <w:rsid w:val="00EE4522"/>
    <w:rsid w:val="00EE4543"/>
    <w:rsid w:val="00EE45CF"/>
    <w:rsid w:val="00EE4752"/>
    <w:rsid w:val="00EE47C3"/>
    <w:rsid w:val="00EE4864"/>
    <w:rsid w:val="00EE492E"/>
    <w:rsid w:val="00EE4946"/>
    <w:rsid w:val="00EE4968"/>
    <w:rsid w:val="00EE499F"/>
    <w:rsid w:val="00EE49A8"/>
    <w:rsid w:val="00EE49BB"/>
    <w:rsid w:val="00EE49D4"/>
    <w:rsid w:val="00EE4A2E"/>
    <w:rsid w:val="00EE4B39"/>
    <w:rsid w:val="00EE4D7B"/>
    <w:rsid w:val="00EE4D92"/>
    <w:rsid w:val="00EE4DDB"/>
    <w:rsid w:val="00EE4EBF"/>
    <w:rsid w:val="00EE4F01"/>
    <w:rsid w:val="00EE4F23"/>
    <w:rsid w:val="00EE4F4C"/>
    <w:rsid w:val="00EE4FC8"/>
    <w:rsid w:val="00EE4FD0"/>
    <w:rsid w:val="00EE502D"/>
    <w:rsid w:val="00EE50E1"/>
    <w:rsid w:val="00EE512B"/>
    <w:rsid w:val="00EE51C7"/>
    <w:rsid w:val="00EE523C"/>
    <w:rsid w:val="00EE528E"/>
    <w:rsid w:val="00EE5337"/>
    <w:rsid w:val="00EE539C"/>
    <w:rsid w:val="00EE53AE"/>
    <w:rsid w:val="00EE53B4"/>
    <w:rsid w:val="00EE53F5"/>
    <w:rsid w:val="00EE546D"/>
    <w:rsid w:val="00EE54B6"/>
    <w:rsid w:val="00EE54DA"/>
    <w:rsid w:val="00EE54F2"/>
    <w:rsid w:val="00EE56B4"/>
    <w:rsid w:val="00EE5731"/>
    <w:rsid w:val="00EE5776"/>
    <w:rsid w:val="00EE5852"/>
    <w:rsid w:val="00EE5949"/>
    <w:rsid w:val="00EE59A9"/>
    <w:rsid w:val="00EE5A2A"/>
    <w:rsid w:val="00EE5A59"/>
    <w:rsid w:val="00EE5A63"/>
    <w:rsid w:val="00EE5B04"/>
    <w:rsid w:val="00EE5B1E"/>
    <w:rsid w:val="00EE5BEE"/>
    <w:rsid w:val="00EE5BF4"/>
    <w:rsid w:val="00EE5C12"/>
    <w:rsid w:val="00EE5C5F"/>
    <w:rsid w:val="00EE5C65"/>
    <w:rsid w:val="00EE5D04"/>
    <w:rsid w:val="00EE5DC6"/>
    <w:rsid w:val="00EE5ECC"/>
    <w:rsid w:val="00EE5F02"/>
    <w:rsid w:val="00EE5F39"/>
    <w:rsid w:val="00EE5F5A"/>
    <w:rsid w:val="00EE600C"/>
    <w:rsid w:val="00EE6042"/>
    <w:rsid w:val="00EE6168"/>
    <w:rsid w:val="00EE620F"/>
    <w:rsid w:val="00EE62D6"/>
    <w:rsid w:val="00EE6310"/>
    <w:rsid w:val="00EE6326"/>
    <w:rsid w:val="00EE642F"/>
    <w:rsid w:val="00EE64EF"/>
    <w:rsid w:val="00EE652E"/>
    <w:rsid w:val="00EE6565"/>
    <w:rsid w:val="00EE6719"/>
    <w:rsid w:val="00EE6898"/>
    <w:rsid w:val="00EE69A0"/>
    <w:rsid w:val="00EE6A68"/>
    <w:rsid w:val="00EE6AD4"/>
    <w:rsid w:val="00EE6B10"/>
    <w:rsid w:val="00EE6B18"/>
    <w:rsid w:val="00EE6B19"/>
    <w:rsid w:val="00EE6C1B"/>
    <w:rsid w:val="00EE6C4D"/>
    <w:rsid w:val="00EE6CA4"/>
    <w:rsid w:val="00EE6CD8"/>
    <w:rsid w:val="00EE6DA7"/>
    <w:rsid w:val="00EE706B"/>
    <w:rsid w:val="00EE7108"/>
    <w:rsid w:val="00EE71B6"/>
    <w:rsid w:val="00EE71EA"/>
    <w:rsid w:val="00EE71ED"/>
    <w:rsid w:val="00EE74CC"/>
    <w:rsid w:val="00EE761E"/>
    <w:rsid w:val="00EE7622"/>
    <w:rsid w:val="00EE7744"/>
    <w:rsid w:val="00EE7828"/>
    <w:rsid w:val="00EE7920"/>
    <w:rsid w:val="00EE79F6"/>
    <w:rsid w:val="00EE79F9"/>
    <w:rsid w:val="00EE7AFE"/>
    <w:rsid w:val="00EE7B08"/>
    <w:rsid w:val="00EE7BD0"/>
    <w:rsid w:val="00EE7CA1"/>
    <w:rsid w:val="00EE7D62"/>
    <w:rsid w:val="00EE7D8B"/>
    <w:rsid w:val="00EE7E32"/>
    <w:rsid w:val="00EE7E36"/>
    <w:rsid w:val="00EE7EA8"/>
    <w:rsid w:val="00EE7EC5"/>
    <w:rsid w:val="00EE7F1F"/>
    <w:rsid w:val="00EE7F4A"/>
    <w:rsid w:val="00EE7F8D"/>
    <w:rsid w:val="00EF001A"/>
    <w:rsid w:val="00EF010B"/>
    <w:rsid w:val="00EF0161"/>
    <w:rsid w:val="00EF016D"/>
    <w:rsid w:val="00EF01AE"/>
    <w:rsid w:val="00EF02CA"/>
    <w:rsid w:val="00EF031B"/>
    <w:rsid w:val="00EF036B"/>
    <w:rsid w:val="00EF03E1"/>
    <w:rsid w:val="00EF0447"/>
    <w:rsid w:val="00EF04A9"/>
    <w:rsid w:val="00EF055A"/>
    <w:rsid w:val="00EF0710"/>
    <w:rsid w:val="00EF09BD"/>
    <w:rsid w:val="00EF0A52"/>
    <w:rsid w:val="00EF0B66"/>
    <w:rsid w:val="00EF0CA6"/>
    <w:rsid w:val="00EF0DC6"/>
    <w:rsid w:val="00EF0DD4"/>
    <w:rsid w:val="00EF0E04"/>
    <w:rsid w:val="00EF0E91"/>
    <w:rsid w:val="00EF0EA6"/>
    <w:rsid w:val="00EF0ED8"/>
    <w:rsid w:val="00EF0F5E"/>
    <w:rsid w:val="00EF1167"/>
    <w:rsid w:val="00EF1183"/>
    <w:rsid w:val="00EF11A4"/>
    <w:rsid w:val="00EF121D"/>
    <w:rsid w:val="00EF1276"/>
    <w:rsid w:val="00EF129B"/>
    <w:rsid w:val="00EF12A2"/>
    <w:rsid w:val="00EF1343"/>
    <w:rsid w:val="00EF13E8"/>
    <w:rsid w:val="00EF13FE"/>
    <w:rsid w:val="00EF145E"/>
    <w:rsid w:val="00EF14E3"/>
    <w:rsid w:val="00EF15DA"/>
    <w:rsid w:val="00EF15E9"/>
    <w:rsid w:val="00EF15EA"/>
    <w:rsid w:val="00EF1616"/>
    <w:rsid w:val="00EF1637"/>
    <w:rsid w:val="00EF167F"/>
    <w:rsid w:val="00EF1748"/>
    <w:rsid w:val="00EF1781"/>
    <w:rsid w:val="00EF17E6"/>
    <w:rsid w:val="00EF1822"/>
    <w:rsid w:val="00EF1966"/>
    <w:rsid w:val="00EF19B3"/>
    <w:rsid w:val="00EF19D6"/>
    <w:rsid w:val="00EF1A3A"/>
    <w:rsid w:val="00EF1A84"/>
    <w:rsid w:val="00EF1B5F"/>
    <w:rsid w:val="00EF1CB6"/>
    <w:rsid w:val="00EF1E8A"/>
    <w:rsid w:val="00EF1F24"/>
    <w:rsid w:val="00EF1FB3"/>
    <w:rsid w:val="00EF2144"/>
    <w:rsid w:val="00EF21BE"/>
    <w:rsid w:val="00EF222B"/>
    <w:rsid w:val="00EF226B"/>
    <w:rsid w:val="00EF22DE"/>
    <w:rsid w:val="00EF233A"/>
    <w:rsid w:val="00EF23BD"/>
    <w:rsid w:val="00EF23F6"/>
    <w:rsid w:val="00EF242A"/>
    <w:rsid w:val="00EF2579"/>
    <w:rsid w:val="00EF25CC"/>
    <w:rsid w:val="00EF2632"/>
    <w:rsid w:val="00EF266B"/>
    <w:rsid w:val="00EF2673"/>
    <w:rsid w:val="00EF2773"/>
    <w:rsid w:val="00EF2827"/>
    <w:rsid w:val="00EF2838"/>
    <w:rsid w:val="00EF283C"/>
    <w:rsid w:val="00EF2884"/>
    <w:rsid w:val="00EF28D0"/>
    <w:rsid w:val="00EF2977"/>
    <w:rsid w:val="00EF29DB"/>
    <w:rsid w:val="00EF2A0E"/>
    <w:rsid w:val="00EF2AC5"/>
    <w:rsid w:val="00EF2B9F"/>
    <w:rsid w:val="00EF2BBB"/>
    <w:rsid w:val="00EF2BF3"/>
    <w:rsid w:val="00EF2C04"/>
    <w:rsid w:val="00EF2C3F"/>
    <w:rsid w:val="00EF2C62"/>
    <w:rsid w:val="00EF2CB5"/>
    <w:rsid w:val="00EF2D22"/>
    <w:rsid w:val="00EF2D55"/>
    <w:rsid w:val="00EF2D68"/>
    <w:rsid w:val="00EF2DD0"/>
    <w:rsid w:val="00EF2DD6"/>
    <w:rsid w:val="00EF2E28"/>
    <w:rsid w:val="00EF2E74"/>
    <w:rsid w:val="00EF2EF2"/>
    <w:rsid w:val="00EF2FDE"/>
    <w:rsid w:val="00EF2FF6"/>
    <w:rsid w:val="00EF300F"/>
    <w:rsid w:val="00EF3067"/>
    <w:rsid w:val="00EF31FB"/>
    <w:rsid w:val="00EF3245"/>
    <w:rsid w:val="00EF3274"/>
    <w:rsid w:val="00EF3278"/>
    <w:rsid w:val="00EF32D8"/>
    <w:rsid w:val="00EF33B7"/>
    <w:rsid w:val="00EF3487"/>
    <w:rsid w:val="00EF34D1"/>
    <w:rsid w:val="00EF355F"/>
    <w:rsid w:val="00EF362B"/>
    <w:rsid w:val="00EF3632"/>
    <w:rsid w:val="00EF3692"/>
    <w:rsid w:val="00EF36BE"/>
    <w:rsid w:val="00EF36FE"/>
    <w:rsid w:val="00EF3766"/>
    <w:rsid w:val="00EF37B1"/>
    <w:rsid w:val="00EF3851"/>
    <w:rsid w:val="00EF389F"/>
    <w:rsid w:val="00EF38A8"/>
    <w:rsid w:val="00EF38E3"/>
    <w:rsid w:val="00EF3938"/>
    <w:rsid w:val="00EF395A"/>
    <w:rsid w:val="00EF3961"/>
    <w:rsid w:val="00EF3A24"/>
    <w:rsid w:val="00EF3A35"/>
    <w:rsid w:val="00EF3A52"/>
    <w:rsid w:val="00EF3B14"/>
    <w:rsid w:val="00EF3B21"/>
    <w:rsid w:val="00EF3BA1"/>
    <w:rsid w:val="00EF3C88"/>
    <w:rsid w:val="00EF3D15"/>
    <w:rsid w:val="00EF3D3B"/>
    <w:rsid w:val="00EF3D63"/>
    <w:rsid w:val="00EF3D97"/>
    <w:rsid w:val="00EF3DB6"/>
    <w:rsid w:val="00EF3DC0"/>
    <w:rsid w:val="00EF3DF9"/>
    <w:rsid w:val="00EF3E29"/>
    <w:rsid w:val="00EF3F0D"/>
    <w:rsid w:val="00EF4271"/>
    <w:rsid w:val="00EF43AC"/>
    <w:rsid w:val="00EF43BE"/>
    <w:rsid w:val="00EF43DE"/>
    <w:rsid w:val="00EF43E8"/>
    <w:rsid w:val="00EF43F6"/>
    <w:rsid w:val="00EF44A7"/>
    <w:rsid w:val="00EF45AE"/>
    <w:rsid w:val="00EF46EE"/>
    <w:rsid w:val="00EF48F9"/>
    <w:rsid w:val="00EF4925"/>
    <w:rsid w:val="00EF4939"/>
    <w:rsid w:val="00EF4946"/>
    <w:rsid w:val="00EF496E"/>
    <w:rsid w:val="00EF49BF"/>
    <w:rsid w:val="00EF4AD0"/>
    <w:rsid w:val="00EF4AE1"/>
    <w:rsid w:val="00EF4B1B"/>
    <w:rsid w:val="00EF4B33"/>
    <w:rsid w:val="00EF4C14"/>
    <w:rsid w:val="00EF4C23"/>
    <w:rsid w:val="00EF4C89"/>
    <w:rsid w:val="00EF4CD5"/>
    <w:rsid w:val="00EF4D39"/>
    <w:rsid w:val="00EF4D9B"/>
    <w:rsid w:val="00EF4DD3"/>
    <w:rsid w:val="00EF4DF6"/>
    <w:rsid w:val="00EF4E13"/>
    <w:rsid w:val="00EF4EA2"/>
    <w:rsid w:val="00EF4F24"/>
    <w:rsid w:val="00EF4F51"/>
    <w:rsid w:val="00EF5075"/>
    <w:rsid w:val="00EF50EA"/>
    <w:rsid w:val="00EF5136"/>
    <w:rsid w:val="00EF5161"/>
    <w:rsid w:val="00EF5179"/>
    <w:rsid w:val="00EF51B0"/>
    <w:rsid w:val="00EF5228"/>
    <w:rsid w:val="00EF525E"/>
    <w:rsid w:val="00EF5260"/>
    <w:rsid w:val="00EF52BB"/>
    <w:rsid w:val="00EF5344"/>
    <w:rsid w:val="00EF5371"/>
    <w:rsid w:val="00EF53C2"/>
    <w:rsid w:val="00EF53EF"/>
    <w:rsid w:val="00EF53F3"/>
    <w:rsid w:val="00EF549A"/>
    <w:rsid w:val="00EF54D6"/>
    <w:rsid w:val="00EF54F7"/>
    <w:rsid w:val="00EF5501"/>
    <w:rsid w:val="00EF5691"/>
    <w:rsid w:val="00EF569D"/>
    <w:rsid w:val="00EF5756"/>
    <w:rsid w:val="00EF57C7"/>
    <w:rsid w:val="00EF57C8"/>
    <w:rsid w:val="00EF5812"/>
    <w:rsid w:val="00EF58BE"/>
    <w:rsid w:val="00EF5990"/>
    <w:rsid w:val="00EF5A83"/>
    <w:rsid w:val="00EF5A94"/>
    <w:rsid w:val="00EF5B11"/>
    <w:rsid w:val="00EF5B3E"/>
    <w:rsid w:val="00EF5BAC"/>
    <w:rsid w:val="00EF5BBE"/>
    <w:rsid w:val="00EF5C63"/>
    <w:rsid w:val="00EF5C87"/>
    <w:rsid w:val="00EF5D8C"/>
    <w:rsid w:val="00EF6025"/>
    <w:rsid w:val="00EF6061"/>
    <w:rsid w:val="00EF6140"/>
    <w:rsid w:val="00EF61BC"/>
    <w:rsid w:val="00EF6216"/>
    <w:rsid w:val="00EF625A"/>
    <w:rsid w:val="00EF6269"/>
    <w:rsid w:val="00EF626B"/>
    <w:rsid w:val="00EF629A"/>
    <w:rsid w:val="00EF63EA"/>
    <w:rsid w:val="00EF6441"/>
    <w:rsid w:val="00EF6472"/>
    <w:rsid w:val="00EF65E5"/>
    <w:rsid w:val="00EF6676"/>
    <w:rsid w:val="00EF67B1"/>
    <w:rsid w:val="00EF67E5"/>
    <w:rsid w:val="00EF681B"/>
    <w:rsid w:val="00EF6996"/>
    <w:rsid w:val="00EF6A58"/>
    <w:rsid w:val="00EF6BF5"/>
    <w:rsid w:val="00EF6BF9"/>
    <w:rsid w:val="00EF6C19"/>
    <w:rsid w:val="00EF6C3C"/>
    <w:rsid w:val="00EF6CF5"/>
    <w:rsid w:val="00EF6D4E"/>
    <w:rsid w:val="00EF6D7D"/>
    <w:rsid w:val="00EF6DB4"/>
    <w:rsid w:val="00EF6DC3"/>
    <w:rsid w:val="00EF6E53"/>
    <w:rsid w:val="00EF6EF2"/>
    <w:rsid w:val="00EF708F"/>
    <w:rsid w:val="00EF70BA"/>
    <w:rsid w:val="00EF7112"/>
    <w:rsid w:val="00EF71BA"/>
    <w:rsid w:val="00EF72A3"/>
    <w:rsid w:val="00EF72A5"/>
    <w:rsid w:val="00EF72CD"/>
    <w:rsid w:val="00EF72EA"/>
    <w:rsid w:val="00EF732D"/>
    <w:rsid w:val="00EF73AE"/>
    <w:rsid w:val="00EF7408"/>
    <w:rsid w:val="00EF7420"/>
    <w:rsid w:val="00EF74E7"/>
    <w:rsid w:val="00EF761B"/>
    <w:rsid w:val="00EF76D2"/>
    <w:rsid w:val="00EF76E2"/>
    <w:rsid w:val="00EF774D"/>
    <w:rsid w:val="00EF77B6"/>
    <w:rsid w:val="00EF77DA"/>
    <w:rsid w:val="00EF7838"/>
    <w:rsid w:val="00EF78B7"/>
    <w:rsid w:val="00EF7A3D"/>
    <w:rsid w:val="00EF7A78"/>
    <w:rsid w:val="00EF7B98"/>
    <w:rsid w:val="00EF7C50"/>
    <w:rsid w:val="00EF7C58"/>
    <w:rsid w:val="00EF7C95"/>
    <w:rsid w:val="00EF7DA3"/>
    <w:rsid w:val="00EF7DEE"/>
    <w:rsid w:val="00EF7F67"/>
    <w:rsid w:val="00F000A1"/>
    <w:rsid w:val="00F00101"/>
    <w:rsid w:val="00F00117"/>
    <w:rsid w:val="00F0019A"/>
    <w:rsid w:val="00F0021C"/>
    <w:rsid w:val="00F0026D"/>
    <w:rsid w:val="00F0029B"/>
    <w:rsid w:val="00F002D0"/>
    <w:rsid w:val="00F00448"/>
    <w:rsid w:val="00F00472"/>
    <w:rsid w:val="00F004A4"/>
    <w:rsid w:val="00F004D4"/>
    <w:rsid w:val="00F004D8"/>
    <w:rsid w:val="00F00530"/>
    <w:rsid w:val="00F005F8"/>
    <w:rsid w:val="00F005FF"/>
    <w:rsid w:val="00F00621"/>
    <w:rsid w:val="00F00660"/>
    <w:rsid w:val="00F0069E"/>
    <w:rsid w:val="00F007C3"/>
    <w:rsid w:val="00F007D6"/>
    <w:rsid w:val="00F0082D"/>
    <w:rsid w:val="00F00982"/>
    <w:rsid w:val="00F009A0"/>
    <w:rsid w:val="00F009C5"/>
    <w:rsid w:val="00F00A52"/>
    <w:rsid w:val="00F00AA0"/>
    <w:rsid w:val="00F00ABD"/>
    <w:rsid w:val="00F00AD2"/>
    <w:rsid w:val="00F00B14"/>
    <w:rsid w:val="00F00B63"/>
    <w:rsid w:val="00F00D4C"/>
    <w:rsid w:val="00F00D69"/>
    <w:rsid w:val="00F00ECD"/>
    <w:rsid w:val="00F00F74"/>
    <w:rsid w:val="00F01088"/>
    <w:rsid w:val="00F010BA"/>
    <w:rsid w:val="00F010C2"/>
    <w:rsid w:val="00F01114"/>
    <w:rsid w:val="00F012E7"/>
    <w:rsid w:val="00F01354"/>
    <w:rsid w:val="00F01533"/>
    <w:rsid w:val="00F015AB"/>
    <w:rsid w:val="00F01655"/>
    <w:rsid w:val="00F01698"/>
    <w:rsid w:val="00F01783"/>
    <w:rsid w:val="00F017EC"/>
    <w:rsid w:val="00F01817"/>
    <w:rsid w:val="00F01884"/>
    <w:rsid w:val="00F01911"/>
    <w:rsid w:val="00F01915"/>
    <w:rsid w:val="00F0197E"/>
    <w:rsid w:val="00F019D9"/>
    <w:rsid w:val="00F019DD"/>
    <w:rsid w:val="00F019E9"/>
    <w:rsid w:val="00F01A05"/>
    <w:rsid w:val="00F01BD4"/>
    <w:rsid w:val="00F01BE4"/>
    <w:rsid w:val="00F01BF0"/>
    <w:rsid w:val="00F01CAE"/>
    <w:rsid w:val="00F01D55"/>
    <w:rsid w:val="00F01EA3"/>
    <w:rsid w:val="00F01EE8"/>
    <w:rsid w:val="00F01F3C"/>
    <w:rsid w:val="00F01F53"/>
    <w:rsid w:val="00F01F74"/>
    <w:rsid w:val="00F01F79"/>
    <w:rsid w:val="00F020F9"/>
    <w:rsid w:val="00F0215D"/>
    <w:rsid w:val="00F02195"/>
    <w:rsid w:val="00F021D7"/>
    <w:rsid w:val="00F0221A"/>
    <w:rsid w:val="00F023F2"/>
    <w:rsid w:val="00F024B5"/>
    <w:rsid w:val="00F024C9"/>
    <w:rsid w:val="00F0262C"/>
    <w:rsid w:val="00F02751"/>
    <w:rsid w:val="00F0279B"/>
    <w:rsid w:val="00F027C9"/>
    <w:rsid w:val="00F0283F"/>
    <w:rsid w:val="00F0285D"/>
    <w:rsid w:val="00F028CC"/>
    <w:rsid w:val="00F028D3"/>
    <w:rsid w:val="00F029AB"/>
    <w:rsid w:val="00F02A2D"/>
    <w:rsid w:val="00F02A93"/>
    <w:rsid w:val="00F02B25"/>
    <w:rsid w:val="00F02CDE"/>
    <w:rsid w:val="00F02E98"/>
    <w:rsid w:val="00F02EE0"/>
    <w:rsid w:val="00F02F32"/>
    <w:rsid w:val="00F02F50"/>
    <w:rsid w:val="00F02F6A"/>
    <w:rsid w:val="00F02FBD"/>
    <w:rsid w:val="00F0301A"/>
    <w:rsid w:val="00F03093"/>
    <w:rsid w:val="00F030D5"/>
    <w:rsid w:val="00F03100"/>
    <w:rsid w:val="00F03127"/>
    <w:rsid w:val="00F03148"/>
    <w:rsid w:val="00F03265"/>
    <w:rsid w:val="00F0327B"/>
    <w:rsid w:val="00F0333A"/>
    <w:rsid w:val="00F03499"/>
    <w:rsid w:val="00F034A1"/>
    <w:rsid w:val="00F035DE"/>
    <w:rsid w:val="00F03640"/>
    <w:rsid w:val="00F036BD"/>
    <w:rsid w:val="00F0373A"/>
    <w:rsid w:val="00F03798"/>
    <w:rsid w:val="00F037BA"/>
    <w:rsid w:val="00F037DD"/>
    <w:rsid w:val="00F037F3"/>
    <w:rsid w:val="00F0383B"/>
    <w:rsid w:val="00F0384F"/>
    <w:rsid w:val="00F03863"/>
    <w:rsid w:val="00F038D2"/>
    <w:rsid w:val="00F038DF"/>
    <w:rsid w:val="00F0398D"/>
    <w:rsid w:val="00F039AC"/>
    <w:rsid w:val="00F03A03"/>
    <w:rsid w:val="00F03ACF"/>
    <w:rsid w:val="00F03AE4"/>
    <w:rsid w:val="00F03B06"/>
    <w:rsid w:val="00F03B38"/>
    <w:rsid w:val="00F03C41"/>
    <w:rsid w:val="00F03D1B"/>
    <w:rsid w:val="00F03DA8"/>
    <w:rsid w:val="00F03DB2"/>
    <w:rsid w:val="00F03E80"/>
    <w:rsid w:val="00F03F3F"/>
    <w:rsid w:val="00F03FC8"/>
    <w:rsid w:val="00F03FF9"/>
    <w:rsid w:val="00F0416C"/>
    <w:rsid w:val="00F041E5"/>
    <w:rsid w:val="00F043F0"/>
    <w:rsid w:val="00F04515"/>
    <w:rsid w:val="00F045E0"/>
    <w:rsid w:val="00F04641"/>
    <w:rsid w:val="00F0473A"/>
    <w:rsid w:val="00F04744"/>
    <w:rsid w:val="00F04758"/>
    <w:rsid w:val="00F04765"/>
    <w:rsid w:val="00F04843"/>
    <w:rsid w:val="00F048EA"/>
    <w:rsid w:val="00F04956"/>
    <w:rsid w:val="00F0499E"/>
    <w:rsid w:val="00F049BE"/>
    <w:rsid w:val="00F049CB"/>
    <w:rsid w:val="00F04B78"/>
    <w:rsid w:val="00F04C18"/>
    <w:rsid w:val="00F04C90"/>
    <w:rsid w:val="00F04D90"/>
    <w:rsid w:val="00F04E05"/>
    <w:rsid w:val="00F04ED4"/>
    <w:rsid w:val="00F04EDE"/>
    <w:rsid w:val="00F04F05"/>
    <w:rsid w:val="00F04F24"/>
    <w:rsid w:val="00F04F9D"/>
    <w:rsid w:val="00F04FE0"/>
    <w:rsid w:val="00F05097"/>
    <w:rsid w:val="00F0516B"/>
    <w:rsid w:val="00F051CD"/>
    <w:rsid w:val="00F053B0"/>
    <w:rsid w:val="00F055E1"/>
    <w:rsid w:val="00F056EB"/>
    <w:rsid w:val="00F05778"/>
    <w:rsid w:val="00F058CE"/>
    <w:rsid w:val="00F05A15"/>
    <w:rsid w:val="00F05BA9"/>
    <w:rsid w:val="00F05D10"/>
    <w:rsid w:val="00F05F98"/>
    <w:rsid w:val="00F060F6"/>
    <w:rsid w:val="00F061E6"/>
    <w:rsid w:val="00F061EB"/>
    <w:rsid w:val="00F06266"/>
    <w:rsid w:val="00F06334"/>
    <w:rsid w:val="00F06388"/>
    <w:rsid w:val="00F06473"/>
    <w:rsid w:val="00F064B3"/>
    <w:rsid w:val="00F065EC"/>
    <w:rsid w:val="00F065F9"/>
    <w:rsid w:val="00F06664"/>
    <w:rsid w:val="00F06674"/>
    <w:rsid w:val="00F066B8"/>
    <w:rsid w:val="00F066E3"/>
    <w:rsid w:val="00F0673C"/>
    <w:rsid w:val="00F067F0"/>
    <w:rsid w:val="00F0685D"/>
    <w:rsid w:val="00F0689A"/>
    <w:rsid w:val="00F068D9"/>
    <w:rsid w:val="00F06938"/>
    <w:rsid w:val="00F0695C"/>
    <w:rsid w:val="00F069A9"/>
    <w:rsid w:val="00F06B0C"/>
    <w:rsid w:val="00F06C08"/>
    <w:rsid w:val="00F06C3A"/>
    <w:rsid w:val="00F06C57"/>
    <w:rsid w:val="00F06CAF"/>
    <w:rsid w:val="00F06D5D"/>
    <w:rsid w:val="00F06D61"/>
    <w:rsid w:val="00F06DB3"/>
    <w:rsid w:val="00F06DF1"/>
    <w:rsid w:val="00F06ECC"/>
    <w:rsid w:val="00F06F08"/>
    <w:rsid w:val="00F070DD"/>
    <w:rsid w:val="00F071EB"/>
    <w:rsid w:val="00F0724F"/>
    <w:rsid w:val="00F0739D"/>
    <w:rsid w:val="00F0741F"/>
    <w:rsid w:val="00F07478"/>
    <w:rsid w:val="00F075EE"/>
    <w:rsid w:val="00F077BE"/>
    <w:rsid w:val="00F07A46"/>
    <w:rsid w:val="00F07A49"/>
    <w:rsid w:val="00F07B00"/>
    <w:rsid w:val="00F07B0B"/>
    <w:rsid w:val="00F07B14"/>
    <w:rsid w:val="00F07B3B"/>
    <w:rsid w:val="00F07B54"/>
    <w:rsid w:val="00F07C03"/>
    <w:rsid w:val="00F07C09"/>
    <w:rsid w:val="00F07C37"/>
    <w:rsid w:val="00F07C90"/>
    <w:rsid w:val="00F07CAF"/>
    <w:rsid w:val="00F07CE9"/>
    <w:rsid w:val="00F07CF5"/>
    <w:rsid w:val="00F07D2F"/>
    <w:rsid w:val="00F07DEC"/>
    <w:rsid w:val="00F07E21"/>
    <w:rsid w:val="00F07E49"/>
    <w:rsid w:val="00F07E8F"/>
    <w:rsid w:val="00F07EA1"/>
    <w:rsid w:val="00F07EA8"/>
    <w:rsid w:val="00F07F42"/>
    <w:rsid w:val="00F1005C"/>
    <w:rsid w:val="00F10078"/>
    <w:rsid w:val="00F1007A"/>
    <w:rsid w:val="00F10248"/>
    <w:rsid w:val="00F102EB"/>
    <w:rsid w:val="00F10376"/>
    <w:rsid w:val="00F103B0"/>
    <w:rsid w:val="00F103F8"/>
    <w:rsid w:val="00F1043C"/>
    <w:rsid w:val="00F1051B"/>
    <w:rsid w:val="00F10535"/>
    <w:rsid w:val="00F105FA"/>
    <w:rsid w:val="00F1063A"/>
    <w:rsid w:val="00F10747"/>
    <w:rsid w:val="00F107C7"/>
    <w:rsid w:val="00F107D8"/>
    <w:rsid w:val="00F10937"/>
    <w:rsid w:val="00F109EC"/>
    <w:rsid w:val="00F10A47"/>
    <w:rsid w:val="00F10CD4"/>
    <w:rsid w:val="00F10CEC"/>
    <w:rsid w:val="00F10D13"/>
    <w:rsid w:val="00F10D40"/>
    <w:rsid w:val="00F10F00"/>
    <w:rsid w:val="00F10F08"/>
    <w:rsid w:val="00F10F81"/>
    <w:rsid w:val="00F10F83"/>
    <w:rsid w:val="00F1100F"/>
    <w:rsid w:val="00F11061"/>
    <w:rsid w:val="00F11117"/>
    <w:rsid w:val="00F1119F"/>
    <w:rsid w:val="00F111A6"/>
    <w:rsid w:val="00F111AB"/>
    <w:rsid w:val="00F111D2"/>
    <w:rsid w:val="00F1123D"/>
    <w:rsid w:val="00F11271"/>
    <w:rsid w:val="00F11277"/>
    <w:rsid w:val="00F1128C"/>
    <w:rsid w:val="00F11328"/>
    <w:rsid w:val="00F11484"/>
    <w:rsid w:val="00F1160A"/>
    <w:rsid w:val="00F116FA"/>
    <w:rsid w:val="00F11778"/>
    <w:rsid w:val="00F11793"/>
    <w:rsid w:val="00F117A5"/>
    <w:rsid w:val="00F11838"/>
    <w:rsid w:val="00F118B2"/>
    <w:rsid w:val="00F118DE"/>
    <w:rsid w:val="00F118F7"/>
    <w:rsid w:val="00F119FD"/>
    <w:rsid w:val="00F11A2E"/>
    <w:rsid w:val="00F11B8F"/>
    <w:rsid w:val="00F11BC3"/>
    <w:rsid w:val="00F11C48"/>
    <w:rsid w:val="00F11C51"/>
    <w:rsid w:val="00F11D6C"/>
    <w:rsid w:val="00F11DDD"/>
    <w:rsid w:val="00F11E64"/>
    <w:rsid w:val="00F11E8D"/>
    <w:rsid w:val="00F11EB4"/>
    <w:rsid w:val="00F11EF9"/>
    <w:rsid w:val="00F11F09"/>
    <w:rsid w:val="00F11F83"/>
    <w:rsid w:val="00F11F89"/>
    <w:rsid w:val="00F12163"/>
    <w:rsid w:val="00F12246"/>
    <w:rsid w:val="00F123A9"/>
    <w:rsid w:val="00F123B9"/>
    <w:rsid w:val="00F12530"/>
    <w:rsid w:val="00F12560"/>
    <w:rsid w:val="00F12564"/>
    <w:rsid w:val="00F12702"/>
    <w:rsid w:val="00F1272F"/>
    <w:rsid w:val="00F1279A"/>
    <w:rsid w:val="00F127CB"/>
    <w:rsid w:val="00F12883"/>
    <w:rsid w:val="00F12888"/>
    <w:rsid w:val="00F128D7"/>
    <w:rsid w:val="00F12912"/>
    <w:rsid w:val="00F12A60"/>
    <w:rsid w:val="00F12ABA"/>
    <w:rsid w:val="00F12B1B"/>
    <w:rsid w:val="00F12BC3"/>
    <w:rsid w:val="00F12C3C"/>
    <w:rsid w:val="00F12E03"/>
    <w:rsid w:val="00F12E67"/>
    <w:rsid w:val="00F12EA1"/>
    <w:rsid w:val="00F12EE1"/>
    <w:rsid w:val="00F12F56"/>
    <w:rsid w:val="00F12FDF"/>
    <w:rsid w:val="00F12FF6"/>
    <w:rsid w:val="00F13034"/>
    <w:rsid w:val="00F130C5"/>
    <w:rsid w:val="00F13128"/>
    <w:rsid w:val="00F13197"/>
    <w:rsid w:val="00F131A9"/>
    <w:rsid w:val="00F131C5"/>
    <w:rsid w:val="00F131CD"/>
    <w:rsid w:val="00F131F5"/>
    <w:rsid w:val="00F132FB"/>
    <w:rsid w:val="00F1341C"/>
    <w:rsid w:val="00F1354A"/>
    <w:rsid w:val="00F1355A"/>
    <w:rsid w:val="00F1355F"/>
    <w:rsid w:val="00F135ED"/>
    <w:rsid w:val="00F13793"/>
    <w:rsid w:val="00F13807"/>
    <w:rsid w:val="00F13829"/>
    <w:rsid w:val="00F1389D"/>
    <w:rsid w:val="00F138C0"/>
    <w:rsid w:val="00F13994"/>
    <w:rsid w:val="00F139A8"/>
    <w:rsid w:val="00F139B9"/>
    <w:rsid w:val="00F139FC"/>
    <w:rsid w:val="00F13A66"/>
    <w:rsid w:val="00F13A75"/>
    <w:rsid w:val="00F13B33"/>
    <w:rsid w:val="00F13B9B"/>
    <w:rsid w:val="00F13BE3"/>
    <w:rsid w:val="00F13C87"/>
    <w:rsid w:val="00F13CCB"/>
    <w:rsid w:val="00F13D06"/>
    <w:rsid w:val="00F13DC2"/>
    <w:rsid w:val="00F13E45"/>
    <w:rsid w:val="00F13E52"/>
    <w:rsid w:val="00F13E55"/>
    <w:rsid w:val="00F13F3B"/>
    <w:rsid w:val="00F13F71"/>
    <w:rsid w:val="00F140E4"/>
    <w:rsid w:val="00F1410F"/>
    <w:rsid w:val="00F14140"/>
    <w:rsid w:val="00F14224"/>
    <w:rsid w:val="00F14232"/>
    <w:rsid w:val="00F14342"/>
    <w:rsid w:val="00F1437D"/>
    <w:rsid w:val="00F14494"/>
    <w:rsid w:val="00F14589"/>
    <w:rsid w:val="00F1459F"/>
    <w:rsid w:val="00F145D7"/>
    <w:rsid w:val="00F14647"/>
    <w:rsid w:val="00F14661"/>
    <w:rsid w:val="00F14671"/>
    <w:rsid w:val="00F14768"/>
    <w:rsid w:val="00F147B7"/>
    <w:rsid w:val="00F1487F"/>
    <w:rsid w:val="00F14880"/>
    <w:rsid w:val="00F148DA"/>
    <w:rsid w:val="00F148FC"/>
    <w:rsid w:val="00F14943"/>
    <w:rsid w:val="00F149A1"/>
    <w:rsid w:val="00F149E1"/>
    <w:rsid w:val="00F149EB"/>
    <w:rsid w:val="00F14A92"/>
    <w:rsid w:val="00F14AFE"/>
    <w:rsid w:val="00F14B8D"/>
    <w:rsid w:val="00F14BBD"/>
    <w:rsid w:val="00F14CC5"/>
    <w:rsid w:val="00F14FEB"/>
    <w:rsid w:val="00F150FC"/>
    <w:rsid w:val="00F151C3"/>
    <w:rsid w:val="00F152C6"/>
    <w:rsid w:val="00F15346"/>
    <w:rsid w:val="00F15398"/>
    <w:rsid w:val="00F15430"/>
    <w:rsid w:val="00F154A0"/>
    <w:rsid w:val="00F154AE"/>
    <w:rsid w:val="00F15579"/>
    <w:rsid w:val="00F15680"/>
    <w:rsid w:val="00F156B0"/>
    <w:rsid w:val="00F156D6"/>
    <w:rsid w:val="00F15752"/>
    <w:rsid w:val="00F157B7"/>
    <w:rsid w:val="00F157F5"/>
    <w:rsid w:val="00F15844"/>
    <w:rsid w:val="00F15897"/>
    <w:rsid w:val="00F15AF5"/>
    <w:rsid w:val="00F15BA1"/>
    <w:rsid w:val="00F15C06"/>
    <w:rsid w:val="00F15C9E"/>
    <w:rsid w:val="00F15CD6"/>
    <w:rsid w:val="00F15DEE"/>
    <w:rsid w:val="00F15DF6"/>
    <w:rsid w:val="00F15E02"/>
    <w:rsid w:val="00F15ED3"/>
    <w:rsid w:val="00F15ED8"/>
    <w:rsid w:val="00F15F74"/>
    <w:rsid w:val="00F1603D"/>
    <w:rsid w:val="00F1609E"/>
    <w:rsid w:val="00F16177"/>
    <w:rsid w:val="00F161A6"/>
    <w:rsid w:val="00F161B5"/>
    <w:rsid w:val="00F162CE"/>
    <w:rsid w:val="00F162E5"/>
    <w:rsid w:val="00F16521"/>
    <w:rsid w:val="00F166B6"/>
    <w:rsid w:val="00F16762"/>
    <w:rsid w:val="00F16776"/>
    <w:rsid w:val="00F16804"/>
    <w:rsid w:val="00F1682A"/>
    <w:rsid w:val="00F16875"/>
    <w:rsid w:val="00F168AA"/>
    <w:rsid w:val="00F16A2D"/>
    <w:rsid w:val="00F16A8D"/>
    <w:rsid w:val="00F16AAA"/>
    <w:rsid w:val="00F16ACE"/>
    <w:rsid w:val="00F16B5D"/>
    <w:rsid w:val="00F16B8D"/>
    <w:rsid w:val="00F16B9A"/>
    <w:rsid w:val="00F16BFC"/>
    <w:rsid w:val="00F16C06"/>
    <w:rsid w:val="00F16CD0"/>
    <w:rsid w:val="00F16CE6"/>
    <w:rsid w:val="00F16D8B"/>
    <w:rsid w:val="00F16E3D"/>
    <w:rsid w:val="00F16E47"/>
    <w:rsid w:val="00F16F02"/>
    <w:rsid w:val="00F16F1C"/>
    <w:rsid w:val="00F16FAD"/>
    <w:rsid w:val="00F16FCB"/>
    <w:rsid w:val="00F17047"/>
    <w:rsid w:val="00F17054"/>
    <w:rsid w:val="00F1707C"/>
    <w:rsid w:val="00F171F5"/>
    <w:rsid w:val="00F1720D"/>
    <w:rsid w:val="00F1735A"/>
    <w:rsid w:val="00F174A0"/>
    <w:rsid w:val="00F174AA"/>
    <w:rsid w:val="00F1756F"/>
    <w:rsid w:val="00F175E0"/>
    <w:rsid w:val="00F1785D"/>
    <w:rsid w:val="00F1789A"/>
    <w:rsid w:val="00F179B2"/>
    <w:rsid w:val="00F17A17"/>
    <w:rsid w:val="00F17A6C"/>
    <w:rsid w:val="00F17C73"/>
    <w:rsid w:val="00F17CB9"/>
    <w:rsid w:val="00F17D34"/>
    <w:rsid w:val="00F17D91"/>
    <w:rsid w:val="00F17DB5"/>
    <w:rsid w:val="00F17DFF"/>
    <w:rsid w:val="00F17E4E"/>
    <w:rsid w:val="00F17F49"/>
    <w:rsid w:val="00F17F4B"/>
    <w:rsid w:val="00F17F76"/>
    <w:rsid w:val="00F17FFC"/>
    <w:rsid w:val="00F20038"/>
    <w:rsid w:val="00F20190"/>
    <w:rsid w:val="00F20217"/>
    <w:rsid w:val="00F2023F"/>
    <w:rsid w:val="00F2027E"/>
    <w:rsid w:val="00F2031F"/>
    <w:rsid w:val="00F2036A"/>
    <w:rsid w:val="00F2047F"/>
    <w:rsid w:val="00F2067F"/>
    <w:rsid w:val="00F2069B"/>
    <w:rsid w:val="00F206C1"/>
    <w:rsid w:val="00F206F8"/>
    <w:rsid w:val="00F20767"/>
    <w:rsid w:val="00F2077E"/>
    <w:rsid w:val="00F208AA"/>
    <w:rsid w:val="00F20953"/>
    <w:rsid w:val="00F209F0"/>
    <w:rsid w:val="00F20A5C"/>
    <w:rsid w:val="00F20B47"/>
    <w:rsid w:val="00F20B4B"/>
    <w:rsid w:val="00F20BEA"/>
    <w:rsid w:val="00F20C77"/>
    <w:rsid w:val="00F20D1B"/>
    <w:rsid w:val="00F20D48"/>
    <w:rsid w:val="00F20F8A"/>
    <w:rsid w:val="00F20FC1"/>
    <w:rsid w:val="00F21065"/>
    <w:rsid w:val="00F2112C"/>
    <w:rsid w:val="00F21193"/>
    <w:rsid w:val="00F211F5"/>
    <w:rsid w:val="00F211FC"/>
    <w:rsid w:val="00F21229"/>
    <w:rsid w:val="00F2126D"/>
    <w:rsid w:val="00F21381"/>
    <w:rsid w:val="00F21423"/>
    <w:rsid w:val="00F21496"/>
    <w:rsid w:val="00F214A4"/>
    <w:rsid w:val="00F214B0"/>
    <w:rsid w:val="00F215B1"/>
    <w:rsid w:val="00F215E4"/>
    <w:rsid w:val="00F21603"/>
    <w:rsid w:val="00F21643"/>
    <w:rsid w:val="00F2171A"/>
    <w:rsid w:val="00F217AA"/>
    <w:rsid w:val="00F21913"/>
    <w:rsid w:val="00F2196C"/>
    <w:rsid w:val="00F219D0"/>
    <w:rsid w:val="00F219D6"/>
    <w:rsid w:val="00F219DF"/>
    <w:rsid w:val="00F21A98"/>
    <w:rsid w:val="00F21B0A"/>
    <w:rsid w:val="00F21B28"/>
    <w:rsid w:val="00F21B5A"/>
    <w:rsid w:val="00F21C72"/>
    <w:rsid w:val="00F21D72"/>
    <w:rsid w:val="00F21DD4"/>
    <w:rsid w:val="00F21E11"/>
    <w:rsid w:val="00F21E53"/>
    <w:rsid w:val="00F21E9C"/>
    <w:rsid w:val="00F21EC4"/>
    <w:rsid w:val="00F21F26"/>
    <w:rsid w:val="00F21F58"/>
    <w:rsid w:val="00F21FFA"/>
    <w:rsid w:val="00F22016"/>
    <w:rsid w:val="00F22031"/>
    <w:rsid w:val="00F22479"/>
    <w:rsid w:val="00F22496"/>
    <w:rsid w:val="00F224CA"/>
    <w:rsid w:val="00F224F5"/>
    <w:rsid w:val="00F22510"/>
    <w:rsid w:val="00F22518"/>
    <w:rsid w:val="00F2255C"/>
    <w:rsid w:val="00F225B7"/>
    <w:rsid w:val="00F226D1"/>
    <w:rsid w:val="00F226D4"/>
    <w:rsid w:val="00F226E8"/>
    <w:rsid w:val="00F226F1"/>
    <w:rsid w:val="00F22711"/>
    <w:rsid w:val="00F2278E"/>
    <w:rsid w:val="00F227CE"/>
    <w:rsid w:val="00F22819"/>
    <w:rsid w:val="00F2295C"/>
    <w:rsid w:val="00F22988"/>
    <w:rsid w:val="00F22A83"/>
    <w:rsid w:val="00F22AD2"/>
    <w:rsid w:val="00F22AF0"/>
    <w:rsid w:val="00F22B29"/>
    <w:rsid w:val="00F22B3C"/>
    <w:rsid w:val="00F22B86"/>
    <w:rsid w:val="00F22BAE"/>
    <w:rsid w:val="00F22BB8"/>
    <w:rsid w:val="00F22C96"/>
    <w:rsid w:val="00F22CFD"/>
    <w:rsid w:val="00F22E3A"/>
    <w:rsid w:val="00F22EE7"/>
    <w:rsid w:val="00F22FB0"/>
    <w:rsid w:val="00F22FD6"/>
    <w:rsid w:val="00F23142"/>
    <w:rsid w:val="00F2317B"/>
    <w:rsid w:val="00F23297"/>
    <w:rsid w:val="00F2332D"/>
    <w:rsid w:val="00F2346A"/>
    <w:rsid w:val="00F234A6"/>
    <w:rsid w:val="00F234B4"/>
    <w:rsid w:val="00F234F5"/>
    <w:rsid w:val="00F2355D"/>
    <w:rsid w:val="00F235FE"/>
    <w:rsid w:val="00F2368D"/>
    <w:rsid w:val="00F236C1"/>
    <w:rsid w:val="00F23756"/>
    <w:rsid w:val="00F238D4"/>
    <w:rsid w:val="00F238D5"/>
    <w:rsid w:val="00F238DC"/>
    <w:rsid w:val="00F238FE"/>
    <w:rsid w:val="00F23946"/>
    <w:rsid w:val="00F239D8"/>
    <w:rsid w:val="00F239F8"/>
    <w:rsid w:val="00F23A32"/>
    <w:rsid w:val="00F23A5B"/>
    <w:rsid w:val="00F23A8D"/>
    <w:rsid w:val="00F23D67"/>
    <w:rsid w:val="00F23D8A"/>
    <w:rsid w:val="00F23DB3"/>
    <w:rsid w:val="00F23DD6"/>
    <w:rsid w:val="00F23E80"/>
    <w:rsid w:val="00F23F01"/>
    <w:rsid w:val="00F23F0D"/>
    <w:rsid w:val="00F23F83"/>
    <w:rsid w:val="00F23FF3"/>
    <w:rsid w:val="00F2413E"/>
    <w:rsid w:val="00F241DD"/>
    <w:rsid w:val="00F24204"/>
    <w:rsid w:val="00F24222"/>
    <w:rsid w:val="00F243A5"/>
    <w:rsid w:val="00F244BD"/>
    <w:rsid w:val="00F24526"/>
    <w:rsid w:val="00F24532"/>
    <w:rsid w:val="00F2453D"/>
    <w:rsid w:val="00F245BA"/>
    <w:rsid w:val="00F24770"/>
    <w:rsid w:val="00F247BA"/>
    <w:rsid w:val="00F24862"/>
    <w:rsid w:val="00F24863"/>
    <w:rsid w:val="00F248FD"/>
    <w:rsid w:val="00F24930"/>
    <w:rsid w:val="00F24A11"/>
    <w:rsid w:val="00F24A1A"/>
    <w:rsid w:val="00F24B3A"/>
    <w:rsid w:val="00F24B72"/>
    <w:rsid w:val="00F24C30"/>
    <w:rsid w:val="00F24C39"/>
    <w:rsid w:val="00F24C56"/>
    <w:rsid w:val="00F24CF2"/>
    <w:rsid w:val="00F24D81"/>
    <w:rsid w:val="00F24DAC"/>
    <w:rsid w:val="00F24E85"/>
    <w:rsid w:val="00F24EE7"/>
    <w:rsid w:val="00F24FF9"/>
    <w:rsid w:val="00F25020"/>
    <w:rsid w:val="00F25022"/>
    <w:rsid w:val="00F25028"/>
    <w:rsid w:val="00F25076"/>
    <w:rsid w:val="00F250A8"/>
    <w:rsid w:val="00F25196"/>
    <w:rsid w:val="00F251B9"/>
    <w:rsid w:val="00F252A5"/>
    <w:rsid w:val="00F25339"/>
    <w:rsid w:val="00F25357"/>
    <w:rsid w:val="00F253D2"/>
    <w:rsid w:val="00F253ED"/>
    <w:rsid w:val="00F25403"/>
    <w:rsid w:val="00F25508"/>
    <w:rsid w:val="00F25592"/>
    <w:rsid w:val="00F25634"/>
    <w:rsid w:val="00F25649"/>
    <w:rsid w:val="00F2575A"/>
    <w:rsid w:val="00F257EA"/>
    <w:rsid w:val="00F2592D"/>
    <w:rsid w:val="00F259DF"/>
    <w:rsid w:val="00F25AB8"/>
    <w:rsid w:val="00F25B9E"/>
    <w:rsid w:val="00F25C34"/>
    <w:rsid w:val="00F25CC8"/>
    <w:rsid w:val="00F25E01"/>
    <w:rsid w:val="00F25E20"/>
    <w:rsid w:val="00F25E3B"/>
    <w:rsid w:val="00F25E40"/>
    <w:rsid w:val="00F25E91"/>
    <w:rsid w:val="00F25E9D"/>
    <w:rsid w:val="00F25EA2"/>
    <w:rsid w:val="00F25F4D"/>
    <w:rsid w:val="00F2603A"/>
    <w:rsid w:val="00F2608C"/>
    <w:rsid w:val="00F26135"/>
    <w:rsid w:val="00F26162"/>
    <w:rsid w:val="00F2617B"/>
    <w:rsid w:val="00F26227"/>
    <w:rsid w:val="00F2626A"/>
    <w:rsid w:val="00F262EE"/>
    <w:rsid w:val="00F263FF"/>
    <w:rsid w:val="00F2641E"/>
    <w:rsid w:val="00F264E5"/>
    <w:rsid w:val="00F26635"/>
    <w:rsid w:val="00F26894"/>
    <w:rsid w:val="00F26B04"/>
    <w:rsid w:val="00F26C17"/>
    <w:rsid w:val="00F26D6B"/>
    <w:rsid w:val="00F26D84"/>
    <w:rsid w:val="00F26E32"/>
    <w:rsid w:val="00F26F6B"/>
    <w:rsid w:val="00F27025"/>
    <w:rsid w:val="00F27058"/>
    <w:rsid w:val="00F270A4"/>
    <w:rsid w:val="00F27242"/>
    <w:rsid w:val="00F27262"/>
    <w:rsid w:val="00F27295"/>
    <w:rsid w:val="00F272AF"/>
    <w:rsid w:val="00F272DF"/>
    <w:rsid w:val="00F2730A"/>
    <w:rsid w:val="00F2741C"/>
    <w:rsid w:val="00F2743D"/>
    <w:rsid w:val="00F2748E"/>
    <w:rsid w:val="00F274D9"/>
    <w:rsid w:val="00F27506"/>
    <w:rsid w:val="00F27587"/>
    <w:rsid w:val="00F2758A"/>
    <w:rsid w:val="00F2764B"/>
    <w:rsid w:val="00F27680"/>
    <w:rsid w:val="00F2772D"/>
    <w:rsid w:val="00F2772E"/>
    <w:rsid w:val="00F277F7"/>
    <w:rsid w:val="00F2789B"/>
    <w:rsid w:val="00F279DC"/>
    <w:rsid w:val="00F27AF0"/>
    <w:rsid w:val="00F27B04"/>
    <w:rsid w:val="00F27B69"/>
    <w:rsid w:val="00F27BAA"/>
    <w:rsid w:val="00F27BB8"/>
    <w:rsid w:val="00F27C48"/>
    <w:rsid w:val="00F27CD1"/>
    <w:rsid w:val="00F27D25"/>
    <w:rsid w:val="00F27D60"/>
    <w:rsid w:val="00F27D74"/>
    <w:rsid w:val="00F27DF5"/>
    <w:rsid w:val="00F27E42"/>
    <w:rsid w:val="00F27EA4"/>
    <w:rsid w:val="00F27ED8"/>
    <w:rsid w:val="00F27F56"/>
    <w:rsid w:val="00F27F92"/>
    <w:rsid w:val="00F3004C"/>
    <w:rsid w:val="00F300D6"/>
    <w:rsid w:val="00F300E0"/>
    <w:rsid w:val="00F30166"/>
    <w:rsid w:val="00F30199"/>
    <w:rsid w:val="00F301C4"/>
    <w:rsid w:val="00F301D9"/>
    <w:rsid w:val="00F304A4"/>
    <w:rsid w:val="00F304B5"/>
    <w:rsid w:val="00F304D2"/>
    <w:rsid w:val="00F304EE"/>
    <w:rsid w:val="00F3053C"/>
    <w:rsid w:val="00F305B2"/>
    <w:rsid w:val="00F305F3"/>
    <w:rsid w:val="00F30694"/>
    <w:rsid w:val="00F306D4"/>
    <w:rsid w:val="00F306FA"/>
    <w:rsid w:val="00F30793"/>
    <w:rsid w:val="00F307EB"/>
    <w:rsid w:val="00F30830"/>
    <w:rsid w:val="00F30860"/>
    <w:rsid w:val="00F30947"/>
    <w:rsid w:val="00F30975"/>
    <w:rsid w:val="00F309E4"/>
    <w:rsid w:val="00F30AB1"/>
    <w:rsid w:val="00F30AFB"/>
    <w:rsid w:val="00F30AFE"/>
    <w:rsid w:val="00F30B2F"/>
    <w:rsid w:val="00F30B4A"/>
    <w:rsid w:val="00F30BAA"/>
    <w:rsid w:val="00F30BDF"/>
    <w:rsid w:val="00F30C16"/>
    <w:rsid w:val="00F30C17"/>
    <w:rsid w:val="00F30D3C"/>
    <w:rsid w:val="00F30D3E"/>
    <w:rsid w:val="00F30E5E"/>
    <w:rsid w:val="00F30E62"/>
    <w:rsid w:val="00F30FE5"/>
    <w:rsid w:val="00F3100E"/>
    <w:rsid w:val="00F31020"/>
    <w:rsid w:val="00F31045"/>
    <w:rsid w:val="00F31241"/>
    <w:rsid w:val="00F312DA"/>
    <w:rsid w:val="00F313A9"/>
    <w:rsid w:val="00F3144F"/>
    <w:rsid w:val="00F3155E"/>
    <w:rsid w:val="00F315F5"/>
    <w:rsid w:val="00F31646"/>
    <w:rsid w:val="00F31647"/>
    <w:rsid w:val="00F31671"/>
    <w:rsid w:val="00F3171A"/>
    <w:rsid w:val="00F3181D"/>
    <w:rsid w:val="00F31A6A"/>
    <w:rsid w:val="00F31A97"/>
    <w:rsid w:val="00F31B7A"/>
    <w:rsid w:val="00F31CD4"/>
    <w:rsid w:val="00F31D67"/>
    <w:rsid w:val="00F31FC4"/>
    <w:rsid w:val="00F31FE6"/>
    <w:rsid w:val="00F32010"/>
    <w:rsid w:val="00F32060"/>
    <w:rsid w:val="00F3207F"/>
    <w:rsid w:val="00F32114"/>
    <w:rsid w:val="00F32121"/>
    <w:rsid w:val="00F32151"/>
    <w:rsid w:val="00F3215B"/>
    <w:rsid w:val="00F322EC"/>
    <w:rsid w:val="00F322F6"/>
    <w:rsid w:val="00F3235E"/>
    <w:rsid w:val="00F32367"/>
    <w:rsid w:val="00F323A4"/>
    <w:rsid w:val="00F323C4"/>
    <w:rsid w:val="00F324EF"/>
    <w:rsid w:val="00F324F4"/>
    <w:rsid w:val="00F3254F"/>
    <w:rsid w:val="00F325C6"/>
    <w:rsid w:val="00F32741"/>
    <w:rsid w:val="00F32755"/>
    <w:rsid w:val="00F32783"/>
    <w:rsid w:val="00F327F5"/>
    <w:rsid w:val="00F32834"/>
    <w:rsid w:val="00F32862"/>
    <w:rsid w:val="00F32882"/>
    <w:rsid w:val="00F328BC"/>
    <w:rsid w:val="00F3291B"/>
    <w:rsid w:val="00F32951"/>
    <w:rsid w:val="00F32958"/>
    <w:rsid w:val="00F329BA"/>
    <w:rsid w:val="00F32A67"/>
    <w:rsid w:val="00F32A8F"/>
    <w:rsid w:val="00F32B84"/>
    <w:rsid w:val="00F32C0B"/>
    <w:rsid w:val="00F32C39"/>
    <w:rsid w:val="00F32CA6"/>
    <w:rsid w:val="00F32D0A"/>
    <w:rsid w:val="00F32F26"/>
    <w:rsid w:val="00F32F28"/>
    <w:rsid w:val="00F32F88"/>
    <w:rsid w:val="00F32F8D"/>
    <w:rsid w:val="00F33060"/>
    <w:rsid w:val="00F33113"/>
    <w:rsid w:val="00F331AB"/>
    <w:rsid w:val="00F331F2"/>
    <w:rsid w:val="00F33213"/>
    <w:rsid w:val="00F33235"/>
    <w:rsid w:val="00F332A2"/>
    <w:rsid w:val="00F3335F"/>
    <w:rsid w:val="00F33484"/>
    <w:rsid w:val="00F33497"/>
    <w:rsid w:val="00F334DB"/>
    <w:rsid w:val="00F33530"/>
    <w:rsid w:val="00F3354D"/>
    <w:rsid w:val="00F335CE"/>
    <w:rsid w:val="00F33621"/>
    <w:rsid w:val="00F33631"/>
    <w:rsid w:val="00F33652"/>
    <w:rsid w:val="00F3369B"/>
    <w:rsid w:val="00F336B6"/>
    <w:rsid w:val="00F3379C"/>
    <w:rsid w:val="00F33820"/>
    <w:rsid w:val="00F3386B"/>
    <w:rsid w:val="00F338EB"/>
    <w:rsid w:val="00F338F1"/>
    <w:rsid w:val="00F3391F"/>
    <w:rsid w:val="00F33A28"/>
    <w:rsid w:val="00F33A8E"/>
    <w:rsid w:val="00F33CED"/>
    <w:rsid w:val="00F33D1A"/>
    <w:rsid w:val="00F33D91"/>
    <w:rsid w:val="00F33DB8"/>
    <w:rsid w:val="00F33E52"/>
    <w:rsid w:val="00F33EBD"/>
    <w:rsid w:val="00F33EE1"/>
    <w:rsid w:val="00F33F38"/>
    <w:rsid w:val="00F33F50"/>
    <w:rsid w:val="00F33FEA"/>
    <w:rsid w:val="00F34031"/>
    <w:rsid w:val="00F34131"/>
    <w:rsid w:val="00F34238"/>
    <w:rsid w:val="00F34349"/>
    <w:rsid w:val="00F34356"/>
    <w:rsid w:val="00F3449D"/>
    <w:rsid w:val="00F34502"/>
    <w:rsid w:val="00F34679"/>
    <w:rsid w:val="00F34696"/>
    <w:rsid w:val="00F34703"/>
    <w:rsid w:val="00F3471D"/>
    <w:rsid w:val="00F34859"/>
    <w:rsid w:val="00F34979"/>
    <w:rsid w:val="00F349CC"/>
    <w:rsid w:val="00F34A3D"/>
    <w:rsid w:val="00F34A53"/>
    <w:rsid w:val="00F34AA7"/>
    <w:rsid w:val="00F34BAC"/>
    <w:rsid w:val="00F34C38"/>
    <w:rsid w:val="00F34C3C"/>
    <w:rsid w:val="00F34D21"/>
    <w:rsid w:val="00F34D35"/>
    <w:rsid w:val="00F34D6F"/>
    <w:rsid w:val="00F34D9A"/>
    <w:rsid w:val="00F34DC8"/>
    <w:rsid w:val="00F34DD6"/>
    <w:rsid w:val="00F34EDB"/>
    <w:rsid w:val="00F34EE1"/>
    <w:rsid w:val="00F34F9A"/>
    <w:rsid w:val="00F34FB7"/>
    <w:rsid w:val="00F35007"/>
    <w:rsid w:val="00F35020"/>
    <w:rsid w:val="00F350E4"/>
    <w:rsid w:val="00F350E7"/>
    <w:rsid w:val="00F3515A"/>
    <w:rsid w:val="00F351CC"/>
    <w:rsid w:val="00F3522F"/>
    <w:rsid w:val="00F35247"/>
    <w:rsid w:val="00F3526E"/>
    <w:rsid w:val="00F352C8"/>
    <w:rsid w:val="00F3535A"/>
    <w:rsid w:val="00F353A8"/>
    <w:rsid w:val="00F3541F"/>
    <w:rsid w:val="00F35454"/>
    <w:rsid w:val="00F35457"/>
    <w:rsid w:val="00F354C3"/>
    <w:rsid w:val="00F35505"/>
    <w:rsid w:val="00F355A1"/>
    <w:rsid w:val="00F35600"/>
    <w:rsid w:val="00F35632"/>
    <w:rsid w:val="00F357CF"/>
    <w:rsid w:val="00F358D2"/>
    <w:rsid w:val="00F358E5"/>
    <w:rsid w:val="00F3590D"/>
    <w:rsid w:val="00F35931"/>
    <w:rsid w:val="00F35995"/>
    <w:rsid w:val="00F359E7"/>
    <w:rsid w:val="00F359E9"/>
    <w:rsid w:val="00F359EF"/>
    <w:rsid w:val="00F359F3"/>
    <w:rsid w:val="00F35ABF"/>
    <w:rsid w:val="00F35B1C"/>
    <w:rsid w:val="00F35B41"/>
    <w:rsid w:val="00F35BB3"/>
    <w:rsid w:val="00F35BD5"/>
    <w:rsid w:val="00F35C15"/>
    <w:rsid w:val="00F35C67"/>
    <w:rsid w:val="00F35D6F"/>
    <w:rsid w:val="00F35DAF"/>
    <w:rsid w:val="00F35E08"/>
    <w:rsid w:val="00F35EC4"/>
    <w:rsid w:val="00F35EC5"/>
    <w:rsid w:val="00F35F19"/>
    <w:rsid w:val="00F3600C"/>
    <w:rsid w:val="00F360A4"/>
    <w:rsid w:val="00F360EA"/>
    <w:rsid w:val="00F36116"/>
    <w:rsid w:val="00F3611D"/>
    <w:rsid w:val="00F3619F"/>
    <w:rsid w:val="00F361B5"/>
    <w:rsid w:val="00F3622C"/>
    <w:rsid w:val="00F362E0"/>
    <w:rsid w:val="00F36320"/>
    <w:rsid w:val="00F36383"/>
    <w:rsid w:val="00F363B1"/>
    <w:rsid w:val="00F363BC"/>
    <w:rsid w:val="00F36481"/>
    <w:rsid w:val="00F364BC"/>
    <w:rsid w:val="00F365F9"/>
    <w:rsid w:val="00F36640"/>
    <w:rsid w:val="00F36644"/>
    <w:rsid w:val="00F366B4"/>
    <w:rsid w:val="00F366CB"/>
    <w:rsid w:val="00F36709"/>
    <w:rsid w:val="00F367DE"/>
    <w:rsid w:val="00F3683D"/>
    <w:rsid w:val="00F36848"/>
    <w:rsid w:val="00F36B19"/>
    <w:rsid w:val="00F36BC4"/>
    <w:rsid w:val="00F36CAB"/>
    <w:rsid w:val="00F36DBD"/>
    <w:rsid w:val="00F36E68"/>
    <w:rsid w:val="00F36F07"/>
    <w:rsid w:val="00F36F16"/>
    <w:rsid w:val="00F37013"/>
    <w:rsid w:val="00F3715B"/>
    <w:rsid w:val="00F3730A"/>
    <w:rsid w:val="00F373CC"/>
    <w:rsid w:val="00F373E5"/>
    <w:rsid w:val="00F374F6"/>
    <w:rsid w:val="00F37528"/>
    <w:rsid w:val="00F37571"/>
    <w:rsid w:val="00F3758B"/>
    <w:rsid w:val="00F375A9"/>
    <w:rsid w:val="00F375B5"/>
    <w:rsid w:val="00F375C8"/>
    <w:rsid w:val="00F37693"/>
    <w:rsid w:val="00F3769A"/>
    <w:rsid w:val="00F37758"/>
    <w:rsid w:val="00F37848"/>
    <w:rsid w:val="00F37873"/>
    <w:rsid w:val="00F3792C"/>
    <w:rsid w:val="00F3794E"/>
    <w:rsid w:val="00F37A03"/>
    <w:rsid w:val="00F37A54"/>
    <w:rsid w:val="00F37B84"/>
    <w:rsid w:val="00F37C6B"/>
    <w:rsid w:val="00F37D7C"/>
    <w:rsid w:val="00F37DE0"/>
    <w:rsid w:val="00F37E4D"/>
    <w:rsid w:val="00F37F52"/>
    <w:rsid w:val="00F40017"/>
    <w:rsid w:val="00F4002E"/>
    <w:rsid w:val="00F4003C"/>
    <w:rsid w:val="00F40041"/>
    <w:rsid w:val="00F4008F"/>
    <w:rsid w:val="00F40095"/>
    <w:rsid w:val="00F40096"/>
    <w:rsid w:val="00F40135"/>
    <w:rsid w:val="00F40209"/>
    <w:rsid w:val="00F40277"/>
    <w:rsid w:val="00F402CD"/>
    <w:rsid w:val="00F4032B"/>
    <w:rsid w:val="00F40355"/>
    <w:rsid w:val="00F40372"/>
    <w:rsid w:val="00F403DC"/>
    <w:rsid w:val="00F403FC"/>
    <w:rsid w:val="00F404A9"/>
    <w:rsid w:val="00F40586"/>
    <w:rsid w:val="00F40675"/>
    <w:rsid w:val="00F406CE"/>
    <w:rsid w:val="00F407C6"/>
    <w:rsid w:val="00F4083D"/>
    <w:rsid w:val="00F40897"/>
    <w:rsid w:val="00F408A0"/>
    <w:rsid w:val="00F40914"/>
    <w:rsid w:val="00F4094A"/>
    <w:rsid w:val="00F409B4"/>
    <w:rsid w:val="00F409FE"/>
    <w:rsid w:val="00F40A4B"/>
    <w:rsid w:val="00F40A51"/>
    <w:rsid w:val="00F40AD7"/>
    <w:rsid w:val="00F40AE2"/>
    <w:rsid w:val="00F40B11"/>
    <w:rsid w:val="00F40C2F"/>
    <w:rsid w:val="00F40CD0"/>
    <w:rsid w:val="00F40D81"/>
    <w:rsid w:val="00F40E64"/>
    <w:rsid w:val="00F40F05"/>
    <w:rsid w:val="00F40F2D"/>
    <w:rsid w:val="00F40FF5"/>
    <w:rsid w:val="00F4107B"/>
    <w:rsid w:val="00F4122A"/>
    <w:rsid w:val="00F4123D"/>
    <w:rsid w:val="00F41318"/>
    <w:rsid w:val="00F4131D"/>
    <w:rsid w:val="00F41351"/>
    <w:rsid w:val="00F414F7"/>
    <w:rsid w:val="00F41547"/>
    <w:rsid w:val="00F415E7"/>
    <w:rsid w:val="00F4162B"/>
    <w:rsid w:val="00F417A5"/>
    <w:rsid w:val="00F4186B"/>
    <w:rsid w:val="00F41A09"/>
    <w:rsid w:val="00F41A13"/>
    <w:rsid w:val="00F41AA7"/>
    <w:rsid w:val="00F41B33"/>
    <w:rsid w:val="00F41C81"/>
    <w:rsid w:val="00F41CC4"/>
    <w:rsid w:val="00F41DEC"/>
    <w:rsid w:val="00F41E85"/>
    <w:rsid w:val="00F41ED7"/>
    <w:rsid w:val="00F41F0C"/>
    <w:rsid w:val="00F41F51"/>
    <w:rsid w:val="00F4217F"/>
    <w:rsid w:val="00F421DD"/>
    <w:rsid w:val="00F421EE"/>
    <w:rsid w:val="00F42213"/>
    <w:rsid w:val="00F4226B"/>
    <w:rsid w:val="00F423CC"/>
    <w:rsid w:val="00F4241B"/>
    <w:rsid w:val="00F42489"/>
    <w:rsid w:val="00F4249C"/>
    <w:rsid w:val="00F424AD"/>
    <w:rsid w:val="00F42595"/>
    <w:rsid w:val="00F425B1"/>
    <w:rsid w:val="00F425BE"/>
    <w:rsid w:val="00F425F4"/>
    <w:rsid w:val="00F426CE"/>
    <w:rsid w:val="00F426E0"/>
    <w:rsid w:val="00F42735"/>
    <w:rsid w:val="00F427B9"/>
    <w:rsid w:val="00F427ED"/>
    <w:rsid w:val="00F42844"/>
    <w:rsid w:val="00F4288A"/>
    <w:rsid w:val="00F428B7"/>
    <w:rsid w:val="00F42905"/>
    <w:rsid w:val="00F429AD"/>
    <w:rsid w:val="00F429C9"/>
    <w:rsid w:val="00F429D2"/>
    <w:rsid w:val="00F429DD"/>
    <w:rsid w:val="00F42A23"/>
    <w:rsid w:val="00F42B33"/>
    <w:rsid w:val="00F42B5C"/>
    <w:rsid w:val="00F42BB8"/>
    <w:rsid w:val="00F42C63"/>
    <w:rsid w:val="00F42C76"/>
    <w:rsid w:val="00F42C89"/>
    <w:rsid w:val="00F42CC1"/>
    <w:rsid w:val="00F42CF6"/>
    <w:rsid w:val="00F42DA0"/>
    <w:rsid w:val="00F42DE1"/>
    <w:rsid w:val="00F42E79"/>
    <w:rsid w:val="00F42E89"/>
    <w:rsid w:val="00F42EA3"/>
    <w:rsid w:val="00F42EE5"/>
    <w:rsid w:val="00F42F32"/>
    <w:rsid w:val="00F42F72"/>
    <w:rsid w:val="00F4301E"/>
    <w:rsid w:val="00F4302D"/>
    <w:rsid w:val="00F4306E"/>
    <w:rsid w:val="00F43084"/>
    <w:rsid w:val="00F430B6"/>
    <w:rsid w:val="00F43164"/>
    <w:rsid w:val="00F4317D"/>
    <w:rsid w:val="00F431A0"/>
    <w:rsid w:val="00F43359"/>
    <w:rsid w:val="00F433C7"/>
    <w:rsid w:val="00F433EC"/>
    <w:rsid w:val="00F43449"/>
    <w:rsid w:val="00F4349D"/>
    <w:rsid w:val="00F434D6"/>
    <w:rsid w:val="00F4358F"/>
    <w:rsid w:val="00F43605"/>
    <w:rsid w:val="00F4371F"/>
    <w:rsid w:val="00F43776"/>
    <w:rsid w:val="00F43777"/>
    <w:rsid w:val="00F4379B"/>
    <w:rsid w:val="00F437F9"/>
    <w:rsid w:val="00F43849"/>
    <w:rsid w:val="00F438CA"/>
    <w:rsid w:val="00F43900"/>
    <w:rsid w:val="00F4391C"/>
    <w:rsid w:val="00F43972"/>
    <w:rsid w:val="00F439A9"/>
    <w:rsid w:val="00F43A08"/>
    <w:rsid w:val="00F43AA8"/>
    <w:rsid w:val="00F43B2D"/>
    <w:rsid w:val="00F43B31"/>
    <w:rsid w:val="00F43B39"/>
    <w:rsid w:val="00F43BA4"/>
    <w:rsid w:val="00F43E3B"/>
    <w:rsid w:val="00F43EA0"/>
    <w:rsid w:val="00F43ED3"/>
    <w:rsid w:val="00F43F86"/>
    <w:rsid w:val="00F43F94"/>
    <w:rsid w:val="00F440C9"/>
    <w:rsid w:val="00F4413D"/>
    <w:rsid w:val="00F4414C"/>
    <w:rsid w:val="00F441FD"/>
    <w:rsid w:val="00F44302"/>
    <w:rsid w:val="00F443AE"/>
    <w:rsid w:val="00F443BE"/>
    <w:rsid w:val="00F44403"/>
    <w:rsid w:val="00F444FB"/>
    <w:rsid w:val="00F44536"/>
    <w:rsid w:val="00F446F1"/>
    <w:rsid w:val="00F447F7"/>
    <w:rsid w:val="00F4485F"/>
    <w:rsid w:val="00F4486B"/>
    <w:rsid w:val="00F448BB"/>
    <w:rsid w:val="00F448EC"/>
    <w:rsid w:val="00F4491D"/>
    <w:rsid w:val="00F449D3"/>
    <w:rsid w:val="00F44A04"/>
    <w:rsid w:val="00F44AE2"/>
    <w:rsid w:val="00F44B1E"/>
    <w:rsid w:val="00F44B61"/>
    <w:rsid w:val="00F44BEC"/>
    <w:rsid w:val="00F44CA1"/>
    <w:rsid w:val="00F44DC3"/>
    <w:rsid w:val="00F44EFD"/>
    <w:rsid w:val="00F44FC3"/>
    <w:rsid w:val="00F45046"/>
    <w:rsid w:val="00F45151"/>
    <w:rsid w:val="00F4515B"/>
    <w:rsid w:val="00F45197"/>
    <w:rsid w:val="00F45241"/>
    <w:rsid w:val="00F453C7"/>
    <w:rsid w:val="00F4547F"/>
    <w:rsid w:val="00F454F2"/>
    <w:rsid w:val="00F45530"/>
    <w:rsid w:val="00F45597"/>
    <w:rsid w:val="00F455A5"/>
    <w:rsid w:val="00F45676"/>
    <w:rsid w:val="00F4568F"/>
    <w:rsid w:val="00F456CD"/>
    <w:rsid w:val="00F456DF"/>
    <w:rsid w:val="00F456FC"/>
    <w:rsid w:val="00F45927"/>
    <w:rsid w:val="00F459E2"/>
    <w:rsid w:val="00F45B67"/>
    <w:rsid w:val="00F45B8E"/>
    <w:rsid w:val="00F45BBF"/>
    <w:rsid w:val="00F45C56"/>
    <w:rsid w:val="00F45C68"/>
    <w:rsid w:val="00F45C7D"/>
    <w:rsid w:val="00F45CBC"/>
    <w:rsid w:val="00F45CEF"/>
    <w:rsid w:val="00F45EFC"/>
    <w:rsid w:val="00F45FCE"/>
    <w:rsid w:val="00F4611A"/>
    <w:rsid w:val="00F46141"/>
    <w:rsid w:val="00F463A4"/>
    <w:rsid w:val="00F4642D"/>
    <w:rsid w:val="00F464F8"/>
    <w:rsid w:val="00F465C0"/>
    <w:rsid w:val="00F46681"/>
    <w:rsid w:val="00F46848"/>
    <w:rsid w:val="00F46858"/>
    <w:rsid w:val="00F468F3"/>
    <w:rsid w:val="00F4691D"/>
    <w:rsid w:val="00F4693A"/>
    <w:rsid w:val="00F4696F"/>
    <w:rsid w:val="00F46982"/>
    <w:rsid w:val="00F469F0"/>
    <w:rsid w:val="00F46A5E"/>
    <w:rsid w:val="00F46AD7"/>
    <w:rsid w:val="00F46BDD"/>
    <w:rsid w:val="00F46BE6"/>
    <w:rsid w:val="00F46C17"/>
    <w:rsid w:val="00F46C95"/>
    <w:rsid w:val="00F46CA2"/>
    <w:rsid w:val="00F46D78"/>
    <w:rsid w:val="00F46F88"/>
    <w:rsid w:val="00F46FFC"/>
    <w:rsid w:val="00F470AF"/>
    <w:rsid w:val="00F470CA"/>
    <w:rsid w:val="00F4710F"/>
    <w:rsid w:val="00F47163"/>
    <w:rsid w:val="00F471D4"/>
    <w:rsid w:val="00F47209"/>
    <w:rsid w:val="00F476CC"/>
    <w:rsid w:val="00F477C7"/>
    <w:rsid w:val="00F477F3"/>
    <w:rsid w:val="00F47868"/>
    <w:rsid w:val="00F47876"/>
    <w:rsid w:val="00F478F7"/>
    <w:rsid w:val="00F47909"/>
    <w:rsid w:val="00F47913"/>
    <w:rsid w:val="00F479F2"/>
    <w:rsid w:val="00F47A30"/>
    <w:rsid w:val="00F47A40"/>
    <w:rsid w:val="00F47A4B"/>
    <w:rsid w:val="00F47A8C"/>
    <w:rsid w:val="00F47AED"/>
    <w:rsid w:val="00F47B1B"/>
    <w:rsid w:val="00F47BC0"/>
    <w:rsid w:val="00F47CB9"/>
    <w:rsid w:val="00F47D38"/>
    <w:rsid w:val="00F47D4D"/>
    <w:rsid w:val="00F47D66"/>
    <w:rsid w:val="00F47DC9"/>
    <w:rsid w:val="00F47E49"/>
    <w:rsid w:val="00F47E5F"/>
    <w:rsid w:val="00F47E6F"/>
    <w:rsid w:val="00F47E71"/>
    <w:rsid w:val="00F47FD8"/>
    <w:rsid w:val="00F500C5"/>
    <w:rsid w:val="00F501FC"/>
    <w:rsid w:val="00F5027F"/>
    <w:rsid w:val="00F502CF"/>
    <w:rsid w:val="00F502D8"/>
    <w:rsid w:val="00F50337"/>
    <w:rsid w:val="00F5055D"/>
    <w:rsid w:val="00F50580"/>
    <w:rsid w:val="00F50624"/>
    <w:rsid w:val="00F506A2"/>
    <w:rsid w:val="00F506C6"/>
    <w:rsid w:val="00F506DE"/>
    <w:rsid w:val="00F50761"/>
    <w:rsid w:val="00F50869"/>
    <w:rsid w:val="00F50884"/>
    <w:rsid w:val="00F508E9"/>
    <w:rsid w:val="00F508F7"/>
    <w:rsid w:val="00F50959"/>
    <w:rsid w:val="00F509D3"/>
    <w:rsid w:val="00F50A1F"/>
    <w:rsid w:val="00F50A4F"/>
    <w:rsid w:val="00F50A6C"/>
    <w:rsid w:val="00F50C21"/>
    <w:rsid w:val="00F50C2E"/>
    <w:rsid w:val="00F50CC3"/>
    <w:rsid w:val="00F50CC4"/>
    <w:rsid w:val="00F50E5F"/>
    <w:rsid w:val="00F50EDB"/>
    <w:rsid w:val="00F50F25"/>
    <w:rsid w:val="00F50FE8"/>
    <w:rsid w:val="00F510C0"/>
    <w:rsid w:val="00F512B3"/>
    <w:rsid w:val="00F512FE"/>
    <w:rsid w:val="00F513E2"/>
    <w:rsid w:val="00F514CB"/>
    <w:rsid w:val="00F515F0"/>
    <w:rsid w:val="00F516C1"/>
    <w:rsid w:val="00F516C4"/>
    <w:rsid w:val="00F517F1"/>
    <w:rsid w:val="00F51850"/>
    <w:rsid w:val="00F51856"/>
    <w:rsid w:val="00F51917"/>
    <w:rsid w:val="00F519A1"/>
    <w:rsid w:val="00F51AF9"/>
    <w:rsid w:val="00F51C97"/>
    <w:rsid w:val="00F51CAC"/>
    <w:rsid w:val="00F51CDB"/>
    <w:rsid w:val="00F51D27"/>
    <w:rsid w:val="00F51D7F"/>
    <w:rsid w:val="00F51F33"/>
    <w:rsid w:val="00F52005"/>
    <w:rsid w:val="00F520D5"/>
    <w:rsid w:val="00F52125"/>
    <w:rsid w:val="00F521C7"/>
    <w:rsid w:val="00F521CA"/>
    <w:rsid w:val="00F52268"/>
    <w:rsid w:val="00F52363"/>
    <w:rsid w:val="00F52364"/>
    <w:rsid w:val="00F524BD"/>
    <w:rsid w:val="00F524F0"/>
    <w:rsid w:val="00F52520"/>
    <w:rsid w:val="00F52539"/>
    <w:rsid w:val="00F525B4"/>
    <w:rsid w:val="00F525CA"/>
    <w:rsid w:val="00F525D3"/>
    <w:rsid w:val="00F5261B"/>
    <w:rsid w:val="00F52626"/>
    <w:rsid w:val="00F5262B"/>
    <w:rsid w:val="00F52686"/>
    <w:rsid w:val="00F5276E"/>
    <w:rsid w:val="00F52792"/>
    <w:rsid w:val="00F5279C"/>
    <w:rsid w:val="00F527C7"/>
    <w:rsid w:val="00F52817"/>
    <w:rsid w:val="00F5298D"/>
    <w:rsid w:val="00F529AB"/>
    <w:rsid w:val="00F52A32"/>
    <w:rsid w:val="00F52A3F"/>
    <w:rsid w:val="00F52AE4"/>
    <w:rsid w:val="00F52AEE"/>
    <w:rsid w:val="00F52B30"/>
    <w:rsid w:val="00F52B69"/>
    <w:rsid w:val="00F52C79"/>
    <w:rsid w:val="00F52CA5"/>
    <w:rsid w:val="00F52CCE"/>
    <w:rsid w:val="00F52D88"/>
    <w:rsid w:val="00F52D97"/>
    <w:rsid w:val="00F52DAE"/>
    <w:rsid w:val="00F52DD0"/>
    <w:rsid w:val="00F52F19"/>
    <w:rsid w:val="00F5306B"/>
    <w:rsid w:val="00F530BA"/>
    <w:rsid w:val="00F53105"/>
    <w:rsid w:val="00F531D3"/>
    <w:rsid w:val="00F531FA"/>
    <w:rsid w:val="00F53275"/>
    <w:rsid w:val="00F532B7"/>
    <w:rsid w:val="00F53331"/>
    <w:rsid w:val="00F533EF"/>
    <w:rsid w:val="00F53406"/>
    <w:rsid w:val="00F53452"/>
    <w:rsid w:val="00F534FF"/>
    <w:rsid w:val="00F53508"/>
    <w:rsid w:val="00F535F9"/>
    <w:rsid w:val="00F5365A"/>
    <w:rsid w:val="00F5367C"/>
    <w:rsid w:val="00F536D1"/>
    <w:rsid w:val="00F536E4"/>
    <w:rsid w:val="00F536E9"/>
    <w:rsid w:val="00F53918"/>
    <w:rsid w:val="00F5394C"/>
    <w:rsid w:val="00F539ED"/>
    <w:rsid w:val="00F53ADE"/>
    <w:rsid w:val="00F53AFE"/>
    <w:rsid w:val="00F53BAA"/>
    <w:rsid w:val="00F53BBE"/>
    <w:rsid w:val="00F53E93"/>
    <w:rsid w:val="00F53FD3"/>
    <w:rsid w:val="00F54004"/>
    <w:rsid w:val="00F54020"/>
    <w:rsid w:val="00F5411B"/>
    <w:rsid w:val="00F54217"/>
    <w:rsid w:val="00F5428A"/>
    <w:rsid w:val="00F5428E"/>
    <w:rsid w:val="00F542F1"/>
    <w:rsid w:val="00F54350"/>
    <w:rsid w:val="00F543B5"/>
    <w:rsid w:val="00F543DC"/>
    <w:rsid w:val="00F5448D"/>
    <w:rsid w:val="00F544EA"/>
    <w:rsid w:val="00F54600"/>
    <w:rsid w:val="00F54666"/>
    <w:rsid w:val="00F5469B"/>
    <w:rsid w:val="00F546A0"/>
    <w:rsid w:val="00F54721"/>
    <w:rsid w:val="00F54776"/>
    <w:rsid w:val="00F5479A"/>
    <w:rsid w:val="00F547AF"/>
    <w:rsid w:val="00F547C9"/>
    <w:rsid w:val="00F54852"/>
    <w:rsid w:val="00F54867"/>
    <w:rsid w:val="00F548AF"/>
    <w:rsid w:val="00F549AF"/>
    <w:rsid w:val="00F54A1D"/>
    <w:rsid w:val="00F54A92"/>
    <w:rsid w:val="00F54AFC"/>
    <w:rsid w:val="00F54B06"/>
    <w:rsid w:val="00F54B3C"/>
    <w:rsid w:val="00F54B69"/>
    <w:rsid w:val="00F54BAB"/>
    <w:rsid w:val="00F54BDE"/>
    <w:rsid w:val="00F54C14"/>
    <w:rsid w:val="00F54CF3"/>
    <w:rsid w:val="00F54D1F"/>
    <w:rsid w:val="00F54DB0"/>
    <w:rsid w:val="00F54E17"/>
    <w:rsid w:val="00F54EB0"/>
    <w:rsid w:val="00F54FAC"/>
    <w:rsid w:val="00F5508E"/>
    <w:rsid w:val="00F550C5"/>
    <w:rsid w:val="00F5516B"/>
    <w:rsid w:val="00F55195"/>
    <w:rsid w:val="00F551DB"/>
    <w:rsid w:val="00F5524D"/>
    <w:rsid w:val="00F552E8"/>
    <w:rsid w:val="00F552EB"/>
    <w:rsid w:val="00F55335"/>
    <w:rsid w:val="00F5549D"/>
    <w:rsid w:val="00F554D5"/>
    <w:rsid w:val="00F555A3"/>
    <w:rsid w:val="00F55613"/>
    <w:rsid w:val="00F556FA"/>
    <w:rsid w:val="00F55776"/>
    <w:rsid w:val="00F557C1"/>
    <w:rsid w:val="00F557C5"/>
    <w:rsid w:val="00F557DF"/>
    <w:rsid w:val="00F55831"/>
    <w:rsid w:val="00F5587F"/>
    <w:rsid w:val="00F5589E"/>
    <w:rsid w:val="00F558A4"/>
    <w:rsid w:val="00F55998"/>
    <w:rsid w:val="00F559F4"/>
    <w:rsid w:val="00F55A1D"/>
    <w:rsid w:val="00F55A92"/>
    <w:rsid w:val="00F55BA6"/>
    <w:rsid w:val="00F55BB4"/>
    <w:rsid w:val="00F55C33"/>
    <w:rsid w:val="00F55C63"/>
    <w:rsid w:val="00F55CD4"/>
    <w:rsid w:val="00F55DA2"/>
    <w:rsid w:val="00F55F21"/>
    <w:rsid w:val="00F55FF7"/>
    <w:rsid w:val="00F5606E"/>
    <w:rsid w:val="00F56098"/>
    <w:rsid w:val="00F56124"/>
    <w:rsid w:val="00F5612C"/>
    <w:rsid w:val="00F561A3"/>
    <w:rsid w:val="00F5622D"/>
    <w:rsid w:val="00F562A2"/>
    <w:rsid w:val="00F565BC"/>
    <w:rsid w:val="00F56722"/>
    <w:rsid w:val="00F5683C"/>
    <w:rsid w:val="00F56850"/>
    <w:rsid w:val="00F5687D"/>
    <w:rsid w:val="00F56934"/>
    <w:rsid w:val="00F5696F"/>
    <w:rsid w:val="00F56A72"/>
    <w:rsid w:val="00F56B13"/>
    <w:rsid w:val="00F56B3F"/>
    <w:rsid w:val="00F56B79"/>
    <w:rsid w:val="00F56BE9"/>
    <w:rsid w:val="00F56C1B"/>
    <w:rsid w:val="00F56CBF"/>
    <w:rsid w:val="00F56D51"/>
    <w:rsid w:val="00F56D6E"/>
    <w:rsid w:val="00F56EE6"/>
    <w:rsid w:val="00F56F05"/>
    <w:rsid w:val="00F56F56"/>
    <w:rsid w:val="00F56F74"/>
    <w:rsid w:val="00F56FA5"/>
    <w:rsid w:val="00F56FD3"/>
    <w:rsid w:val="00F56FF5"/>
    <w:rsid w:val="00F57091"/>
    <w:rsid w:val="00F57192"/>
    <w:rsid w:val="00F57286"/>
    <w:rsid w:val="00F572EA"/>
    <w:rsid w:val="00F57344"/>
    <w:rsid w:val="00F57365"/>
    <w:rsid w:val="00F573BF"/>
    <w:rsid w:val="00F573E6"/>
    <w:rsid w:val="00F5747E"/>
    <w:rsid w:val="00F5748E"/>
    <w:rsid w:val="00F574C1"/>
    <w:rsid w:val="00F575AB"/>
    <w:rsid w:val="00F5763E"/>
    <w:rsid w:val="00F577C1"/>
    <w:rsid w:val="00F577CA"/>
    <w:rsid w:val="00F57800"/>
    <w:rsid w:val="00F5786C"/>
    <w:rsid w:val="00F578B1"/>
    <w:rsid w:val="00F578F7"/>
    <w:rsid w:val="00F5795B"/>
    <w:rsid w:val="00F57967"/>
    <w:rsid w:val="00F579AA"/>
    <w:rsid w:val="00F579AB"/>
    <w:rsid w:val="00F579C5"/>
    <w:rsid w:val="00F579DC"/>
    <w:rsid w:val="00F57A1E"/>
    <w:rsid w:val="00F57A1F"/>
    <w:rsid w:val="00F57B07"/>
    <w:rsid w:val="00F57B47"/>
    <w:rsid w:val="00F57BED"/>
    <w:rsid w:val="00F57D05"/>
    <w:rsid w:val="00F57D7E"/>
    <w:rsid w:val="00F57E38"/>
    <w:rsid w:val="00F57E6D"/>
    <w:rsid w:val="00F57E8D"/>
    <w:rsid w:val="00F57EB2"/>
    <w:rsid w:val="00F57F7A"/>
    <w:rsid w:val="00F57FAC"/>
    <w:rsid w:val="00F57FEE"/>
    <w:rsid w:val="00F60041"/>
    <w:rsid w:val="00F60050"/>
    <w:rsid w:val="00F60119"/>
    <w:rsid w:val="00F6016A"/>
    <w:rsid w:val="00F60198"/>
    <w:rsid w:val="00F6021C"/>
    <w:rsid w:val="00F60319"/>
    <w:rsid w:val="00F6034C"/>
    <w:rsid w:val="00F604AB"/>
    <w:rsid w:val="00F60605"/>
    <w:rsid w:val="00F60750"/>
    <w:rsid w:val="00F6075B"/>
    <w:rsid w:val="00F60804"/>
    <w:rsid w:val="00F60807"/>
    <w:rsid w:val="00F60871"/>
    <w:rsid w:val="00F6088C"/>
    <w:rsid w:val="00F608B1"/>
    <w:rsid w:val="00F608BE"/>
    <w:rsid w:val="00F608EE"/>
    <w:rsid w:val="00F60A71"/>
    <w:rsid w:val="00F60A73"/>
    <w:rsid w:val="00F60A89"/>
    <w:rsid w:val="00F60BE8"/>
    <w:rsid w:val="00F60C05"/>
    <w:rsid w:val="00F60C1E"/>
    <w:rsid w:val="00F60C98"/>
    <w:rsid w:val="00F60CFB"/>
    <w:rsid w:val="00F60D10"/>
    <w:rsid w:val="00F60DC3"/>
    <w:rsid w:val="00F60E3E"/>
    <w:rsid w:val="00F60EF0"/>
    <w:rsid w:val="00F60EF3"/>
    <w:rsid w:val="00F6102F"/>
    <w:rsid w:val="00F610F3"/>
    <w:rsid w:val="00F61174"/>
    <w:rsid w:val="00F611C8"/>
    <w:rsid w:val="00F6136C"/>
    <w:rsid w:val="00F6137C"/>
    <w:rsid w:val="00F613B3"/>
    <w:rsid w:val="00F6142F"/>
    <w:rsid w:val="00F6149B"/>
    <w:rsid w:val="00F6157A"/>
    <w:rsid w:val="00F6163A"/>
    <w:rsid w:val="00F61681"/>
    <w:rsid w:val="00F616A3"/>
    <w:rsid w:val="00F616AC"/>
    <w:rsid w:val="00F6176B"/>
    <w:rsid w:val="00F61827"/>
    <w:rsid w:val="00F618E3"/>
    <w:rsid w:val="00F61A0D"/>
    <w:rsid w:val="00F61A3C"/>
    <w:rsid w:val="00F61A70"/>
    <w:rsid w:val="00F61AE9"/>
    <w:rsid w:val="00F61B30"/>
    <w:rsid w:val="00F61BB0"/>
    <w:rsid w:val="00F61BB5"/>
    <w:rsid w:val="00F61C07"/>
    <w:rsid w:val="00F61CDA"/>
    <w:rsid w:val="00F61D0F"/>
    <w:rsid w:val="00F61E11"/>
    <w:rsid w:val="00F61F0D"/>
    <w:rsid w:val="00F61F6A"/>
    <w:rsid w:val="00F61F88"/>
    <w:rsid w:val="00F620A2"/>
    <w:rsid w:val="00F620BE"/>
    <w:rsid w:val="00F620F7"/>
    <w:rsid w:val="00F6212F"/>
    <w:rsid w:val="00F621CB"/>
    <w:rsid w:val="00F621E5"/>
    <w:rsid w:val="00F62229"/>
    <w:rsid w:val="00F622E2"/>
    <w:rsid w:val="00F62356"/>
    <w:rsid w:val="00F6244E"/>
    <w:rsid w:val="00F6253A"/>
    <w:rsid w:val="00F625D1"/>
    <w:rsid w:val="00F625F5"/>
    <w:rsid w:val="00F62683"/>
    <w:rsid w:val="00F626C2"/>
    <w:rsid w:val="00F626E8"/>
    <w:rsid w:val="00F62752"/>
    <w:rsid w:val="00F62840"/>
    <w:rsid w:val="00F62B3D"/>
    <w:rsid w:val="00F62B45"/>
    <w:rsid w:val="00F62C4D"/>
    <w:rsid w:val="00F62C86"/>
    <w:rsid w:val="00F62D48"/>
    <w:rsid w:val="00F62D9A"/>
    <w:rsid w:val="00F62F73"/>
    <w:rsid w:val="00F62F78"/>
    <w:rsid w:val="00F62F81"/>
    <w:rsid w:val="00F630C1"/>
    <w:rsid w:val="00F63126"/>
    <w:rsid w:val="00F63189"/>
    <w:rsid w:val="00F632D0"/>
    <w:rsid w:val="00F633B2"/>
    <w:rsid w:val="00F633C5"/>
    <w:rsid w:val="00F633E6"/>
    <w:rsid w:val="00F6344B"/>
    <w:rsid w:val="00F635BF"/>
    <w:rsid w:val="00F63624"/>
    <w:rsid w:val="00F63686"/>
    <w:rsid w:val="00F636F7"/>
    <w:rsid w:val="00F6373F"/>
    <w:rsid w:val="00F63862"/>
    <w:rsid w:val="00F6388E"/>
    <w:rsid w:val="00F638A3"/>
    <w:rsid w:val="00F638AC"/>
    <w:rsid w:val="00F63A04"/>
    <w:rsid w:val="00F63ABE"/>
    <w:rsid w:val="00F63BF0"/>
    <w:rsid w:val="00F63C52"/>
    <w:rsid w:val="00F63D0C"/>
    <w:rsid w:val="00F63DA0"/>
    <w:rsid w:val="00F63DAB"/>
    <w:rsid w:val="00F63DD4"/>
    <w:rsid w:val="00F63E00"/>
    <w:rsid w:val="00F63E9E"/>
    <w:rsid w:val="00F63F3D"/>
    <w:rsid w:val="00F63F71"/>
    <w:rsid w:val="00F63F90"/>
    <w:rsid w:val="00F64092"/>
    <w:rsid w:val="00F640DE"/>
    <w:rsid w:val="00F64111"/>
    <w:rsid w:val="00F642A1"/>
    <w:rsid w:val="00F64382"/>
    <w:rsid w:val="00F643C9"/>
    <w:rsid w:val="00F6445C"/>
    <w:rsid w:val="00F64549"/>
    <w:rsid w:val="00F645C2"/>
    <w:rsid w:val="00F645C8"/>
    <w:rsid w:val="00F645D6"/>
    <w:rsid w:val="00F6460C"/>
    <w:rsid w:val="00F64674"/>
    <w:rsid w:val="00F6467F"/>
    <w:rsid w:val="00F64686"/>
    <w:rsid w:val="00F646BA"/>
    <w:rsid w:val="00F646E8"/>
    <w:rsid w:val="00F6474A"/>
    <w:rsid w:val="00F64776"/>
    <w:rsid w:val="00F647A8"/>
    <w:rsid w:val="00F647F5"/>
    <w:rsid w:val="00F647FE"/>
    <w:rsid w:val="00F64870"/>
    <w:rsid w:val="00F64A28"/>
    <w:rsid w:val="00F64A33"/>
    <w:rsid w:val="00F64B02"/>
    <w:rsid w:val="00F64C80"/>
    <w:rsid w:val="00F64C91"/>
    <w:rsid w:val="00F64CAE"/>
    <w:rsid w:val="00F64CD0"/>
    <w:rsid w:val="00F64E09"/>
    <w:rsid w:val="00F64E26"/>
    <w:rsid w:val="00F64EA2"/>
    <w:rsid w:val="00F64F37"/>
    <w:rsid w:val="00F64F53"/>
    <w:rsid w:val="00F64F7C"/>
    <w:rsid w:val="00F65039"/>
    <w:rsid w:val="00F65084"/>
    <w:rsid w:val="00F650CB"/>
    <w:rsid w:val="00F6511E"/>
    <w:rsid w:val="00F6518C"/>
    <w:rsid w:val="00F651F5"/>
    <w:rsid w:val="00F6535B"/>
    <w:rsid w:val="00F65458"/>
    <w:rsid w:val="00F6557C"/>
    <w:rsid w:val="00F65581"/>
    <w:rsid w:val="00F655D6"/>
    <w:rsid w:val="00F6562C"/>
    <w:rsid w:val="00F65673"/>
    <w:rsid w:val="00F65687"/>
    <w:rsid w:val="00F656EC"/>
    <w:rsid w:val="00F65752"/>
    <w:rsid w:val="00F657CC"/>
    <w:rsid w:val="00F657EC"/>
    <w:rsid w:val="00F658C2"/>
    <w:rsid w:val="00F65914"/>
    <w:rsid w:val="00F6596F"/>
    <w:rsid w:val="00F659E2"/>
    <w:rsid w:val="00F65A49"/>
    <w:rsid w:val="00F65A82"/>
    <w:rsid w:val="00F65AC1"/>
    <w:rsid w:val="00F65C09"/>
    <w:rsid w:val="00F65C5C"/>
    <w:rsid w:val="00F65C68"/>
    <w:rsid w:val="00F65C6E"/>
    <w:rsid w:val="00F65D93"/>
    <w:rsid w:val="00F65EBD"/>
    <w:rsid w:val="00F65F95"/>
    <w:rsid w:val="00F660E7"/>
    <w:rsid w:val="00F66121"/>
    <w:rsid w:val="00F6613A"/>
    <w:rsid w:val="00F6618F"/>
    <w:rsid w:val="00F661CF"/>
    <w:rsid w:val="00F66220"/>
    <w:rsid w:val="00F6625A"/>
    <w:rsid w:val="00F66267"/>
    <w:rsid w:val="00F6632F"/>
    <w:rsid w:val="00F6643A"/>
    <w:rsid w:val="00F664A1"/>
    <w:rsid w:val="00F664B8"/>
    <w:rsid w:val="00F664FB"/>
    <w:rsid w:val="00F66554"/>
    <w:rsid w:val="00F6663A"/>
    <w:rsid w:val="00F66665"/>
    <w:rsid w:val="00F6668A"/>
    <w:rsid w:val="00F666E5"/>
    <w:rsid w:val="00F667D4"/>
    <w:rsid w:val="00F6680C"/>
    <w:rsid w:val="00F6688F"/>
    <w:rsid w:val="00F669CD"/>
    <w:rsid w:val="00F66A72"/>
    <w:rsid w:val="00F66B93"/>
    <w:rsid w:val="00F66BA0"/>
    <w:rsid w:val="00F66EEA"/>
    <w:rsid w:val="00F66EFB"/>
    <w:rsid w:val="00F66F4D"/>
    <w:rsid w:val="00F67028"/>
    <w:rsid w:val="00F6704F"/>
    <w:rsid w:val="00F671E5"/>
    <w:rsid w:val="00F671E8"/>
    <w:rsid w:val="00F6732E"/>
    <w:rsid w:val="00F67391"/>
    <w:rsid w:val="00F673DF"/>
    <w:rsid w:val="00F67414"/>
    <w:rsid w:val="00F674E2"/>
    <w:rsid w:val="00F674EE"/>
    <w:rsid w:val="00F67554"/>
    <w:rsid w:val="00F6758B"/>
    <w:rsid w:val="00F675C7"/>
    <w:rsid w:val="00F676CC"/>
    <w:rsid w:val="00F67733"/>
    <w:rsid w:val="00F677E0"/>
    <w:rsid w:val="00F677F2"/>
    <w:rsid w:val="00F67855"/>
    <w:rsid w:val="00F678E5"/>
    <w:rsid w:val="00F6792C"/>
    <w:rsid w:val="00F679AF"/>
    <w:rsid w:val="00F67A0C"/>
    <w:rsid w:val="00F67A63"/>
    <w:rsid w:val="00F67A9E"/>
    <w:rsid w:val="00F67B8A"/>
    <w:rsid w:val="00F67BAC"/>
    <w:rsid w:val="00F67BAF"/>
    <w:rsid w:val="00F67BBE"/>
    <w:rsid w:val="00F67BEE"/>
    <w:rsid w:val="00F67D1C"/>
    <w:rsid w:val="00F67DAA"/>
    <w:rsid w:val="00F67E0C"/>
    <w:rsid w:val="00F67E40"/>
    <w:rsid w:val="00F67E70"/>
    <w:rsid w:val="00F67ED9"/>
    <w:rsid w:val="00F67EF4"/>
    <w:rsid w:val="00F67F28"/>
    <w:rsid w:val="00F67F63"/>
    <w:rsid w:val="00F70007"/>
    <w:rsid w:val="00F700B2"/>
    <w:rsid w:val="00F70171"/>
    <w:rsid w:val="00F701B0"/>
    <w:rsid w:val="00F7020F"/>
    <w:rsid w:val="00F70225"/>
    <w:rsid w:val="00F7040D"/>
    <w:rsid w:val="00F70522"/>
    <w:rsid w:val="00F7063C"/>
    <w:rsid w:val="00F70701"/>
    <w:rsid w:val="00F70716"/>
    <w:rsid w:val="00F7078D"/>
    <w:rsid w:val="00F7082A"/>
    <w:rsid w:val="00F70860"/>
    <w:rsid w:val="00F70A90"/>
    <w:rsid w:val="00F70ADF"/>
    <w:rsid w:val="00F70B91"/>
    <w:rsid w:val="00F70B9C"/>
    <w:rsid w:val="00F70C51"/>
    <w:rsid w:val="00F70C79"/>
    <w:rsid w:val="00F70D28"/>
    <w:rsid w:val="00F70DBD"/>
    <w:rsid w:val="00F70E16"/>
    <w:rsid w:val="00F70E50"/>
    <w:rsid w:val="00F70E60"/>
    <w:rsid w:val="00F71034"/>
    <w:rsid w:val="00F7104B"/>
    <w:rsid w:val="00F710CC"/>
    <w:rsid w:val="00F711E6"/>
    <w:rsid w:val="00F71275"/>
    <w:rsid w:val="00F7127F"/>
    <w:rsid w:val="00F712D2"/>
    <w:rsid w:val="00F713DC"/>
    <w:rsid w:val="00F715B1"/>
    <w:rsid w:val="00F715E6"/>
    <w:rsid w:val="00F716A7"/>
    <w:rsid w:val="00F716F3"/>
    <w:rsid w:val="00F7176B"/>
    <w:rsid w:val="00F71791"/>
    <w:rsid w:val="00F718BA"/>
    <w:rsid w:val="00F71D18"/>
    <w:rsid w:val="00F71D71"/>
    <w:rsid w:val="00F71E00"/>
    <w:rsid w:val="00F71E2B"/>
    <w:rsid w:val="00F71E37"/>
    <w:rsid w:val="00F71F16"/>
    <w:rsid w:val="00F71F66"/>
    <w:rsid w:val="00F7200E"/>
    <w:rsid w:val="00F72061"/>
    <w:rsid w:val="00F72117"/>
    <w:rsid w:val="00F72121"/>
    <w:rsid w:val="00F721DC"/>
    <w:rsid w:val="00F7220F"/>
    <w:rsid w:val="00F72273"/>
    <w:rsid w:val="00F722A1"/>
    <w:rsid w:val="00F72302"/>
    <w:rsid w:val="00F72334"/>
    <w:rsid w:val="00F72388"/>
    <w:rsid w:val="00F723A7"/>
    <w:rsid w:val="00F72494"/>
    <w:rsid w:val="00F726B7"/>
    <w:rsid w:val="00F726D7"/>
    <w:rsid w:val="00F727E1"/>
    <w:rsid w:val="00F72802"/>
    <w:rsid w:val="00F728CD"/>
    <w:rsid w:val="00F728E4"/>
    <w:rsid w:val="00F7293F"/>
    <w:rsid w:val="00F72955"/>
    <w:rsid w:val="00F72A1A"/>
    <w:rsid w:val="00F72A3D"/>
    <w:rsid w:val="00F72AC8"/>
    <w:rsid w:val="00F72AD4"/>
    <w:rsid w:val="00F72B86"/>
    <w:rsid w:val="00F72B89"/>
    <w:rsid w:val="00F72B92"/>
    <w:rsid w:val="00F72BDB"/>
    <w:rsid w:val="00F72C75"/>
    <w:rsid w:val="00F72C7A"/>
    <w:rsid w:val="00F72D3F"/>
    <w:rsid w:val="00F72E58"/>
    <w:rsid w:val="00F72EC9"/>
    <w:rsid w:val="00F72EF1"/>
    <w:rsid w:val="00F73079"/>
    <w:rsid w:val="00F730AC"/>
    <w:rsid w:val="00F730E5"/>
    <w:rsid w:val="00F73168"/>
    <w:rsid w:val="00F731A7"/>
    <w:rsid w:val="00F731E8"/>
    <w:rsid w:val="00F732C1"/>
    <w:rsid w:val="00F732CA"/>
    <w:rsid w:val="00F7337F"/>
    <w:rsid w:val="00F7338A"/>
    <w:rsid w:val="00F7343B"/>
    <w:rsid w:val="00F73584"/>
    <w:rsid w:val="00F7358E"/>
    <w:rsid w:val="00F73610"/>
    <w:rsid w:val="00F73686"/>
    <w:rsid w:val="00F737DB"/>
    <w:rsid w:val="00F73844"/>
    <w:rsid w:val="00F7387E"/>
    <w:rsid w:val="00F73923"/>
    <w:rsid w:val="00F7397D"/>
    <w:rsid w:val="00F739FD"/>
    <w:rsid w:val="00F73A82"/>
    <w:rsid w:val="00F73AFD"/>
    <w:rsid w:val="00F73B9E"/>
    <w:rsid w:val="00F73BF8"/>
    <w:rsid w:val="00F73CE4"/>
    <w:rsid w:val="00F73DD1"/>
    <w:rsid w:val="00F73E5E"/>
    <w:rsid w:val="00F74008"/>
    <w:rsid w:val="00F740B3"/>
    <w:rsid w:val="00F74189"/>
    <w:rsid w:val="00F7428B"/>
    <w:rsid w:val="00F742D8"/>
    <w:rsid w:val="00F7430D"/>
    <w:rsid w:val="00F74365"/>
    <w:rsid w:val="00F743F4"/>
    <w:rsid w:val="00F744A0"/>
    <w:rsid w:val="00F74569"/>
    <w:rsid w:val="00F7459A"/>
    <w:rsid w:val="00F746BA"/>
    <w:rsid w:val="00F746BD"/>
    <w:rsid w:val="00F74765"/>
    <w:rsid w:val="00F74828"/>
    <w:rsid w:val="00F74835"/>
    <w:rsid w:val="00F7483B"/>
    <w:rsid w:val="00F74914"/>
    <w:rsid w:val="00F7495C"/>
    <w:rsid w:val="00F749F8"/>
    <w:rsid w:val="00F74A0E"/>
    <w:rsid w:val="00F74A16"/>
    <w:rsid w:val="00F74B6B"/>
    <w:rsid w:val="00F74B6E"/>
    <w:rsid w:val="00F74B88"/>
    <w:rsid w:val="00F74C61"/>
    <w:rsid w:val="00F74D9F"/>
    <w:rsid w:val="00F74DCD"/>
    <w:rsid w:val="00F74EA5"/>
    <w:rsid w:val="00F74ED8"/>
    <w:rsid w:val="00F74FBD"/>
    <w:rsid w:val="00F7506B"/>
    <w:rsid w:val="00F75107"/>
    <w:rsid w:val="00F7516A"/>
    <w:rsid w:val="00F75186"/>
    <w:rsid w:val="00F75291"/>
    <w:rsid w:val="00F75297"/>
    <w:rsid w:val="00F752C4"/>
    <w:rsid w:val="00F7534B"/>
    <w:rsid w:val="00F753E8"/>
    <w:rsid w:val="00F75481"/>
    <w:rsid w:val="00F75656"/>
    <w:rsid w:val="00F7570C"/>
    <w:rsid w:val="00F75715"/>
    <w:rsid w:val="00F7574C"/>
    <w:rsid w:val="00F758A0"/>
    <w:rsid w:val="00F759FB"/>
    <w:rsid w:val="00F75A1E"/>
    <w:rsid w:val="00F75B0D"/>
    <w:rsid w:val="00F75CDB"/>
    <w:rsid w:val="00F75D86"/>
    <w:rsid w:val="00F75E84"/>
    <w:rsid w:val="00F75FDF"/>
    <w:rsid w:val="00F75FE4"/>
    <w:rsid w:val="00F76091"/>
    <w:rsid w:val="00F760BB"/>
    <w:rsid w:val="00F760DE"/>
    <w:rsid w:val="00F7613A"/>
    <w:rsid w:val="00F76175"/>
    <w:rsid w:val="00F761D8"/>
    <w:rsid w:val="00F7628A"/>
    <w:rsid w:val="00F762A2"/>
    <w:rsid w:val="00F762DD"/>
    <w:rsid w:val="00F76334"/>
    <w:rsid w:val="00F7636B"/>
    <w:rsid w:val="00F76494"/>
    <w:rsid w:val="00F764D6"/>
    <w:rsid w:val="00F764DB"/>
    <w:rsid w:val="00F76588"/>
    <w:rsid w:val="00F765CE"/>
    <w:rsid w:val="00F765DA"/>
    <w:rsid w:val="00F765F3"/>
    <w:rsid w:val="00F765F6"/>
    <w:rsid w:val="00F76725"/>
    <w:rsid w:val="00F76795"/>
    <w:rsid w:val="00F768E6"/>
    <w:rsid w:val="00F76961"/>
    <w:rsid w:val="00F76980"/>
    <w:rsid w:val="00F769A2"/>
    <w:rsid w:val="00F769E9"/>
    <w:rsid w:val="00F76BB2"/>
    <w:rsid w:val="00F76BFB"/>
    <w:rsid w:val="00F76C6A"/>
    <w:rsid w:val="00F76DCF"/>
    <w:rsid w:val="00F76DF6"/>
    <w:rsid w:val="00F76F27"/>
    <w:rsid w:val="00F76FCF"/>
    <w:rsid w:val="00F7705A"/>
    <w:rsid w:val="00F7708A"/>
    <w:rsid w:val="00F770B2"/>
    <w:rsid w:val="00F77179"/>
    <w:rsid w:val="00F773CB"/>
    <w:rsid w:val="00F774B1"/>
    <w:rsid w:val="00F774E2"/>
    <w:rsid w:val="00F775C5"/>
    <w:rsid w:val="00F7766A"/>
    <w:rsid w:val="00F77684"/>
    <w:rsid w:val="00F776A2"/>
    <w:rsid w:val="00F776CF"/>
    <w:rsid w:val="00F77717"/>
    <w:rsid w:val="00F7772D"/>
    <w:rsid w:val="00F7779A"/>
    <w:rsid w:val="00F778DD"/>
    <w:rsid w:val="00F7796E"/>
    <w:rsid w:val="00F77973"/>
    <w:rsid w:val="00F779A0"/>
    <w:rsid w:val="00F779C8"/>
    <w:rsid w:val="00F77A15"/>
    <w:rsid w:val="00F77AE9"/>
    <w:rsid w:val="00F77B2A"/>
    <w:rsid w:val="00F77B5B"/>
    <w:rsid w:val="00F77B7A"/>
    <w:rsid w:val="00F77BA2"/>
    <w:rsid w:val="00F77C30"/>
    <w:rsid w:val="00F77C4C"/>
    <w:rsid w:val="00F77C57"/>
    <w:rsid w:val="00F77CF3"/>
    <w:rsid w:val="00F77D35"/>
    <w:rsid w:val="00F77DAF"/>
    <w:rsid w:val="00F77DE6"/>
    <w:rsid w:val="00F77E9F"/>
    <w:rsid w:val="00F77ED1"/>
    <w:rsid w:val="00F77F14"/>
    <w:rsid w:val="00F77FD3"/>
    <w:rsid w:val="00F8005B"/>
    <w:rsid w:val="00F8011D"/>
    <w:rsid w:val="00F8013F"/>
    <w:rsid w:val="00F8014B"/>
    <w:rsid w:val="00F80258"/>
    <w:rsid w:val="00F8028D"/>
    <w:rsid w:val="00F802AB"/>
    <w:rsid w:val="00F802F7"/>
    <w:rsid w:val="00F80311"/>
    <w:rsid w:val="00F8033B"/>
    <w:rsid w:val="00F80402"/>
    <w:rsid w:val="00F80492"/>
    <w:rsid w:val="00F804CE"/>
    <w:rsid w:val="00F804FD"/>
    <w:rsid w:val="00F8053B"/>
    <w:rsid w:val="00F8054B"/>
    <w:rsid w:val="00F80619"/>
    <w:rsid w:val="00F806A1"/>
    <w:rsid w:val="00F80782"/>
    <w:rsid w:val="00F808C2"/>
    <w:rsid w:val="00F808F1"/>
    <w:rsid w:val="00F8092B"/>
    <w:rsid w:val="00F80A61"/>
    <w:rsid w:val="00F80A81"/>
    <w:rsid w:val="00F80A82"/>
    <w:rsid w:val="00F80AAE"/>
    <w:rsid w:val="00F80AB0"/>
    <w:rsid w:val="00F80B1D"/>
    <w:rsid w:val="00F80C5B"/>
    <w:rsid w:val="00F80C77"/>
    <w:rsid w:val="00F80D43"/>
    <w:rsid w:val="00F80E1E"/>
    <w:rsid w:val="00F80EBE"/>
    <w:rsid w:val="00F80F30"/>
    <w:rsid w:val="00F80F55"/>
    <w:rsid w:val="00F80FFD"/>
    <w:rsid w:val="00F810C7"/>
    <w:rsid w:val="00F810E9"/>
    <w:rsid w:val="00F81102"/>
    <w:rsid w:val="00F81218"/>
    <w:rsid w:val="00F81259"/>
    <w:rsid w:val="00F812E0"/>
    <w:rsid w:val="00F813B1"/>
    <w:rsid w:val="00F8143B"/>
    <w:rsid w:val="00F8147D"/>
    <w:rsid w:val="00F814AB"/>
    <w:rsid w:val="00F81626"/>
    <w:rsid w:val="00F816CC"/>
    <w:rsid w:val="00F81784"/>
    <w:rsid w:val="00F817C0"/>
    <w:rsid w:val="00F81806"/>
    <w:rsid w:val="00F8182C"/>
    <w:rsid w:val="00F81871"/>
    <w:rsid w:val="00F81A74"/>
    <w:rsid w:val="00F81BEF"/>
    <w:rsid w:val="00F81C27"/>
    <w:rsid w:val="00F81C88"/>
    <w:rsid w:val="00F81D00"/>
    <w:rsid w:val="00F81D39"/>
    <w:rsid w:val="00F81D3D"/>
    <w:rsid w:val="00F81DE7"/>
    <w:rsid w:val="00F81E2B"/>
    <w:rsid w:val="00F81F13"/>
    <w:rsid w:val="00F82003"/>
    <w:rsid w:val="00F8204D"/>
    <w:rsid w:val="00F820CE"/>
    <w:rsid w:val="00F82176"/>
    <w:rsid w:val="00F822C9"/>
    <w:rsid w:val="00F82315"/>
    <w:rsid w:val="00F82334"/>
    <w:rsid w:val="00F82370"/>
    <w:rsid w:val="00F823CE"/>
    <w:rsid w:val="00F82415"/>
    <w:rsid w:val="00F824CA"/>
    <w:rsid w:val="00F82574"/>
    <w:rsid w:val="00F826A1"/>
    <w:rsid w:val="00F826E8"/>
    <w:rsid w:val="00F82746"/>
    <w:rsid w:val="00F82791"/>
    <w:rsid w:val="00F82876"/>
    <w:rsid w:val="00F828E4"/>
    <w:rsid w:val="00F82977"/>
    <w:rsid w:val="00F82989"/>
    <w:rsid w:val="00F82ABA"/>
    <w:rsid w:val="00F82ACB"/>
    <w:rsid w:val="00F82B34"/>
    <w:rsid w:val="00F82B67"/>
    <w:rsid w:val="00F82D26"/>
    <w:rsid w:val="00F82D86"/>
    <w:rsid w:val="00F82E06"/>
    <w:rsid w:val="00F82E87"/>
    <w:rsid w:val="00F82E9E"/>
    <w:rsid w:val="00F82F37"/>
    <w:rsid w:val="00F82F8F"/>
    <w:rsid w:val="00F830BF"/>
    <w:rsid w:val="00F83116"/>
    <w:rsid w:val="00F8313B"/>
    <w:rsid w:val="00F83180"/>
    <w:rsid w:val="00F8328C"/>
    <w:rsid w:val="00F832EC"/>
    <w:rsid w:val="00F833DC"/>
    <w:rsid w:val="00F834F2"/>
    <w:rsid w:val="00F8353A"/>
    <w:rsid w:val="00F83545"/>
    <w:rsid w:val="00F83581"/>
    <w:rsid w:val="00F83637"/>
    <w:rsid w:val="00F836AF"/>
    <w:rsid w:val="00F836C2"/>
    <w:rsid w:val="00F836F9"/>
    <w:rsid w:val="00F83703"/>
    <w:rsid w:val="00F8373B"/>
    <w:rsid w:val="00F8376A"/>
    <w:rsid w:val="00F8378A"/>
    <w:rsid w:val="00F83B3D"/>
    <w:rsid w:val="00F83B61"/>
    <w:rsid w:val="00F83B76"/>
    <w:rsid w:val="00F83BCE"/>
    <w:rsid w:val="00F83BD2"/>
    <w:rsid w:val="00F83C2A"/>
    <w:rsid w:val="00F83D76"/>
    <w:rsid w:val="00F83DD0"/>
    <w:rsid w:val="00F83DD7"/>
    <w:rsid w:val="00F83E04"/>
    <w:rsid w:val="00F83E58"/>
    <w:rsid w:val="00F83E60"/>
    <w:rsid w:val="00F83E68"/>
    <w:rsid w:val="00F83E7F"/>
    <w:rsid w:val="00F83F52"/>
    <w:rsid w:val="00F83F88"/>
    <w:rsid w:val="00F8404B"/>
    <w:rsid w:val="00F84077"/>
    <w:rsid w:val="00F840EB"/>
    <w:rsid w:val="00F840F6"/>
    <w:rsid w:val="00F84247"/>
    <w:rsid w:val="00F84261"/>
    <w:rsid w:val="00F8432E"/>
    <w:rsid w:val="00F84353"/>
    <w:rsid w:val="00F8437B"/>
    <w:rsid w:val="00F84384"/>
    <w:rsid w:val="00F84410"/>
    <w:rsid w:val="00F84469"/>
    <w:rsid w:val="00F8455B"/>
    <w:rsid w:val="00F845B2"/>
    <w:rsid w:val="00F845CF"/>
    <w:rsid w:val="00F845D7"/>
    <w:rsid w:val="00F84718"/>
    <w:rsid w:val="00F847BA"/>
    <w:rsid w:val="00F8481A"/>
    <w:rsid w:val="00F84878"/>
    <w:rsid w:val="00F84881"/>
    <w:rsid w:val="00F848CB"/>
    <w:rsid w:val="00F84908"/>
    <w:rsid w:val="00F84938"/>
    <w:rsid w:val="00F849D8"/>
    <w:rsid w:val="00F84A52"/>
    <w:rsid w:val="00F84B28"/>
    <w:rsid w:val="00F84B50"/>
    <w:rsid w:val="00F84B53"/>
    <w:rsid w:val="00F84C2C"/>
    <w:rsid w:val="00F84C3C"/>
    <w:rsid w:val="00F84C6C"/>
    <w:rsid w:val="00F84D4F"/>
    <w:rsid w:val="00F84D5C"/>
    <w:rsid w:val="00F84D69"/>
    <w:rsid w:val="00F84D7C"/>
    <w:rsid w:val="00F84D93"/>
    <w:rsid w:val="00F84DAD"/>
    <w:rsid w:val="00F84FD7"/>
    <w:rsid w:val="00F84FF7"/>
    <w:rsid w:val="00F850EA"/>
    <w:rsid w:val="00F851AC"/>
    <w:rsid w:val="00F851EF"/>
    <w:rsid w:val="00F85331"/>
    <w:rsid w:val="00F85366"/>
    <w:rsid w:val="00F8554F"/>
    <w:rsid w:val="00F85574"/>
    <w:rsid w:val="00F8558D"/>
    <w:rsid w:val="00F85682"/>
    <w:rsid w:val="00F85689"/>
    <w:rsid w:val="00F85755"/>
    <w:rsid w:val="00F85796"/>
    <w:rsid w:val="00F857D7"/>
    <w:rsid w:val="00F85852"/>
    <w:rsid w:val="00F8586B"/>
    <w:rsid w:val="00F8591F"/>
    <w:rsid w:val="00F85C01"/>
    <w:rsid w:val="00F85C2F"/>
    <w:rsid w:val="00F85C52"/>
    <w:rsid w:val="00F85D78"/>
    <w:rsid w:val="00F85DC8"/>
    <w:rsid w:val="00F85E0D"/>
    <w:rsid w:val="00F85E66"/>
    <w:rsid w:val="00F85EAB"/>
    <w:rsid w:val="00F85EEE"/>
    <w:rsid w:val="00F85F02"/>
    <w:rsid w:val="00F85F19"/>
    <w:rsid w:val="00F85FDA"/>
    <w:rsid w:val="00F86114"/>
    <w:rsid w:val="00F861AF"/>
    <w:rsid w:val="00F861EE"/>
    <w:rsid w:val="00F861F6"/>
    <w:rsid w:val="00F8629F"/>
    <w:rsid w:val="00F863A3"/>
    <w:rsid w:val="00F863CB"/>
    <w:rsid w:val="00F8642A"/>
    <w:rsid w:val="00F86440"/>
    <w:rsid w:val="00F86504"/>
    <w:rsid w:val="00F86516"/>
    <w:rsid w:val="00F86534"/>
    <w:rsid w:val="00F8661D"/>
    <w:rsid w:val="00F8663E"/>
    <w:rsid w:val="00F86664"/>
    <w:rsid w:val="00F8672B"/>
    <w:rsid w:val="00F8676F"/>
    <w:rsid w:val="00F867F1"/>
    <w:rsid w:val="00F86879"/>
    <w:rsid w:val="00F869CA"/>
    <w:rsid w:val="00F869F1"/>
    <w:rsid w:val="00F86A24"/>
    <w:rsid w:val="00F86B67"/>
    <w:rsid w:val="00F86C82"/>
    <w:rsid w:val="00F86E54"/>
    <w:rsid w:val="00F86ECD"/>
    <w:rsid w:val="00F86F74"/>
    <w:rsid w:val="00F86F7F"/>
    <w:rsid w:val="00F86F9B"/>
    <w:rsid w:val="00F87020"/>
    <w:rsid w:val="00F8719B"/>
    <w:rsid w:val="00F872A2"/>
    <w:rsid w:val="00F872B5"/>
    <w:rsid w:val="00F8735B"/>
    <w:rsid w:val="00F87400"/>
    <w:rsid w:val="00F87445"/>
    <w:rsid w:val="00F87489"/>
    <w:rsid w:val="00F87639"/>
    <w:rsid w:val="00F8773D"/>
    <w:rsid w:val="00F878D0"/>
    <w:rsid w:val="00F878E3"/>
    <w:rsid w:val="00F87908"/>
    <w:rsid w:val="00F87962"/>
    <w:rsid w:val="00F87A25"/>
    <w:rsid w:val="00F87A6F"/>
    <w:rsid w:val="00F87AAF"/>
    <w:rsid w:val="00F87ABD"/>
    <w:rsid w:val="00F87B94"/>
    <w:rsid w:val="00F87BDD"/>
    <w:rsid w:val="00F87C59"/>
    <w:rsid w:val="00F87C8E"/>
    <w:rsid w:val="00F87D4A"/>
    <w:rsid w:val="00F87D68"/>
    <w:rsid w:val="00F87D8F"/>
    <w:rsid w:val="00F87DE9"/>
    <w:rsid w:val="00F87E1A"/>
    <w:rsid w:val="00F87E4F"/>
    <w:rsid w:val="00F87F48"/>
    <w:rsid w:val="00F87FAD"/>
    <w:rsid w:val="00F87FF3"/>
    <w:rsid w:val="00F90072"/>
    <w:rsid w:val="00F900C1"/>
    <w:rsid w:val="00F901FB"/>
    <w:rsid w:val="00F90210"/>
    <w:rsid w:val="00F902C2"/>
    <w:rsid w:val="00F902F8"/>
    <w:rsid w:val="00F903B9"/>
    <w:rsid w:val="00F90472"/>
    <w:rsid w:val="00F904E7"/>
    <w:rsid w:val="00F904F0"/>
    <w:rsid w:val="00F9050A"/>
    <w:rsid w:val="00F90845"/>
    <w:rsid w:val="00F908A4"/>
    <w:rsid w:val="00F90938"/>
    <w:rsid w:val="00F9093D"/>
    <w:rsid w:val="00F90A13"/>
    <w:rsid w:val="00F90A94"/>
    <w:rsid w:val="00F90B4E"/>
    <w:rsid w:val="00F90B51"/>
    <w:rsid w:val="00F90B9E"/>
    <w:rsid w:val="00F90BF3"/>
    <w:rsid w:val="00F90C17"/>
    <w:rsid w:val="00F90C5D"/>
    <w:rsid w:val="00F90D17"/>
    <w:rsid w:val="00F90D24"/>
    <w:rsid w:val="00F90DE6"/>
    <w:rsid w:val="00F90E10"/>
    <w:rsid w:val="00F90F80"/>
    <w:rsid w:val="00F91148"/>
    <w:rsid w:val="00F91162"/>
    <w:rsid w:val="00F91232"/>
    <w:rsid w:val="00F9123B"/>
    <w:rsid w:val="00F9139D"/>
    <w:rsid w:val="00F9142A"/>
    <w:rsid w:val="00F914B9"/>
    <w:rsid w:val="00F914D4"/>
    <w:rsid w:val="00F91566"/>
    <w:rsid w:val="00F915A8"/>
    <w:rsid w:val="00F915F7"/>
    <w:rsid w:val="00F91653"/>
    <w:rsid w:val="00F91654"/>
    <w:rsid w:val="00F916A9"/>
    <w:rsid w:val="00F917BD"/>
    <w:rsid w:val="00F91803"/>
    <w:rsid w:val="00F91811"/>
    <w:rsid w:val="00F9181F"/>
    <w:rsid w:val="00F9184A"/>
    <w:rsid w:val="00F9191C"/>
    <w:rsid w:val="00F919B1"/>
    <w:rsid w:val="00F91A49"/>
    <w:rsid w:val="00F91AB2"/>
    <w:rsid w:val="00F91AF0"/>
    <w:rsid w:val="00F91BD9"/>
    <w:rsid w:val="00F91C21"/>
    <w:rsid w:val="00F91C4F"/>
    <w:rsid w:val="00F91CD3"/>
    <w:rsid w:val="00F91DA4"/>
    <w:rsid w:val="00F91DE7"/>
    <w:rsid w:val="00F91F11"/>
    <w:rsid w:val="00F91F78"/>
    <w:rsid w:val="00F91F93"/>
    <w:rsid w:val="00F91FB9"/>
    <w:rsid w:val="00F92049"/>
    <w:rsid w:val="00F9208D"/>
    <w:rsid w:val="00F920B2"/>
    <w:rsid w:val="00F920C7"/>
    <w:rsid w:val="00F9214E"/>
    <w:rsid w:val="00F92212"/>
    <w:rsid w:val="00F92240"/>
    <w:rsid w:val="00F92276"/>
    <w:rsid w:val="00F92279"/>
    <w:rsid w:val="00F92288"/>
    <w:rsid w:val="00F922CB"/>
    <w:rsid w:val="00F923E7"/>
    <w:rsid w:val="00F9249D"/>
    <w:rsid w:val="00F9265B"/>
    <w:rsid w:val="00F9266A"/>
    <w:rsid w:val="00F92676"/>
    <w:rsid w:val="00F9267E"/>
    <w:rsid w:val="00F926D5"/>
    <w:rsid w:val="00F92739"/>
    <w:rsid w:val="00F928A5"/>
    <w:rsid w:val="00F928AE"/>
    <w:rsid w:val="00F928FA"/>
    <w:rsid w:val="00F92926"/>
    <w:rsid w:val="00F92950"/>
    <w:rsid w:val="00F92991"/>
    <w:rsid w:val="00F92999"/>
    <w:rsid w:val="00F929C0"/>
    <w:rsid w:val="00F92A1E"/>
    <w:rsid w:val="00F92BEB"/>
    <w:rsid w:val="00F92BF3"/>
    <w:rsid w:val="00F92D54"/>
    <w:rsid w:val="00F92DAC"/>
    <w:rsid w:val="00F92E4A"/>
    <w:rsid w:val="00F92E67"/>
    <w:rsid w:val="00F92F48"/>
    <w:rsid w:val="00F92F83"/>
    <w:rsid w:val="00F92FB7"/>
    <w:rsid w:val="00F93035"/>
    <w:rsid w:val="00F9307C"/>
    <w:rsid w:val="00F930BA"/>
    <w:rsid w:val="00F930D5"/>
    <w:rsid w:val="00F93137"/>
    <w:rsid w:val="00F9319D"/>
    <w:rsid w:val="00F931D0"/>
    <w:rsid w:val="00F931F3"/>
    <w:rsid w:val="00F931FD"/>
    <w:rsid w:val="00F9328E"/>
    <w:rsid w:val="00F9340D"/>
    <w:rsid w:val="00F9340E"/>
    <w:rsid w:val="00F93459"/>
    <w:rsid w:val="00F93491"/>
    <w:rsid w:val="00F93595"/>
    <w:rsid w:val="00F935BE"/>
    <w:rsid w:val="00F93710"/>
    <w:rsid w:val="00F93785"/>
    <w:rsid w:val="00F937EA"/>
    <w:rsid w:val="00F93825"/>
    <w:rsid w:val="00F9382F"/>
    <w:rsid w:val="00F93881"/>
    <w:rsid w:val="00F938BE"/>
    <w:rsid w:val="00F9392D"/>
    <w:rsid w:val="00F93A2E"/>
    <w:rsid w:val="00F93A58"/>
    <w:rsid w:val="00F93A83"/>
    <w:rsid w:val="00F93A9D"/>
    <w:rsid w:val="00F93AFA"/>
    <w:rsid w:val="00F93C77"/>
    <w:rsid w:val="00F93DCA"/>
    <w:rsid w:val="00F93DF2"/>
    <w:rsid w:val="00F93E2A"/>
    <w:rsid w:val="00F93E6D"/>
    <w:rsid w:val="00F93F51"/>
    <w:rsid w:val="00F94026"/>
    <w:rsid w:val="00F9403B"/>
    <w:rsid w:val="00F94180"/>
    <w:rsid w:val="00F9418F"/>
    <w:rsid w:val="00F9422A"/>
    <w:rsid w:val="00F942C5"/>
    <w:rsid w:val="00F942E1"/>
    <w:rsid w:val="00F942EF"/>
    <w:rsid w:val="00F942FE"/>
    <w:rsid w:val="00F944B9"/>
    <w:rsid w:val="00F9452C"/>
    <w:rsid w:val="00F945FC"/>
    <w:rsid w:val="00F9461B"/>
    <w:rsid w:val="00F94674"/>
    <w:rsid w:val="00F9467A"/>
    <w:rsid w:val="00F9477D"/>
    <w:rsid w:val="00F947A1"/>
    <w:rsid w:val="00F94825"/>
    <w:rsid w:val="00F948C1"/>
    <w:rsid w:val="00F94939"/>
    <w:rsid w:val="00F949D2"/>
    <w:rsid w:val="00F949FB"/>
    <w:rsid w:val="00F94A1C"/>
    <w:rsid w:val="00F94BC9"/>
    <w:rsid w:val="00F94C24"/>
    <w:rsid w:val="00F94C4C"/>
    <w:rsid w:val="00F94C72"/>
    <w:rsid w:val="00F94C86"/>
    <w:rsid w:val="00F94DBE"/>
    <w:rsid w:val="00F94DE9"/>
    <w:rsid w:val="00F94E65"/>
    <w:rsid w:val="00F94E75"/>
    <w:rsid w:val="00F94E9A"/>
    <w:rsid w:val="00F94EDA"/>
    <w:rsid w:val="00F94F1A"/>
    <w:rsid w:val="00F94F1C"/>
    <w:rsid w:val="00F94F72"/>
    <w:rsid w:val="00F94FDB"/>
    <w:rsid w:val="00F95014"/>
    <w:rsid w:val="00F9503B"/>
    <w:rsid w:val="00F95091"/>
    <w:rsid w:val="00F950D8"/>
    <w:rsid w:val="00F95135"/>
    <w:rsid w:val="00F9513A"/>
    <w:rsid w:val="00F95267"/>
    <w:rsid w:val="00F952A5"/>
    <w:rsid w:val="00F95349"/>
    <w:rsid w:val="00F953B6"/>
    <w:rsid w:val="00F9542B"/>
    <w:rsid w:val="00F954CA"/>
    <w:rsid w:val="00F954DF"/>
    <w:rsid w:val="00F9558F"/>
    <w:rsid w:val="00F955BB"/>
    <w:rsid w:val="00F955F6"/>
    <w:rsid w:val="00F956A7"/>
    <w:rsid w:val="00F95897"/>
    <w:rsid w:val="00F958F1"/>
    <w:rsid w:val="00F95913"/>
    <w:rsid w:val="00F9592B"/>
    <w:rsid w:val="00F9597A"/>
    <w:rsid w:val="00F95A04"/>
    <w:rsid w:val="00F95B69"/>
    <w:rsid w:val="00F95CB6"/>
    <w:rsid w:val="00F95CD9"/>
    <w:rsid w:val="00F95D70"/>
    <w:rsid w:val="00F95D84"/>
    <w:rsid w:val="00F95D93"/>
    <w:rsid w:val="00F95DC5"/>
    <w:rsid w:val="00F95EB9"/>
    <w:rsid w:val="00F95F26"/>
    <w:rsid w:val="00F962F7"/>
    <w:rsid w:val="00F9631A"/>
    <w:rsid w:val="00F96343"/>
    <w:rsid w:val="00F96369"/>
    <w:rsid w:val="00F9640F"/>
    <w:rsid w:val="00F96460"/>
    <w:rsid w:val="00F9653C"/>
    <w:rsid w:val="00F96573"/>
    <w:rsid w:val="00F9657F"/>
    <w:rsid w:val="00F965DF"/>
    <w:rsid w:val="00F96614"/>
    <w:rsid w:val="00F96617"/>
    <w:rsid w:val="00F9669B"/>
    <w:rsid w:val="00F968E4"/>
    <w:rsid w:val="00F9691E"/>
    <w:rsid w:val="00F96945"/>
    <w:rsid w:val="00F96A28"/>
    <w:rsid w:val="00F96A3A"/>
    <w:rsid w:val="00F96AB0"/>
    <w:rsid w:val="00F96D20"/>
    <w:rsid w:val="00F96E31"/>
    <w:rsid w:val="00F96EC4"/>
    <w:rsid w:val="00F96FB4"/>
    <w:rsid w:val="00F96FC7"/>
    <w:rsid w:val="00F97072"/>
    <w:rsid w:val="00F9717F"/>
    <w:rsid w:val="00F9728A"/>
    <w:rsid w:val="00F97384"/>
    <w:rsid w:val="00F9744A"/>
    <w:rsid w:val="00F974AD"/>
    <w:rsid w:val="00F975D7"/>
    <w:rsid w:val="00F975ED"/>
    <w:rsid w:val="00F977CC"/>
    <w:rsid w:val="00F9781F"/>
    <w:rsid w:val="00F978E0"/>
    <w:rsid w:val="00F97925"/>
    <w:rsid w:val="00F9799A"/>
    <w:rsid w:val="00F979C3"/>
    <w:rsid w:val="00F97C97"/>
    <w:rsid w:val="00F97C9D"/>
    <w:rsid w:val="00F97D0D"/>
    <w:rsid w:val="00F97E7F"/>
    <w:rsid w:val="00F97EEC"/>
    <w:rsid w:val="00F97F08"/>
    <w:rsid w:val="00F97F1A"/>
    <w:rsid w:val="00F97FFC"/>
    <w:rsid w:val="00FA003C"/>
    <w:rsid w:val="00FA00D7"/>
    <w:rsid w:val="00FA0139"/>
    <w:rsid w:val="00FA0215"/>
    <w:rsid w:val="00FA0220"/>
    <w:rsid w:val="00FA026C"/>
    <w:rsid w:val="00FA0367"/>
    <w:rsid w:val="00FA0426"/>
    <w:rsid w:val="00FA0487"/>
    <w:rsid w:val="00FA04A0"/>
    <w:rsid w:val="00FA04A2"/>
    <w:rsid w:val="00FA04E9"/>
    <w:rsid w:val="00FA0730"/>
    <w:rsid w:val="00FA076C"/>
    <w:rsid w:val="00FA07B4"/>
    <w:rsid w:val="00FA0829"/>
    <w:rsid w:val="00FA0868"/>
    <w:rsid w:val="00FA0990"/>
    <w:rsid w:val="00FA099F"/>
    <w:rsid w:val="00FA09F5"/>
    <w:rsid w:val="00FA09FB"/>
    <w:rsid w:val="00FA0A36"/>
    <w:rsid w:val="00FA0AF3"/>
    <w:rsid w:val="00FA0BC4"/>
    <w:rsid w:val="00FA0C01"/>
    <w:rsid w:val="00FA0C10"/>
    <w:rsid w:val="00FA0C6E"/>
    <w:rsid w:val="00FA0C7F"/>
    <w:rsid w:val="00FA0CC1"/>
    <w:rsid w:val="00FA0CCD"/>
    <w:rsid w:val="00FA0EC3"/>
    <w:rsid w:val="00FA0F1C"/>
    <w:rsid w:val="00FA101A"/>
    <w:rsid w:val="00FA1060"/>
    <w:rsid w:val="00FA11C4"/>
    <w:rsid w:val="00FA1226"/>
    <w:rsid w:val="00FA132B"/>
    <w:rsid w:val="00FA1330"/>
    <w:rsid w:val="00FA1355"/>
    <w:rsid w:val="00FA13B8"/>
    <w:rsid w:val="00FA1486"/>
    <w:rsid w:val="00FA1487"/>
    <w:rsid w:val="00FA1499"/>
    <w:rsid w:val="00FA15AF"/>
    <w:rsid w:val="00FA160F"/>
    <w:rsid w:val="00FA1632"/>
    <w:rsid w:val="00FA16A7"/>
    <w:rsid w:val="00FA173C"/>
    <w:rsid w:val="00FA179C"/>
    <w:rsid w:val="00FA17D8"/>
    <w:rsid w:val="00FA17E1"/>
    <w:rsid w:val="00FA187E"/>
    <w:rsid w:val="00FA19D7"/>
    <w:rsid w:val="00FA19FC"/>
    <w:rsid w:val="00FA1A4F"/>
    <w:rsid w:val="00FA1B18"/>
    <w:rsid w:val="00FA1B40"/>
    <w:rsid w:val="00FA1B82"/>
    <w:rsid w:val="00FA1C2A"/>
    <w:rsid w:val="00FA1C93"/>
    <w:rsid w:val="00FA1DA1"/>
    <w:rsid w:val="00FA1DA8"/>
    <w:rsid w:val="00FA1DB7"/>
    <w:rsid w:val="00FA1DD2"/>
    <w:rsid w:val="00FA1E0C"/>
    <w:rsid w:val="00FA2066"/>
    <w:rsid w:val="00FA206D"/>
    <w:rsid w:val="00FA20F1"/>
    <w:rsid w:val="00FA2147"/>
    <w:rsid w:val="00FA21CF"/>
    <w:rsid w:val="00FA2258"/>
    <w:rsid w:val="00FA227F"/>
    <w:rsid w:val="00FA232F"/>
    <w:rsid w:val="00FA2337"/>
    <w:rsid w:val="00FA23FB"/>
    <w:rsid w:val="00FA2470"/>
    <w:rsid w:val="00FA2489"/>
    <w:rsid w:val="00FA24B2"/>
    <w:rsid w:val="00FA24DE"/>
    <w:rsid w:val="00FA2686"/>
    <w:rsid w:val="00FA26B9"/>
    <w:rsid w:val="00FA275E"/>
    <w:rsid w:val="00FA2843"/>
    <w:rsid w:val="00FA28C6"/>
    <w:rsid w:val="00FA28D1"/>
    <w:rsid w:val="00FA28F6"/>
    <w:rsid w:val="00FA2940"/>
    <w:rsid w:val="00FA2AE3"/>
    <w:rsid w:val="00FA2B7F"/>
    <w:rsid w:val="00FA2B89"/>
    <w:rsid w:val="00FA2BC7"/>
    <w:rsid w:val="00FA2BDC"/>
    <w:rsid w:val="00FA2BF7"/>
    <w:rsid w:val="00FA2CD9"/>
    <w:rsid w:val="00FA2D14"/>
    <w:rsid w:val="00FA2D73"/>
    <w:rsid w:val="00FA2D8A"/>
    <w:rsid w:val="00FA2DE1"/>
    <w:rsid w:val="00FA2E11"/>
    <w:rsid w:val="00FA2E80"/>
    <w:rsid w:val="00FA2EFE"/>
    <w:rsid w:val="00FA319E"/>
    <w:rsid w:val="00FA3214"/>
    <w:rsid w:val="00FA32C3"/>
    <w:rsid w:val="00FA32FA"/>
    <w:rsid w:val="00FA32FF"/>
    <w:rsid w:val="00FA335B"/>
    <w:rsid w:val="00FA33B5"/>
    <w:rsid w:val="00FA33C3"/>
    <w:rsid w:val="00FA33EA"/>
    <w:rsid w:val="00FA3541"/>
    <w:rsid w:val="00FA35F1"/>
    <w:rsid w:val="00FA35F6"/>
    <w:rsid w:val="00FA3665"/>
    <w:rsid w:val="00FA36DC"/>
    <w:rsid w:val="00FA37F6"/>
    <w:rsid w:val="00FA385B"/>
    <w:rsid w:val="00FA3863"/>
    <w:rsid w:val="00FA3A50"/>
    <w:rsid w:val="00FA3A65"/>
    <w:rsid w:val="00FA3A80"/>
    <w:rsid w:val="00FA3BB1"/>
    <w:rsid w:val="00FA3D99"/>
    <w:rsid w:val="00FA3E5D"/>
    <w:rsid w:val="00FA3F1B"/>
    <w:rsid w:val="00FA3F54"/>
    <w:rsid w:val="00FA40E0"/>
    <w:rsid w:val="00FA410E"/>
    <w:rsid w:val="00FA41A6"/>
    <w:rsid w:val="00FA41B1"/>
    <w:rsid w:val="00FA41B7"/>
    <w:rsid w:val="00FA41D7"/>
    <w:rsid w:val="00FA420E"/>
    <w:rsid w:val="00FA436D"/>
    <w:rsid w:val="00FA438C"/>
    <w:rsid w:val="00FA439B"/>
    <w:rsid w:val="00FA43D6"/>
    <w:rsid w:val="00FA440B"/>
    <w:rsid w:val="00FA441D"/>
    <w:rsid w:val="00FA4456"/>
    <w:rsid w:val="00FA4475"/>
    <w:rsid w:val="00FA44B6"/>
    <w:rsid w:val="00FA44BC"/>
    <w:rsid w:val="00FA457D"/>
    <w:rsid w:val="00FA45A7"/>
    <w:rsid w:val="00FA45E6"/>
    <w:rsid w:val="00FA464E"/>
    <w:rsid w:val="00FA467C"/>
    <w:rsid w:val="00FA47B9"/>
    <w:rsid w:val="00FA48B4"/>
    <w:rsid w:val="00FA48DB"/>
    <w:rsid w:val="00FA48DF"/>
    <w:rsid w:val="00FA4912"/>
    <w:rsid w:val="00FA4959"/>
    <w:rsid w:val="00FA49DE"/>
    <w:rsid w:val="00FA4A4E"/>
    <w:rsid w:val="00FA4B0F"/>
    <w:rsid w:val="00FA4BAD"/>
    <w:rsid w:val="00FA4BC1"/>
    <w:rsid w:val="00FA4C4C"/>
    <w:rsid w:val="00FA4CCD"/>
    <w:rsid w:val="00FA4EC0"/>
    <w:rsid w:val="00FA4EEE"/>
    <w:rsid w:val="00FA4EF1"/>
    <w:rsid w:val="00FA4F57"/>
    <w:rsid w:val="00FA4FCB"/>
    <w:rsid w:val="00FA50AF"/>
    <w:rsid w:val="00FA50E4"/>
    <w:rsid w:val="00FA52DC"/>
    <w:rsid w:val="00FA5407"/>
    <w:rsid w:val="00FA54DC"/>
    <w:rsid w:val="00FA54DD"/>
    <w:rsid w:val="00FA54F9"/>
    <w:rsid w:val="00FA54FA"/>
    <w:rsid w:val="00FA5500"/>
    <w:rsid w:val="00FA55F8"/>
    <w:rsid w:val="00FA5686"/>
    <w:rsid w:val="00FA571F"/>
    <w:rsid w:val="00FA5750"/>
    <w:rsid w:val="00FA5755"/>
    <w:rsid w:val="00FA5787"/>
    <w:rsid w:val="00FA57AF"/>
    <w:rsid w:val="00FA58AE"/>
    <w:rsid w:val="00FA58CB"/>
    <w:rsid w:val="00FA5919"/>
    <w:rsid w:val="00FA5A70"/>
    <w:rsid w:val="00FA5A98"/>
    <w:rsid w:val="00FA5B2C"/>
    <w:rsid w:val="00FA5C7C"/>
    <w:rsid w:val="00FA5C86"/>
    <w:rsid w:val="00FA5D80"/>
    <w:rsid w:val="00FA5DC2"/>
    <w:rsid w:val="00FA5EDA"/>
    <w:rsid w:val="00FA5F1E"/>
    <w:rsid w:val="00FA5F76"/>
    <w:rsid w:val="00FA5FC7"/>
    <w:rsid w:val="00FA6053"/>
    <w:rsid w:val="00FA60F5"/>
    <w:rsid w:val="00FA612B"/>
    <w:rsid w:val="00FA615E"/>
    <w:rsid w:val="00FA61D5"/>
    <w:rsid w:val="00FA6215"/>
    <w:rsid w:val="00FA62F6"/>
    <w:rsid w:val="00FA6443"/>
    <w:rsid w:val="00FA648C"/>
    <w:rsid w:val="00FA64C6"/>
    <w:rsid w:val="00FA6525"/>
    <w:rsid w:val="00FA6656"/>
    <w:rsid w:val="00FA6715"/>
    <w:rsid w:val="00FA67B0"/>
    <w:rsid w:val="00FA6812"/>
    <w:rsid w:val="00FA688B"/>
    <w:rsid w:val="00FA68C7"/>
    <w:rsid w:val="00FA6942"/>
    <w:rsid w:val="00FA69FF"/>
    <w:rsid w:val="00FA6A32"/>
    <w:rsid w:val="00FA6B12"/>
    <w:rsid w:val="00FA6B72"/>
    <w:rsid w:val="00FA6C1C"/>
    <w:rsid w:val="00FA6C85"/>
    <w:rsid w:val="00FA6CBF"/>
    <w:rsid w:val="00FA6D32"/>
    <w:rsid w:val="00FA6D40"/>
    <w:rsid w:val="00FA6DE0"/>
    <w:rsid w:val="00FA6DEA"/>
    <w:rsid w:val="00FA6E02"/>
    <w:rsid w:val="00FA6E9D"/>
    <w:rsid w:val="00FA6F11"/>
    <w:rsid w:val="00FA6FC7"/>
    <w:rsid w:val="00FA7193"/>
    <w:rsid w:val="00FA728A"/>
    <w:rsid w:val="00FA733A"/>
    <w:rsid w:val="00FA745F"/>
    <w:rsid w:val="00FA752B"/>
    <w:rsid w:val="00FA75F6"/>
    <w:rsid w:val="00FA7609"/>
    <w:rsid w:val="00FA765C"/>
    <w:rsid w:val="00FA76F0"/>
    <w:rsid w:val="00FA78A0"/>
    <w:rsid w:val="00FA7964"/>
    <w:rsid w:val="00FA7A08"/>
    <w:rsid w:val="00FA7A5D"/>
    <w:rsid w:val="00FA7A72"/>
    <w:rsid w:val="00FA7A88"/>
    <w:rsid w:val="00FA7BF7"/>
    <w:rsid w:val="00FA7C3A"/>
    <w:rsid w:val="00FA7CB8"/>
    <w:rsid w:val="00FA7D00"/>
    <w:rsid w:val="00FA7D0C"/>
    <w:rsid w:val="00FA7D27"/>
    <w:rsid w:val="00FA7D53"/>
    <w:rsid w:val="00FA7EED"/>
    <w:rsid w:val="00FA7EFD"/>
    <w:rsid w:val="00FA7F1B"/>
    <w:rsid w:val="00FA7F72"/>
    <w:rsid w:val="00FB01E4"/>
    <w:rsid w:val="00FB029E"/>
    <w:rsid w:val="00FB02F3"/>
    <w:rsid w:val="00FB02F6"/>
    <w:rsid w:val="00FB03F3"/>
    <w:rsid w:val="00FB0413"/>
    <w:rsid w:val="00FB042E"/>
    <w:rsid w:val="00FB0487"/>
    <w:rsid w:val="00FB0498"/>
    <w:rsid w:val="00FB04CC"/>
    <w:rsid w:val="00FB068F"/>
    <w:rsid w:val="00FB070F"/>
    <w:rsid w:val="00FB0713"/>
    <w:rsid w:val="00FB0738"/>
    <w:rsid w:val="00FB0879"/>
    <w:rsid w:val="00FB09CF"/>
    <w:rsid w:val="00FB0AC3"/>
    <w:rsid w:val="00FB0BDE"/>
    <w:rsid w:val="00FB0BFC"/>
    <w:rsid w:val="00FB0C26"/>
    <w:rsid w:val="00FB0D30"/>
    <w:rsid w:val="00FB0EC0"/>
    <w:rsid w:val="00FB0F1D"/>
    <w:rsid w:val="00FB1070"/>
    <w:rsid w:val="00FB10EB"/>
    <w:rsid w:val="00FB1302"/>
    <w:rsid w:val="00FB1327"/>
    <w:rsid w:val="00FB138B"/>
    <w:rsid w:val="00FB1461"/>
    <w:rsid w:val="00FB14D6"/>
    <w:rsid w:val="00FB14E1"/>
    <w:rsid w:val="00FB14E8"/>
    <w:rsid w:val="00FB15C2"/>
    <w:rsid w:val="00FB17B6"/>
    <w:rsid w:val="00FB1833"/>
    <w:rsid w:val="00FB1884"/>
    <w:rsid w:val="00FB1899"/>
    <w:rsid w:val="00FB195B"/>
    <w:rsid w:val="00FB1AED"/>
    <w:rsid w:val="00FB1B13"/>
    <w:rsid w:val="00FB1BBC"/>
    <w:rsid w:val="00FB1BF7"/>
    <w:rsid w:val="00FB1C66"/>
    <w:rsid w:val="00FB1C79"/>
    <w:rsid w:val="00FB1D12"/>
    <w:rsid w:val="00FB1D48"/>
    <w:rsid w:val="00FB1D88"/>
    <w:rsid w:val="00FB1EA8"/>
    <w:rsid w:val="00FB1F22"/>
    <w:rsid w:val="00FB1F5E"/>
    <w:rsid w:val="00FB1FB5"/>
    <w:rsid w:val="00FB1FD9"/>
    <w:rsid w:val="00FB1FFE"/>
    <w:rsid w:val="00FB2006"/>
    <w:rsid w:val="00FB204A"/>
    <w:rsid w:val="00FB218A"/>
    <w:rsid w:val="00FB21FE"/>
    <w:rsid w:val="00FB2249"/>
    <w:rsid w:val="00FB22F2"/>
    <w:rsid w:val="00FB2307"/>
    <w:rsid w:val="00FB236F"/>
    <w:rsid w:val="00FB24E6"/>
    <w:rsid w:val="00FB254F"/>
    <w:rsid w:val="00FB2567"/>
    <w:rsid w:val="00FB259D"/>
    <w:rsid w:val="00FB25E0"/>
    <w:rsid w:val="00FB26C3"/>
    <w:rsid w:val="00FB26CA"/>
    <w:rsid w:val="00FB26F5"/>
    <w:rsid w:val="00FB2764"/>
    <w:rsid w:val="00FB277B"/>
    <w:rsid w:val="00FB27C4"/>
    <w:rsid w:val="00FB281C"/>
    <w:rsid w:val="00FB29A0"/>
    <w:rsid w:val="00FB29B3"/>
    <w:rsid w:val="00FB2A57"/>
    <w:rsid w:val="00FB2A7A"/>
    <w:rsid w:val="00FB2AD5"/>
    <w:rsid w:val="00FB2B04"/>
    <w:rsid w:val="00FB2B49"/>
    <w:rsid w:val="00FB2BAE"/>
    <w:rsid w:val="00FB2C03"/>
    <w:rsid w:val="00FB2C92"/>
    <w:rsid w:val="00FB2D2E"/>
    <w:rsid w:val="00FB2E21"/>
    <w:rsid w:val="00FB2F4E"/>
    <w:rsid w:val="00FB3063"/>
    <w:rsid w:val="00FB30BD"/>
    <w:rsid w:val="00FB30F3"/>
    <w:rsid w:val="00FB3122"/>
    <w:rsid w:val="00FB319C"/>
    <w:rsid w:val="00FB31AA"/>
    <w:rsid w:val="00FB31B1"/>
    <w:rsid w:val="00FB31D7"/>
    <w:rsid w:val="00FB31F6"/>
    <w:rsid w:val="00FB324A"/>
    <w:rsid w:val="00FB3261"/>
    <w:rsid w:val="00FB32BE"/>
    <w:rsid w:val="00FB337D"/>
    <w:rsid w:val="00FB337F"/>
    <w:rsid w:val="00FB33C8"/>
    <w:rsid w:val="00FB3400"/>
    <w:rsid w:val="00FB3413"/>
    <w:rsid w:val="00FB3439"/>
    <w:rsid w:val="00FB34B0"/>
    <w:rsid w:val="00FB34F6"/>
    <w:rsid w:val="00FB37FA"/>
    <w:rsid w:val="00FB3967"/>
    <w:rsid w:val="00FB39DF"/>
    <w:rsid w:val="00FB3A12"/>
    <w:rsid w:val="00FB3A7B"/>
    <w:rsid w:val="00FB3AEA"/>
    <w:rsid w:val="00FB3B19"/>
    <w:rsid w:val="00FB3BCA"/>
    <w:rsid w:val="00FB3C30"/>
    <w:rsid w:val="00FB3C35"/>
    <w:rsid w:val="00FB3C93"/>
    <w:rsid w:val="00FB3CFD"/>
    <w:rsid w:val="00FB3E36"/>
    <w:rsid w:val="00FB3F11"/>
    <w:rsid w:val="00FB3F7A"/>
    <w:rsid w:val="00FB4087"/>
    <w:rsid w:val="00FB41B8"/>
    <w:rsid w:val="00FB4230"/>
    <w:rsid w:val="00FB4281"/>
    <w:rsid w:val="00FB428E"/>
    <w:rsid w:val="00FB4295"/>
    <w:rsid w:val="00FB42C4"/>
    <w:rsid w:val="00FB4388"/>
    <w:rsid w:val="00FB43AC"/>
    <w:rsid w:val="00FB45F4"/>
    <w:rsid w:val="00FB4643"/>
    <w:rsid w:val="00FB46B4"/>
    <w:rsid w:val="00FB46CD"/>
    <w:rsid w:val="00FB47E9"/>
    <w:rsid w:val="00FB482C"/>
    <w:rsid w:val="00FB482E"/>
    <w:rsid w:val="00FB489D"/>
    <w:rsid w:val="00FB48A4"/>
    <w:rsid w:val="00FB4903"/>
    <w:rsid w:val="00FB4927"/>
    <w:rsid w:val="00FB492F"/>
    <w:rsid w:val="00FB4989"/>
    <w:rsid w:val="00FB49E5"/>
    <w:rsid w:val="00FB4A7A"/>
    <w:rsid w:val="00FB4A92"/>
    <w:rsid w:val="00FB4B41"/>
    <w:rsid w:val="00FB4B93"/>
    <w:rsid w:val="00FB4BE1"/>
    <w:rsid w:val="00FB4CAA"/>
    <w:rsid w:val="00FB4CCD"/>
    <w:rsid w:val="00FB4D21"/>
    <w:rsid w:val="00FB4DE1"/>
    <w:rsid w:val="00FB4E61"/>
    <w:rsid w:val="00FB4EDE"/>
    <w:rsid w:val="00FB4F53"/>
    <w:rsid w:val="00FB4F56"/>
    <w:rsid w:val="00FB4F7D"/>
    <w:rsid w:val="00FB5075"/>
    <w:rsid w:val="00FB5090"/>
    <w:rsid w:val="00FB52B8"/>
    <w:rsid w:val="00FB52C2"/>
    <w:rsid w:val="00FB5316"/>
    <w:rsid w:val="00FB534D"/>
    <w:rsid w:val="00FB5426"/>
    <w:rsid w:val="00FB5439"/>
    <w:rsid w:val="00FB546A"/>
    <w:rsid w:val="00FB5479"/>
    <w:rsid w:val="00FB548E"/>
    <w:rsid w:val="00FB54A2"/>
    <w:rsid w:val="00FB54E9"/>
    <w:rsid w:val="00FB5630"/>
    <w:rsid w:val="00FB5656"/>
    <w:rsid w:val="00FB5664"/>
    <w:rsid w:val="00FB5696"/>
    <w:rsid w:val="00FB56F4"/>
    <w:rsid w:val="00FB5700"/>
    <w:rsid w:val="00FB5711"/>
    <w:rsid w:val="00FB58CB"/>
    <w:rsid w:val="00FB5957"/>
    <w:rsid w:val="00FB598C"/>
    <w:rsid w:val="00FB5ABE"/>
    <w:rsid w:val="00FB5BDD"/>
    <w:rsid w:val="00FB5CE3"/>
    <w:rsid w:val="00FB5CF7"/>
    <w:rsid w:val="00FB5CF9"/>
    <w:rsid w:val="00FB5D02"/>
    <w:rsid w:val="00FB5DED"/>
    <w:rsid w:val="00FB5E3A"/>
    <w:rsid w:val="00FB5E96"/>
    <w:rsid w:val="00FB5F3A"/>
    <w:rsid w:val="00FB5FFB"/>
    <w:rsid w:val="00FB6128"/>
    <w:rsid w:val="00FB6374"/>
    <w:rsid w:val="00FB64E3"/>
    <w:rsid w:val="00FB6538"/>
    <w:rsid w:val="00FB6574"/>
    <w:rsid w:val="00FB65E2"/>
    <w:rsid w:val="00FB65EC"/>
    <w:rsid w:val="00FB6621"/>
    <w:rsid w:val="00FB66B4"/>
    <w:rsid w:val="00FB6737"/>
    <w:rsid w:val="00FB67BC"/>
    <w:rsid w:val="00FB67D0"/>
    <w:rsid w:val="00FB67F0"/>
    <w:rsid w:val="00FB6849"/>
    <w:rsid w:val="00FB6867"/>
    <w:rsid w:val="00FB689E"/>
    <w:rsid w:val="00FB691F"/>
    <w:rsid w:val="00FB6922"/>
    <w:rsid w:val="00FB69D7"/>
    <w:rsid w:val="00FB69D8"/>
    <w:rsid w:val="00FB6AD1"/>
    <w:rsid w:val="00FB6AE2"/>
    <w:rsid w:val="00FB6C83"/>
    <w:rsid w:val="00FB6CD0"/>
    <w:rsid w:val="00FB6CF1"/>
    <w:rsid w:val="00FB6DD1"/>
    <w:rsid w:val="00FB6E11"/>
    <w:rsid w:val="00FB6E7B"/>
    <w:rsid w:val="00FB6EA3"/>
    <w:rsid w:val="00FB6F71"/>
    <w:rsid w:val="00FB7081"/>
    <w:rsid w:val="00FB70FC"/>
    <w:rsid w:val="00FB7190"/>
    <w:rsid w:val="00FB720E"/>
    <w:rsid w:val="00FB722B"/>
    <w:rsid w:val="00FB7234"/>
    <w:rsid w:val="00FB7251"/>
    <w:rsid w:val="00FB731C"/>
    <w:rsid w:val="00FB73BA"/>
    <w:rsid w:val="00FB73BF"/>
    <w:rsid w:val="00FB73DD"/>
    <w:rsid w:val="00FB7407"/>
    <w:rsid w:val="00FB74ED"/>
    <w:rsid w:val="00FB7550"/>
    <w:rsid w:val="00FB7557"/>
    <w:rsid w:val="00FB760C"/>
    <w:rsid w:val="00FB762B"/>
    <w:rsid w:val="00FB7657"/>
    <w:rsid w:val="00FB76A1"/>
    <w:rsid w:val="00FB76F0"/>
    <w:rsid w:val="00FB7731"/>
    <w:rsid w:val="00FB77FA"/>
    <w:rsid w:val="00FB7A2C"/>
    <w:rsid w:val="00FB7A37"/>
    <w:rsid w:val="00FB7A4C"/>
    <w:rsid w:val="00FB7ABA"/>
    <w:rsid w:val="00FB7AE3"/>
    <w:rsid w:val="00FB7BBB"/>
    <w:rsid w:val="00FB7CB6"/>
    <w:rsid w:val="00FB7CD5"/>
    <w:rsid w:val="00FB7E51"/>
    <w:rsid w:val="00FB7FD8"/>
    <w:rsid w:val="00FC0258"/>
    <w:rsid w:val="00FC039B"/>
    <w:rsid w:val="00FC0416"/>
    <w:rsid w:val="00FC0457"/>
    <w:rsid w:val="00FC0538"/>
    <w:rsid w:val="00FC0562"/>
    <w:rsid w:val="00FC0595"/>
    <w:rsid w:val="00FC05ED"/>
    <w:rsid w:val="00FC060B"/>
    <w:rsid w:val="00FC06BB"/>
    <w:rsid w:val="00FC0709"/>
    <w:rsid w:val="00FC0776"/>
    <w:rsid w:val="00FC07AF"/>
    <w:rsid w:val="00FC07EF"/>
    <w:rsid w:val="00FC086D"/>
    <w:rsid w:val="00FC098F"/>
    <w:rsid w:val="00FC09D0"/>
    <w:rsid w:val="00FC0A2A"/>
    <w:rsid w:val="00FC0A39"/>
    <w:rsid w:val="00FC0AB9"/>
    <w:rsid w:val="00FC0B0F"/>
    <w:rsid w:val="00FC0BFC"/>
    <w:rsid w:val="00FC0C69"/>
    <w:rsid w:val="00FC0CE8"/>
    <w:rsid w:val="00FC0D5E"/>
    <w:rsid w:val="00FC0E72"/>
    <w:rsid w:val="00FC0FE9"/>
    <w:rsid w:val="00FC0FF2"/>
    <w:rsid w:val="00FC1016"/>
    <w:rsid w:val="00FC1017"/>
    <w:rsid w:val="00FC1040"/>
    <w:rsid w:val="00FC1058"/>
    <w:rsid w:val="00FC121C"/>
    <w:rsid w:val="00FC122A"/>
    <w:rsid w:val="00FC124F"/>
    <w:rsid w:val="00FC1256"/>
    <w:rsid w:val="00FC12EC"/>
    <w:rsid w:val="00FC130E"/>
    <w:rsid w:val="00FC14CD"/>
    <w:rsid w:val="00FC15D6"/>
    <w:rsid w:val="00FC15EA"/>
    <w:rsid w:val="00FC16A0"/>
    <w:rsid w:val="00FC16BE"/>
    <w:rsid w:val="00FC186F"/>
    <w:rsid w:val="00FC1925"/>
    <w:rsid w:val="00FC1987"/>
    <w:rsid w:val="00FC1A48"/>
    <w:rsid w:val="00FC1A86"/>
    <w:rsid w:val="00FC1B7C"/>
    <w:rsid w:val="00FC1B80"/>
    <w:rsid w:val="00FC1B91"/>
    <w:rsid w:val="00FC1BDD"/>
    <w:rsid w:val="00FC1C48"/>
    <w:rsid w:val="00FC1EBB"/>
    <w:rsid w:val="00FC1F3B"/>
    <w:rsid w:val="00FC1F93"/>
    <w:rsid w:val="00FC203F"/>
    <w:rsid w:val="00FC20B9"/>
    <w:rsid w:val="00FC2144"/>
    <w:rsid w:val="00FC2163"/>
    <w:rsid w:val="00FC21A0"/>
    <w:rsid w:val="00FC21C8"/>
    <w:rsid w:val="00FC21D2"/>
    <w:rsid w:val="00FC2275"/>
    <w:rsid w:val="00FC22BB"/>
    <w:rsid w:val="00FC23CD"/>
    <w:rsid w:val="00FC24AA"/>
    <w:rsid w:val="00FC2539"/>
    <w:rsid w:val="00FC2565"/>
    <w:rsid w:val="00FC25FA"/>
    <w:rsid w:val="00FC2722"/>
    <w:rsid w:val="00FC2783"/>
    <w:rsid w:val="00FC2821"/>
    <w:rsid w:val="00FC299A"/>
    <w:rsid w:val="00FC29C4"/>
    <w:rsid w:val="00FC2A2E"/>
    <w:rsid w:val="00FC2ACF"/>
    <w:rsid w:val="00FC2B4E"/>
    <w:rsid w:val="00FC2C0A"/>
    <w:rsid w:val="00FC2C1D"/>
    <w:rsid w:val="00FC2CEF"/>
    <w:rsid w:val="00FC2D05"/>
    <w:rsid w:val="00FC2D13"/>
    <w:rsid w:val="00FC2D16"/>
    <w:rsid w:val="00FC2D9B"/>
    <w:rsid w:val="00FC2DE3"/>
    <w:rsid w:val="00FC2E34"/>
    <w:rsid w:val="00FC2E52"/>
    <w:rsid w:val="00FC2F60"/>
    <w:rsid w:val="00FC2FEE"/>
    <w:rsid w:val="00FC308B"/>
    <w:rsid w:val="00FC30D6"/>
    <w:rsid w:val="00FC3119"/>
    <w:rsid w:val="00FC3184"/>
    <w:rsid w:val="00FC3195"/>
    <w:rsid w:val="00FC31E8"/>
    <w:rsid w:val="00FC31F6"/>
    <w:rsid w:val="00FC3202"/>
    <w:rsid w:val="00FC3291"/>
    <w:rsid w:val="00FC3310"/>
    <w:rsid w:val="00FC3368"/>
    <w:rsid w:val="00FC345D"/>
    <w:rsid w:val="00FC3543"/>
    <w:rsid w:val="00FC3549"/>
    <w:rsid w:val="00FC3663"/>
    <w:rsid w:val="00FC3703"/>
    <w:rsid w:val="00FC3707"/>
    <w:rsid w:val="00FC3892"/>
    <w:rsid w:val="00FC390D"/>
    <w:rsid w:val="00FC39A9"/>
    <w:rsid w:val="00FC3A23"/>
    <w:rsid w:val="00FC3A84"/>
    <w:rsid w:val="00FC3B1B"/>
    <w:rsid w:val="00FC3B90"/>
    <w:rsid w:val="00FC3B9D"/>
    <w:rsid w:val="00FC3C15"/>
    <w:rsid w:val="00FC3D04"/>
    <w:rsid w:val="00FC3D07"/>
    <w:rsid w:val="00FC3D49"/>
    <w:rsid w:val="00FC3E0D"/>
    <w:rsid w:val="00FC3E17"/>
    <w:rsid w:val="00FC3ECF"/>
    <w:rsid w:val="00FC3F8F"/>
    <w:rsid w:val="00FC408D"/>
    <w:rsid w:val="00FC414B"/>
    <w:rsid w:val="00FC4166"/>
    <w:rsid w:val="00FC41C3"/>
    <w:rsid w:val="00FC41F4"/>
    <w:rsid w:val="00FC42C7"/>
    <w:rsid w:val="00FC433C"/>
    <w:rsid w:val="00FC43FE"/>
    <w:rsid w:val="00FC4405"/>
    <w:rsid w:val="00FC444D"/>
    <w:rsid w:val="00FC4453"/>
    <w:rsid w:val="00FC4498"/>
    <w:rsid w:val="00FC449B"/>
    <w:rsid w:val="00FC44C3"/>
    <w:rsid w:val="00FC44F6"/>
    <w:rsid w:val="00FC4558"/>
    <w:rsid w:val="00FC462A"/>
    <w:rsid w:val="00FC46C7"/>
    <w:rsid w:val="00FC46F7"/>
    <w:rsid w:val="00FC47A0"/>
    <w:rsid w:val="00FC48D7"/>
    <w:rsid w:val="00FC49C5"/>
    <w:rsid w:val="00FC49E8"/>
    <w:rsid w:val="00FC49EA"/>
    <w:rsid w:val="00FC49F0"/>
    <w:rsid w:val="00FC4A36"/>
    <w:rsid w:val="00FC4A5C"/>
    <w:rsid w:val="00FC4ABD"/>
    <w:rsid w:val="00FC4B42"/>
    <w:rsid w:val="00FC4B4B"/>
    <w:rsid w:val="00FC4B89"/>
    <w:rsid w:val="00FC4C37"/>
    <w:rsid w:val="00FC4CF4"/>
    <w:rsid w:val="00FC4D77"/>
    <w:rsid w:val="00FC4EB7"/>
    <w:rsid w:val="00FC4F65"/>
    <w:rsid w:val="00FC5193"/>
    <w:rsid w:val="00FC51E4"/>
    <w:rsid w:val="00FC523F"/>
    <w:rsid w:val="00FC5242"/>
    <w:rsid w:val="00FC5343"/>
    <w:rsid w:val="00FC53AA"/>
    <w:rsid w:val="00FC547B"/>
    <w:rsid w:val="00FC5486"/>
    <w:rsid w:val="00FC554D"/>
    <w:rsid w:val="00FC5566"/>
    <w:rsid w:val="00FC55CD"/>
    <w:rsid w:val="00FC5609"/>
    <w:rsid w:val="00FC56A2"/>
    <w:rsid w:val="00FC5755"/>
    <w:rsid w:val="00FC5762"/>
    <w:rsid w:val="00FC58C3"/>
    <w:rsid w:val="00FC5A50"/>
    <w:rsid w:val="00FC5C0C"/>
    <w:rsid w:val="00FC5C6C"/>
    <w:rsid w:val="00FC5CEC"/>
    <w:rsid w:val="00FC5D9A"/>
    <w:rsid w:val="00FC5E4F"/>
    <w:rsid w:val="00FC5F12"/>
    <w:rsid w:val="00FC602E"/>
    <w:rsid w:val="00FC605D"/>
    <w:rsid w:val="00FC6103"/>
    <w:rsid w:val="00FC6123"/>
    <w:rsid w:val="00FC6176"/>
    <w:rsid w:val="00FC629F"/>
    <w:rsid w:val="00FC630A"/>
    <w:rsid w:val="00FC6332"/>
    <w:rsid w:val="00FC643B"/>
    <w:rsid w:val="00FC645E"/>
    <w:rsid w:val="00FC6495"/>
    <w:rsid w:val="00FC64A0"/>
    <w:rsid w:val="00FC64A1"/>
    <w:rsid w:val="00FC6514"/>
    <w:rsid w:val="00FC6636"/>
    <w:rsid w:val="00FC66EF"/>
    <w:rsid w:val="00FC677C"/>
    <w:rsid w:val="00FC67A7"/>
    <w:rsid w:val="00FC67D8"/>
    <w:rsid w:val="00FC68B5"/>
    <w:rsid w:val="00FC68F8"/>
    <w:rsid w:val="00FC6ADA"/>
    <w:rsid w:val="00FC6AF8"/>
    <w:rsid w:val="00FC6B5D"/>
    <w:rsid w:val="00FC6B93"/>
    <w:rsid w:val="00FC6BDA"/>
    <w:rsid w:val="00FC6CDE"/>
    <w:rsid w:val="00FC6EA0"/>
    <w:rsid w:val="00FC6EAA"/>
    <w:rsid w:val="00FC6EFD"/>
    <w:rsid w:val="00FC70CA"/>
    <w:rsid w:val="00FC70EB"/>
    <w:rsid w:val="00FC7263"/>
    <w:rsid w:val="00FC7281"/>
    <w:rsid w:val="00FC7327"/>
    <w:rsid w:val="00FC7382"/>
    <w:rsid w:val="00FC73AE"/>
    <w:rsid w:val="00FC73C0"/>
    <w:rsid w:val="00FC73CB"/>
    <w:rsid w:val="00FC7402"/>
    <w:rsid w:val="00FC743F"/>
    <w:rsid w:val="00FC7444"/>
    <w:rsid w:val="00FC7478"/>
    <w:rsid w:val="00FC7587"/>
    <w:rsid w:val="00FC7636"/>
    <w:rsid w:val="00FC76C1"/>
    <w:rsid w:val="00FC76E6"/>
    <w:rsid w:val="00FC7735"/>
    <w:rsid w:val="00FC77A2"/>
    <w:rsid w:val="00FC78C5"/>
    <w:rsid w:val="00FC792D"/>
    <w:rsid w:val="00FC7A52"/>
    <w:rsid w:val="00FC7ABB"/>
    <w:rsid w:val="00FC7AF3"/>
    <w:rsid w:val="00FC7B1D"/>
    <w:rsid w:val="00FC7BF0"/>
    <w:rsid w:val="00FC7C0D"/>
    <w:rsid w:val="00FC7CF6"/>
    <w:rsid w:val="00FC7DD8"/>
    <w:rsid w:val="00FC7E7A"/>
    <w:rsid w:val="00FC7EFB"/>
    <w:rsid w:val="00FC7EFF"/>
    <w:rsid w:val="00FC7F3F"/>
    <w:rsid w:val="00FC7F81"/>
    <w:rsid w:val="00FC7FBF"/>
    <w:rsid w:val="00FC7FC4"/>
    <w:rsid w:val="00FC7FE8"/>
    <w:rsid w:val="00FD005F"/>
    <w:rsid w:val="00FD00B8"/>
    <w:rsid w:val="00FD00F0"/>
    <w:rsid w:val="00FD0116"/>
    <w:rsid w:val="00FD0171"/>
    <w:rsid w:val="00FD0304"/>
    <w:rsid w:val="00FD0432"/>
    <w:rsid w:val="00FD04C0"/>
    <w:rsid w:val="00FD051D"/>
    <w:rsid w:val="00FD0566"/>
    <w:rsid w:val="00FD05AD"/>
    <w:rsid w:val="00FD06F1"/>
    <w:rsid w:val="00FD070C"/>
    <w:rsid w:val="00FD0754"/>
    <w:rsid w:val="00FD078B"/>
    <w:rsid w:val="00FD084E"/>
    <w:rsid w:val="00FD0864"/>
    <w:rsid w:val="00FD0892"/>
    <w:rsid w:val="00FD0893"/>
    <w:rsid w:val="00FD08B7"/>
    <w:rsid w:val="00FD090C"/>
    <w:rsid w:val="00FD0A39"/>
    <w:rsid w:val="00FD0A4F"/>
    <w:rsid w:val="00FD0A53"/>
    <w:rsid w:val="00FD0A54"/>
    <w:rsid w:val="00FD0B04"/>
    <w:rsid w:val="00FD0B0F"/>
    <w:rsid w:val="00FD0C54"/>
    <w:rsid w:val="00FD0CD4"/>
    <w:rsid w:val="00FD0CF5"/>
    <w:rsid w:val="00FD0D3D"/>
    <w:rsid w:val="00FD0DFB"/>
    <w:rsid w:val="00FD0E36"/>
    <w:rsid w:val="00FD0E80"/>
    <w:rsid w:val="00FD0F3A"/>
    <w:rsid w:val="00FD0F8C"/>
    <w:rsid w:val="00FD0F9B"/>
    <w:rsid w:val="00FD0FB2"/>
    <w:rsid w:val="00FD0FFE"/>
    <w:rsid w:val="00FD1031"/>
    <w:rsid w:val="00FD116F"/>
    <w:rsid w:val="00FD11F3"/>
    <w:rsid w:val="00FD121E"/>
    <w:rsid w:val="00FD123C"/>
    <w:rsid w:val="00FD124A"/>
    <w:rsid w:val="00FD1311"/>
    <w:rsid w:val="00FD1357"/>
    <w:rsid w:val="00FD1380"/>
    <w:rsid w:val="00FD1399"/>
    <w:rsid w:val="00FD1450"/>
    <w:rsid w:val="00FD145B"/>
    <w:rsid w:val="00FD14FB"/>
    <w:rsid w:val="00FD15A0"/>
    <w:rsid w:val="00FD1639"/>
    <w:rsid w:val="00FD16BC"/>
    <w:rsid w:val="00FD1789"/>
    <w:rsid w:val="00FD17D8"/>
    <w:rsid w:val="00FD1802"/>
    <w:rsid w:val="00FD18A1"/>
    <w:rsid w:val="00FD1988"/>
    <w:rsid w:val="00FD1990"/>
    <w:rsid w:val="00FD1991"/>
    <w:rsid w:val="00FD1A13"/>
    <w:rsid w:val="00FD1A2C"/>
    <w:rsid w:val="00FD1AF4"/>
    <w:rsid w:val="00FD1B58"/>
    <w:rsid w:val="00FD1BF7"/>
    <w:rsid w:val="00FD1C44"/>
    <w:rsid w:val="00FD1DD3"/>
    <w:rsid w:val="00FD1EA1"/>
    <w:rsid w:val="00FD1EE1"/>
    <w:rsid w:val="00FD1F17"/>
    <w:rsid w:val="00FD201B"/>
    <w:rsid w:val="00FD20DF"/>
    <w:rsid w:val="00FD2102"/>
    <w:rsid w:val="00FD21C9"/>
    <w:rsid w:val="00FD224F"/>
    <w:rsid w:val="00FD2260"/>
    <w:rsid w:val="00FD22C6"/>
    <w:rsid w:val="00FD240D"/>
    <w:rsid w:val="00FD247A"/>
    <w:rsid w:val="00FD2575"/>
    <w:rsid w:val="00FD2742"/>
    <w:rsid w:val="00FD2744"/>
    <w:rsid w:val="00FD2790"/>
    <w:rsid w:val="00FD27DD"/>
    <w:rsid w:val="00FD2969"/>
    <w:rsid w:val="00FD29AF"/>
    <w:rsid w:val="00FD29C0"/>
    <w:rsid w:val="00FD2A65"/>
    <w:rsid w:val="00FD2A79"/>
    <w:rsid w:val="00FD2A96"/>
    <w:rsid w:val="00FD2AB4"/>
    <w:rsid w:val="00FD2ADF"/>
    <w:rsid w:val="00FD2B3B"/>
    <w:rsid w:val="00FD2C4D"/>
    <w:rsid w:val="00FD2C97"/>
    <w:rsid w:val="00FD2D01"/>
    <w:rsid w:val="00FD2D32"/>
    <w:rsid w:val="00FD2DC2"/>
    <w:rsid w:val="00FD2E1C"/>
    <w:rsid w:val="00FD2E7E"/>
    <w:rsid w:val="00FD3023"/>
    <w:rsid w:val="00FD30FA"/>
    <w:rsid w:val="00FD31BF"/>
    <w:rsid w:val="00FD3227"/>
    <w:rsid w:val="00FD32E5"/>
    <w:rsid w:val="00FD330B"/>
    <w:rsid w:val="00FD330E"/>
    <w:rsid w:val="00FD3380"/>
    <w:rsid w:val="00FD3428"/>
    <w:rsid w:val="00FD3484"/>
    <w:rsid w:val="00FD34E4"/>
    <w:rsid w:val="00FD35E0"/>
    <w:rsid w:val="00FD35EF"/>
    <w:rsid w:val="00FD36AA"/>
    <w:rsid w:val="00FD36C5"/>
    <w:rsid w:val="00FD36F7"/>
    <w:rsid w:val="00FD37B4"/>
    <w:rsid w:val="00FD37E1"/>
    <w:rsid w:val="00FD37E2"/>
    <w:rsid w:val="00FD3801"/>
    <w:rsid w:val="00FD382F"/>
    <w:rsid w:val="00FD3ACC"/>
    <w:rsid w:val="00FD3AFA"/>
    <w:rsid w:val="00FD3AFE"/>
    <w:rsid w:val="00FD3BB5"/>
    <w:rsid w:val="00FD3BDB"/>
    <w:rsid w:val="00FD3BE5"/>
    <w:rsid w:val="00FD3C2F"/>
    <w:rsid w:val="00FD3C53"/>
    <w:rsid w:val="00FD3CAD"/>
    <w:rsid w:val="00FD3CE4"/>
    <w:rsid w:val="00FD3D9E"/>
    <w:rsid w:val="00FD3DD3"/>
    <w:rsid w:val="00FD3EB2"/>
    <w:rsid w:val="00FD3EF6"/>
    <w:rsid w:val="00FD3F7A"/>
    <w:rsid w:val="00FD4084"/>
    <w:rsid w:val="00FD4157"/>
    <w:rsid w:val="00FD4341"/>
    <w:rsid w:val="00FD435F"/>
    <w:rsid w:val="00FD446B"/>
    <w:rsid w:val="00FD45AC"/>
    <w:rsid w:val="00FD45D0"/>
    <w:rsid w:val="00FD4667"/>
    <w:rsid w:val="00FD4744"/>
    <w:rsid w:val="00FD4791"/>
    <w:rsid w:val="00FD4829"/>
    <w:rsid w:val="00FD4928"/>
    <w:rsid w:val="00FD4A77"/>
    <w:rsid w:val="00FD4A8C"/>
    <w:rsid w:val="00FD4AFA"/>
    <w:rsid w:val="00FD4B35"/>
    <w:rsid w:val="00FD4B63"/>
    <w:rsid w:val="00FD4BC9"/>
    <w:rsid w:val="00FD4C90"/>
    <w:rsid w:val="00FD4CAF"/>
    <w:rsid w:val="00FD4DC7"/>
    <w:rsid w:val="00FD4E10"/>
    <w:rsid w:val="00FD4E25"/>
    <w:rsid w:val="00FD4E38"/>
    <w:rsid w:val="00FD4EB6"/>
    <w:rsid w:val="00FD4EFF"/>
    <w:rsid w:val="00FD506A"/>
    <w:rsid w:val="00FD5113"/>
    <w:rsid w:val="00FD5225"/>
    <w:rsid w:val="00FD526A"/>
    <w:rsid w:val="00FD5296"/>
    <w:rsid w:val="00FD540E"/>
    <w:rsid w:val="00FD5441"/>
    <w:rsid w:val="00FD545E"/>
    <w:rsid w:val="00FD5496"/>
    <w:rsid w:val="00FD5539"/>
    <w:rsid w:val="00FD557E"/>
    <w:rsid w:val="00FD55D2"/>
    <w:rsid w:val="00FD5604"/>
    <w:rsid w:val="00FD5608"/>
    <w:rsid w:val="00FD562C"/>
    <w:rsid w:val="00FD570F"/>
    <w:rsid w:val="00FD5744"/>
    <w:rsid w:val="00FD57EE"/>
    <w:rsid w:val="00FD5823"/>
    <w:rsid w:val="00FD5877"/>
    <w:rsid w:val="00FD58FC"/>
    <w:rsid w:val="00FD5AEF"/>
    <w:rsid w:val="00FD5B02"/>
    <w:rsid w:val="00FD5B12"/>
    <w:rsid w:val="00FD5CA7"/>
    <w:rsid w:val="00FD5DB8"/>
    <w:rsid w:val="00FD60B5"/>
    <w:rsid w:val="00FD60CC"/>
    <w:rsid w:val="00FD610D"/>
    <w:rsid w:val="00FD6139"/>
    <w:rsid w:val="00FD6180"/>
    <w:rsid w:val="00FD618D"/>
    <w:rsid w:val="00FD61F1"/>
    <w:rsid w:val="00FD6241"/>
    <w:rsid w:val="00FD6299"/>
    <w:rsid w:val="00FD62BD"/>
    <w:rsid w:val="00FD62E6"/>
    <w:rsid w:val="00FD62EB"/>
    <w:rsid w:val="00FD63C1"/>
    <w:rsid w:val="00FD65E2"/>
    <w:rsid w:val="00FD6623"/>
    <w:rsid w:val="00FD6708"/>
    <w:rsid w:val="00FD67AF"/>
    <w:rsid w:val="00FD6919"/>
    <w:rsid w:val="00FD69D4"/>
    <w:rsid w:val="00FD6B25"/>
    <w:rsid w:val="00FD6B69"/>
    <w:rsid w:val="00FD6B75"/>
    <w:rsid w:val="00FD6C17"/>
    <w:rsid w:val="00FD6D85"/>
    <w:rsid w:val="00FD6E18"/>
    <w:rsid w:val="00FD6E3E"/>
    <w:rsid w:val="00FD6E5E"/>
    <w:rsid w:val="00FD6EF8"/>
    <w:rsid w:val="00FD6F12"/>
    <w:rsid w:val="00FD6F93"/>
    <w:rsid w:val="00FD7081"/>
    <w:rsid w:val="00FD70BF"/>
    <w:rsid w:val="00FD70E5"/>
    <w:rsid w:val="00FD727C"/>
    <w:rsid w:val="00FD72D5"/>
    <w:rsid w:val="00FD7453"/>
    <w:rsid w:val="00FD7467"/>
    <w:rsid w:val="00FD74B3"/>
    <w:rsid w:val="00FD757F"/>
    <w:rsid w:val="00FD75A2"/>
    <w:rsid w:val="00FD75EB"/>
    <w:rsid w:val="00FD7626"/>
    <w:rsid w:val="00FD7685"/>
    <w:rsid w:val="00FD76A5"/>
    <w:rsid w:val="00FD76A9"/>
    <w:rsid w:val="00FD76BA"/>
    <w:rsid w:val="00FD76F4"/>
    <w:rsid w:val="00FD787C"/>
    <w:rsid w:val="00FD78A7"/>
    <w:rsid w:val="00FD78AB"/>
    <w:rsid w:val="00FD78F1"/>
    <w:rsid w:val="00FD793E"/>
    <w:rsid w:val="00FD79D2"/>
    <w:rsid w:val="00FD7A1F"/>
    <w:rsid w:val="00FD7AED"/>
    <w:rsid w:val="00FD7B33"/>
    <w:rsid w:val="00FD7C5A"/>
    <w:rsid w:val="00FD7CE0"/>
    <w:rsid w:val="00FD7D2A"/>
    <w:rsid w:val="00FD7D47"/>
    <w:rsid w:val="00FD7D50"/>
    <w:rsid w:val="00FD7DAA"/>
    <w:rsid w:val="00FD7F12"/>
    <w:rsid w:val="00FD7F28"/>
    <w:rsid w:val="00FD7F43"/>
    <w:rsid w:val="00FD7F61"/>
    <w:rsid w:val="00FD7FFA"/>
    <w:rsid w:val="00FE00B9"/>
    <w:rsid w:val="00FE0172"/>
    <w:rsid w:val="00FE017E"/>
    <w:rsid w:val="00FE0200"/>
    <w:rsid w:val="00FE029E"/>
    <w:rsid w:val="00FE03AA"/>
    <w:rsid w:val="00FE03E4"/>
    <w:rsid w:val="00FE0456"/>
    <w:rsid w:val="00FE04A5"/>
    <w:rsid w:val="00FE06A5"/>
    <w:rsid w:val="00FE06FF"/>
    <w:rsid w:val="00FE070E"/>
    <w:rsid w:val="00FE071E"/>
    <w:rsid w:val="00FE0783"/>
    <w:rsid w:val="00FE07A9"/>
    <w:rsid w:val="00FE07D7"/>
    <w:rsid w:val="00FE0AC3"/>
    <w:rsid w:val="00FE0B38"/>
    <w:rsid w:val="00FE0B4B"/>
    <w:rsid w:val="00FE0C01"/>
    <w:rsid w:val="00FE0C47"/>
    <w:rsid w:val="00FE0CDB"/>
    <w:rsid w:val="00FE0D71"/>
    <w:rsid w:val="00FE0D7B"/>
    <w:rsid w:val="00FE0F30"/>
    <w:rsid w:val="00FE0F3D"/>
    <w:rsid w:val="00FE0F59"/>
    <w:rsid w:val="00FE0FE8"/>
    <w:rsid w:val="00FE0FF8"/>
    <w:rsid w:val="00FE1028"/>
    <w:rsid w:val="00FE10B1"/>
    <w:rsid w:val="00FE10CE"/>
    <w:rsid w:val="00FE10F2"/>
    <w:rsid w:val="00FE118A"/>
    <w:rsid w:val="00FE11DF"/>
    <w:rsid w:val="00FE120C"/>
    <w:rsid w:val="00FE1228"/>
    <w:rsid w:val="00FE13C7"/>
    <w:rsid w:val="00FE142C"/>
    <w:rsid w:val="00FE1459"/>
    <w:rsid w:val="00FE14BF"/>
    <w:rsid w:val="00FE1506"/>
    <w:rsid w:val="00FE1658"/>
    <w:rsid w:val="00FE171A"/>
    <w:rsid w:val="00FE1802"/>
    <w:rsid w:val="00FE183E"/>
    <w:rsid w:val="00FE186B"/>
    <w:rsid w:val="00FE1934"/>
    <w:rsid w:val="00FE1A87"/>
    <w:rsid w:val="00FE1AFD"/>
    <w:rsid w:val="00FE1B59"/>
    <w:rsid w:val="00FE1B7E"/>
    <w:rsid w:val="00FE1B81"/>
    <w:rsid w:val="00FE1C2F"/>
    <w:rsid w:val="00FE1C34"/>
    <w:rsid w:val="00FE1C6E"/>
    <w:rsid w:val="00FE1D46"/>
    <w:rsid w:val="00FE1D9F"/>
    <w:rsid w:val="00FE1DC0"/>
    <w:rsid w:val="00FE1EBB"/>
    <w:rsid w:val="00FE1EFE"/>
    <w:rsid w:val="00FE1F35"/>
    <w:rsid w:val="00FE1FDB"/>
    <w:rsid w:val="00FE1FE5"/>
    <w:rsid w:val="00FE207A"/>
    <w:rsid w:val="00FE2143"/>
    <w:rsid w:val="00FE214B"/>
    <w:rsid w:val="00FE214C"/>
    <w:rsid w:val="00FE2225"/>
    <w:rsid w:val="00FE22F1"/>
    <w:rsid w:val="00FE2400"/>
    <w:rsid w:val="00FE250A"/>
    <w:rsid w:val="00FE25E4"/>
    <w:rsid w:val="00FE25F6"/>
    <w:rsid w:val="00FE2670"/>
    <w:rsid w:val="00FE2687"/>
    <w:rsid w:val="00FE269A"/>
    <w:rsid w:val="00FE26D3"/>
    <w:rsid w:val="00FE2ACC"/>
    <w:rsid w:val="00FE2ACE"/>
    <w:rsid w:val="00FE2B8F"/>
    <w:rsid w:val="00FE2BB1"/>
    <w:rsid w:val="00FE2BC9"/>
    <w:rsid w:val="00FE2C32"/>
    <w:rsid w:val="00FE2CD2"/>
    <w:rsid w:val="00FE2D4E"/>
    <w:rsid w:val="00FE2D7C"/>
    <w:rsid w:val="00FE2DB0"/>
    <w:rsid w:val="00FE2FC1"/>
    <w:rsid w:val="00FE2FFF"/>
    <w:rsid w:val="00FE3036"/>
    <w:rsid w:val="00FE30B5"/>
    <w:rsid w:val="00FE3204"/>
    <w:rsid w:val="00FE3214"/>
    <w:rsid w:val="00FE3285"/>
    <w:rsid w:val="00FE32F8"/>
    <w:rsid w:val="00FE3510"/>
    <w:rsid w:val="00FE3546"/>
    <w:rsid w:val="00FE3596"/>
    <w:rsid w:val="00FE35BD"/>
    <w:rsid w:val="00FE35DC"/>
    <w:rsid w:val="00FE36D2"/>
    <w:rsid w:val="00FE3767"/>
    <w:rsid w:val="00FE3877"/>
    <w:rsid w:val="00FE3958"/>
    <w:rsid w:val="00FE39B2"/>
    <w:rsid w:val="00FE39CB"/>
    <w:rsid w:val="00FE3A47"/>
    <w:rsid w:val="00FE3AC3"/>
    <w:rsid w:val="00FE3B05"/>
    <w:rsid w:val="00FE3BAE"/>
    <w:rsid w:val="00FE3BBF"/>
    <w:rsid w:val="00FE3CF1"/>
    <w:rsid w:val="00FE3DBB"/>
    <w:rsid w:val="00FE3DC7"/>
    <w:rsid w:val="00FE3F81"/>
    <w:rsid w:val="00FE3FC0"/>
    <w:rsid w:val="00FE40E0"/>
    <w:rsid w:val="00FE4110"/>
    <w:rsid w:val="00FE411D"/>
    <w:rsid w:val="00FE4127"/>
    <w:rsid w:val="00FE414F"/>
    <w:rsid w:val="00FE42C3"/>
    <w:rsid w:val="00FE42DF"/>
    <w:rsid w:val="00FE432D"/>
    <w:rsid w:val="00FE43A3"/>
    <w:rsid w:val="00FE43C5"/>
    <w:rsid w:val="00FE450D"/>
    <w:rsid w:val="00FE4510"/>
    <w:rsid w:val="00FE4585"/>
    <w:rsid w:val="00FE458A"/>
    <w:rsid w:val="00FE467C"/>
    <w:rsid w:val="00FE46CF"/>
    <w:rsid w:val="00FE46F9"/>
    <w:rsid w:val="00FE472B"/>
    <w:rsid w:val="00FE4738"/>
    <w:rsid w:val="00FE4784"/>
    <w:rsid w:val="00FE497E"/>
    <w:rsid w:val="00FE4A8D"/>
    <w:rsid w:val="00FE4AC3"/>
    <w:rsid w:val="00FE4ADD"/>
    <w:rsid w:val="00FE4C52"/>
    <w:rsid w:val="00FE4CDA"/>
    <w:rsid w:val="00FE4CFA"/>
    <w:rsid w:val="00FE4D44"/>
    <w:rsid w:val="00FE4E04"/>
    <w:rsid w:val="00FE4E30"/>
    <w:rsid w:val="00FE4E35"/>
    <w:rsid w:val="00FE4E75"/>
    <w:rsid w:val="00FE4EAE"/>
    <w:rsid w:val="00FE4F74"/>
    <w:rsid w:val="00FE500F"/>
    <w:rsid w:val="00FE50FD"/>
    <w:rsid w:val="00FE5131"/>
    <w:rsid w:val="00FE5281"/>
    <w:rsid w:val="00FE5288"/>
    <w:rsid w:val="00FE533C"/>
    <w:rsid w:val="00FE53D4"/>
    <w:rsid w:val="00FE5509"/>
    <w:rsid w:val="00FE5534"/>
    <w:rsid w:val="00FE555E"/>
    <w:rsid w:val="00FE55BC"/>
    <w:rsid w:val="00FE572C"/>
    <w:rsid w:val="00FE575A"/>
    <w:rsid w:val="00FE575B"/>
    <w:rsid w:val="00FE5768"/>
    <w:rsid w:val="00FE57DF"/>
    <w:rsid w:val="00FE5908"/>
    <w:rsid w:val="00FE5913"/>
    <w:rsid w:val="00FE5932"/>
    <w:rsid w:val="00FE59FD"/>
    <w:rsid w:val="00FE5A5E"/>
    <w:rsid w:val="00FE5ADD"/>
    <w:rsid w:val="00FE5AE3"/>
    <w:rsid w:val="00FE5B81"/>
    <w:rsid w:val="00FE5C04"/>
    <w:rsid w:val="00FE5C2B"/>
    <w:rsid w:val="00FE5CB6"/>
    <w:rsid w:val="00FE5CE3"/>
    <w:rsid w:val="00FE5E95"/>
    <w:rsid w:val="00FE5F44"/>
    <w:rsid w:val="00FE60CF"/>
    <w:rsid w:val="00FE60E2"/>
    <w:rsid w:val="00FE60FF"/>
    <w:rsid w:val="00FE6277"/>
    <w:rsid w:val="00FE62DB"/>
    <w:rsid w:val="00FE63DD"/>
    <w:rsid w:val="00FE6434"/>
    <w:rsid w:val="00FE6517"/>
    <w:rsid w:val="00FE65D2"/>
    <w:rsid w:val="00FE65D9"/>
    <w:rsid w:val="00FE669E"/>
    <w:rsid w:val="00FE6704"/>
    <w:rsid w:val="00FE683C"/>
    <w:rsid w:val="00FE6A0B"/>
    <w:rsid w:val="00FE6BDF"/>
    <w:rsid w:val="00FE6C84"/>
    <w:rsid w:val="00FE6CD0"/>
    <w:rsid w:val="00FE6D5C"/>
    <w:rsid w:val="00FE6D70"/>
    <w:rsid w:val="00FE6D7C"/>
    <w:rsid w:val="00FE6F11"/>
    <w:rsid w:val="00FE7103"/>
    <w:rsid w:val="00FE72ED"/>
    <w:rsid w:val="00FE730E"/>
    <w:rsid w:val="00FE737E"/>
    <w:rsid w:val="00FE7451"/>
    <w:rsid w:val="00FE745C"/>
    <w:rsid w:val="00FE747A"/>
    <w:rsid w:val="00FE749A"/>
    <w:rsid w:val="00FE74A9"/>
    <w:rsid w:val="00FE74B7"/>
    <w:rsid w:val="00FE7525"/>
    <w:rsid w:val="00FE755A"/>
    <w:rsid w:val="00FE7643"/>
    <w:rsid w:val="00FE767F"/>
    <w:rsid w:val="00FE76CA"/>
    <w:rsid w:val="00FE7751"/>
    <w:rsid w:val="00FE77E4"/>
    <w:rsid w:val="00FE7867"/>
    <w:rsid w:val="00FE7910"/>
    <w:rsid w:val="00FE7948"/>
    <w:rsid w:val="00FE79ED"/>
    <w:rsid w:val="00FE7A03"/>
    <w:rsid w:val="00FE7C69"/>
    <w:rsid w:val="00FE7CD4"/>
    <w:rsid w:val="00FE7D18"/>
    <w:rsid w:val="00FE7D22"/>
    <w:rsid w:val="00FE7D29"/>
    <w:rsid w:val="00FE7E36"/>
    <w:rsid w:val="00FE7E88"/>
    <w:rsid w:val="00FE7F78"/>
    <w:rsid w:val="00FE7F79"/>
    <w:rsid w:val="00FE7FF7"/>
    <w:rsid w:val="00FF025C"/>
    <w:rsid w:val="00FF02E9"/>
    <w:rsid w:val="00FF0373"/>
    <w:rsid w:val="00FF03E3"/>
    <w:rsid w:val="00FF048A"/>
    <w:rsid w:val="00FF0494"/>
    <w:rsid w:val="00FF04E1"/>
    <w:rsid w:val="00FF04F1"/>
    <w:rsid w:val="00FF0552"/>
    <w:rsid w:val="00FF05A1"/>
    <w:rsid w:val="00FF0641"/>
    <w:rsid w:val="00FF0664"/>
    <w:rsid w:val="00FF0766"/>
    <w:rsid w:val="00FF0795"/>
    <w:rsid w:val="00FF07F2"/>
    <w:rsid w:val="00FF083B"/>
    <w:rsid w:val="00FF08D6"/>
    <w:rsid w:val="00FF09C1"/>
    <w:rsid w:val="00FF0A60"/>
    <w:rsid w:val="00FF0AAE"/>
    <w:rsid w:val="00FF0B85"/>
    <w:rsid w:val="00FF0B8E"/>
    <w:rsid w:val="00FF0BBD"/>
    <w:rsid w:val="00FF0BC8"/>
    <w:rsid w:val="00FF0BD5"/>
    <w:rsid w:val="00FF0C72"/>
    <w:rsid w:val="00FF0C8F"/>
    <w:rsid w:val="00FF0D18"/>
    <w:rsid w:val="00FF0D37"/>
    <w:rsid w:val="00FF0D55"/>
    <w:rsid w:val="00FF0D8E"/>
    <w:rsid w:val="00FF0DC1"/>
    <w:rsid w:val="00FF0E58"/>
    <w:rsid w:val="00FF0E7D"/>
    <w:rsid w:val="00FF0F30"/>
    <w:rsid w:val="00FF1047"/>
    <w:rsid w:val="00FF1060"/>
    <w:rsid w:val="00FF106F"/>
    <w:rsid w:val="00FF107B"/>
    <w:rsid w:val="00FF10B4"/>
    <w:rsid w:val="00FF10E0"/>
    <w:rsid w:val="00FF1100"/>
    <w:rsid w:val="00FF1110"/>
    <w:rsid w:val="00FF11CE"/>
    <w:rsid w:val="00FF12F4"/>
    <w:rsid w:val="00FF139F"/>
    <w:rsid w:val="00FF13A6"/>
    <w:rsid w:val="00FF13B5"/>
    <w:rsid w:val="00FF1406"/>
    <w:rsid w:val="00FF153C"/>
    <w:rsid w:val="00FF15F5"/>
    <w:rsid w:val="00FF16D7"/>
    <w:rsid w:val="00FF174A"/>
    <w:rsid w:val="00FF179E"/>
    <w:rsid w:val="00FF17B9"/>
    <w:rsid w:val="00FF17E3"/>
    <w:rsid w:val="00FF1800"/>
    <w:rsid w:val="00FF187D"/>
    <w:rsid w:val="00FF1908"/>
    <w:rsid w:val="00FF19D4"/>
    <w:rsid w:val="00FF1A42"/>
    <w:rsid w:val="00FF1A59"/>
    <w:rsid w:val="00FF1AF5"/>
    <w:rsid w:val="00FF1C15"/>
    <w:rsid w:val="00FF1D0D"/>
    <w:rsid w:val="00FF1DBC"/>
    <w:rsid w:val="00FF1E4B"/>
    <w:rsid w:val="00FF1F1F"/>
    <w:rsid w:val="00FF1F34"/>
    <w:rsid w:val="00FF2064"/>
    <w:rsid w:val="00FF2245"/>
    <w:rsid w:val="00FF2273"/>
    <w:rsid w:val="00FF2387"/>
    <w:rsid w:val="00FF23AE"/>
    <w:rsid w:val="00FF2410"/>
    <w:rsid w:val="00FF24E5"/>
    <w:rsid w:val="00FF2561"/>
    <w:rsid w:val="00FF2573"/>
    <w:rsid w:val="00FF2581"/>
    <w:rsid w:val="00FF2618"/>
    <w:rsid w:val="00FF2628"/>
    <w:rsid w:val="00FF2671"/>
    <w:rsid w:val="00FF268D"/>
    <w:rsid w:val="00FF26A8"/>
    <w:rsid w:val="00FF27B1"/>
    <w:rsid w:val="00FF29C8"/>
    <w:rsid w:val="00FF2A83"/>
    <w:rsid w:val="00FF2AD0"/>
    <w:rsid w:val="00FF2B98"/>
    <w:rsid w:val="00FF2C5A"/>
    <w:rsid w:val="00FF2C61"/>
    <w:rsid w:val="00FF2D6A"/>
    <w:rsid w:val="00FF2D9E"/>
    <w:rsid w:val="00FF2DB2"/>
    <w:rsid w:val="00FF2DDE"/>
    <w:rsid w:val="00FF2E3A"/>
    <w:rsid w:val="00FF2FCE"/>
    <w:rsid w:val="00FF3030"/>
    <w:rsid w:val="00FF3039"/>
    <w:rsid w:val="00FF30D3"/>
    <w:rsid w:val="00FF30E8"/>
    <w:rsid w:val="00FF3126"/>
    <w:rsid w:val="00FF3137"/>
    <w:rsid w:val="00FF3268"/>
    <w:rsid w:val="00FF32BD"/>
    <w:rsid w:val="00FF3387"/>
    <w:rsid w:val="00FF33A0"/>
    <w:rsid w:val="00FF33B8"/>
    <w:rsid w:val="00FF33BC"/>
    <w:rsid w:val="00FF34E0"/>
    <w:rsid w:val="00FF3502"/>
    <w:rsid w:val="00FF364F"/>
    <w:rsid w:val="00FF367F"/>
    <w:rsid w:val="00FF368F"/>
    <w:rsid w:val="00FF3800"/>
    <w:rsid w:val="00FF388C"/>
    <w:rsid w:val="00FF3959"/>
    <w:rsid w:val="00FF3967"/>
    <w:rsid w:val="00FF39A0"/>
    <w:rsid w:val="00FF3A48"/>
    <w:rsid w:val="00FF3ABD"/>
    <w:rsid w:val="00FF3C04"/>
    <w:rsid w:val="00FF3C2E"/>
    <w:rsid w:val="00FF3CBF"/>
    <w:rsid w:val="00FF3DDC"/>
    <w:rsid w:val="00FF3E04"/>
    <w:rsid w:val="00FF3E0C"/>
    <w:rsid w:val="00FF3FE2"/>
    <w:rsid w:val="00FF4068"/>
    <w:rsid w:val="00FF4186"/>
    <w:rsid w:val="00FF41C4"/>
    <w:rsid w:val="00FF41DE"/>
    <w:rsid w:val="00FF4234"/>
    <w:rsid w:val="00FF4262"/>
    <w:rsid w:val="00FF4306"/>
    <w:rsid w:val="00FF4477"/>
    <w:rsid w:val="00FF44AB"/>
    <w:rsid w:val="00FF45EE"/>
    <w:rsid w:val="00FF4717"/>
    <w:rsid w:val="00FF4860"/>
    <w:rsid w:val="00FF48D0"/>
    <w:rsid w:val="00FF49AD"/>
    <w:rsid w:val="00FF4A0B"/>
    <w:rsid w:val="00FF4B66"/>
    <w:rsid w:val="00FF4BAB"/>
    <w:rsid w:val="00FF4BC6"/>
    <w:rsid w:val="00FF4BFD"/>
    <w:rsid w:val="00FF4CA0"/>
    <w:rsid w:val="00FF4CCF"/>
    <w:rsid w:val="00FF4CE6"/>
    <w:rsid w:val="00FF4D7C"/>
    <w:rsid w:val="00FF4E5D"/>
    <w:rsid w:val="00FF4EE1"/>
    <w:rsid w:val="00FF4F02"/>
    <w:rsid w:val="00FF4FF6"/>
    <w:rsid w:val="00FF50C1"/>
    <w:rsid w:val="00FF5121"/>
    <w:rsid w:val="00FF5137"/>
    <w:rsid w:val="00FF5147"/>
    <w:rsid w:val="00FF518C"/>
    <w:rsid w:val="00FF5224"/>
    <w:rsid w:val="00FF525A"/>
    <w:rsid w:val="00FF5265"/>
    <w:rsid w:val="00FF5343"/>
    <w:rsid w:val="00FF5431"/>
    <w:rsid w:val="00FF54A3"/>
    <w:rsid w:val="00FF554D"/>
    <w:rsid w:val="00FF55D0"/>
    <w:rsid w:val="00FF5837"/>
    <w:rsid w:val="00FF58FC"/>
    <w:rsid w:val="00FF593A"/>
    <w:rsid w:val="00FF597C"/>
    <w:rsid w:val="00FF5991"/>
    <w:rsid w:val="00FF5B1F"/>
    <w:rsid w:val="00FF5C3F"/>
    <w:rsid w:val="00FF5CAA"/>
    <w:rsid w:val="00FF5CB4"/>
    <w:rsid w:val="00FF5D12"/>
    <w:rsid w:val="00FF5EAE"/>
    <w:rsid w:val="00FF5F5F"/>
    <w:rsid w:val="00FF5FE2"/>
    <w:rsid w:val="00FF6122"/>
    <w:rsid w:val="00FF6134"/>
    <w:rsid w:val="00FF6208"/>
    <w:rsid w:val="00FF6243"/>
    <w:rsid w:val="00FF625F"/>
    <w:rsid w:val="00FF6317"/>
    <w:rsid w:val="00FF6460"/>
    <w:rsid w:val="00FF649E"/>
    <w:rsid w:val="00FF64C1"/>
    <w:rsid w:val="00FF64ED"/>
    <w:rsid w:val="00FF64F1"/>
    <w:rsid w:val="00FF6508"/>
    <w:rsid w:val="00FF655F"/>
    <w:rsid w:val="00FF6644"/>
    <w:rsid w:val="00FF664C"/>
    <w:rsid w:val="00FF665B"/>
    <w:rsid w:val="00FF6679"/>
    <w:rsid w:val="00FF66D2"/>
    <w:rsid w:val="00FF67BA"/>
    <w:rsid w:val="00FF68C7"/>
    <w:rsid w:val="00FF6A13"/>
    <w:rsid w:val="00FF6A48"/>
    <w:rsid w:val="00FF6A4A"/>
    <w:rsid w:val="00FF6A99"/>
    <w:rsid w:val="00FF6ABA"/>
    <w:rsid w:val="00FF6BE0"/>
    <w:rsid w:val="00FF6BFF"/>
    <w:rsid w:val="00FF6D20"/>
    <w:rsid w:val="00FF6D28"/>
    <w:rsid w:val="00FF6DA0"/>
    <w:rsid w:val="00FF6E0D"/>
    <w:rsid w:val="00FF6E9E"/>
    <w:rsid w:val="00FF6F04"/>
    <w:rsid w:val="00FF6FDD"/>
    <w:rsid w:val="00FF70BE"/>
    <w:rsid w:val="00FF710D"/>
    <w:rsid w:val="00FF711D"/>
    <w:rsid w:val="00FF7158"/>
    <w:rsid w:val="00FF7360"/>
    <w:rsid w:val="00FF7375"/>
    <w:rsid w:val="00FF7379"/>
    <w:rsid w:val="00FF73FE"/>
    <w:rsid w:val="00FF74B8"/>
    <w:rsid w:val="00FF74EC"/>
    <w:rsid w:val="00FF7614"/>
    <w:rsid w:val="00FF7635"/>
    <w:rsid w:val="00FF772A"/>
    <w:rsid w:val="00FF786A"/>
    <w:rsid w:val="00FF78C6"/>
    <w:rsid w:val="00FF79D6"/>
    <w:rsid w:val="00FF7A0A"/>
    <w:rsid w:val="00FF7A16"/>
    <w:rsid w:val="00FF7B07"/>
    <w:rsid w:val="00FF7B23"/>
    <w:rsid w:val="00FF7B73"/>
    <w:rsid w:val="00FF7BD6"/>
    <w:rsid w:val="00FF7D25"/>
    <w:rsid w:val="00FF7D7D"/>
    <w:rsid w:val="00FF7F50"/>
    <w:rsid w:val="00FF7FB7"/>
    <w:rsid w:val="0102206A"/>
    <w:rsid w:val="010507DA"/>
    <w:rsid w:val="0106BCD7"/>
    <w:rsid w:val="0111069B"/>
    <w:rsid w:val="011319F5"/>
    <w:rsid w:val="0117CE84"/>
    <w:rsid w:val="0118D8BC"/>
    <w:rsid w:val="01284F52"/>
    <w:rsid w:val="013B2DC3"/>
    <w:rsid w:val="013D4157"/>
    <w:rsid w:val="014821B3"/>
    <w:rsid w:val="015BFA04"/>
    <w:rsid w:val="01610539"/>
    <w:rsid w:val="01A04324"/>
    <w:rsid w:val="01A4B86B"/>
    <w:rsid w:val="01ABFBF9"/>
    <w:rsid w:val="01AD1D92"/>
    <w:rsid w:val="01AF37B6"/>
    <w:rsid w:val="01C8ADE8"/>
    <w:rsid w:val="01CCB9EE"/>
    <w:rsid w:val="01CF18FC"/>
    <w:rsid w:val="01FA5051"/>
    <w:rsid w:val="0208FDAC"/>
    <w:rsid w:val="020A7315"/>
    <w:rsid w:val="022157E3"/>
    <w:rsid w:val="022D6DA9"/>
    <w:rsid w:val="025018DD"/>
    <w:rsid w:val="025A27D4"/>
    <w:rsid w:val="025ACDB0"/>
    <w:rsid w:val="0266D7FA"/>
    <w:rsid w:val="026DFA9C"/>
    <w:rsid w:val="0276344F"/>
    <w:rsid w:val="0278830B"/>
    <w:rsid w:val="027CBDD6"/>
    <w:rsid w:val="0284416E"/>
    <w:rsid w:val="028A51E7"/>
    <w:rsid w:val="0290E1B8"/>
    <w:rsid w:val="029D1B5B"/>
    <w:rsid w:val="02A2E340"/>
    <w:rsid w:val="02B094CF"/>
    <w:rsid w:val="02B639E8"/>
    <w:rsid w:val="02C258DC"/>
    <w:rsid w:val="02C406D4"/>
    <w:rsid w:val="02CC1D39"/>
    <w:rsid w:val="02CC37EF"/>
    <w:rsid w:val="02F5C815"/>
    <w:rsid w:val="02F95AAD"/>
    <w:rsid w:val="0301C432"/>
    <w:rsid w:val="032833CC"/>
    <w:rsid w:val="0331ABD1"/>
    <w:rsid w:val="03341665"/>
    <w:rsid w:val="0335D294"/>
    <w:rsid w:val="034AB315"/>
    <w:rsid w:val="034D4EE7"/>
    <w:rsid w:val="034EA089"/>
    <w:rsid w:val="037C4CBB"/>
    <w:rsid w:val="039028DC"/>
    <w:rsid w:val="039042A1"/>
    <w:rsid w:val="039F38E2"/>
    <w:rsid w:val="03A7F22A"/>
    <w:rsid w:val="03B21574"/>
    <w:rsid w:val="03B7C691"/>
    <w:rsid w:val="03BDABBE"/>
    <w:rsid w:val="03E9C304"/>
    <w:rsid w:val="03F0DDE9"/>
    <w:rsid w:val="0419D2AB"/>
    <w:rsid w:val="042F96CA"/>
    <w:rsid w:val="0430CFEA"/>
    <w:rsid w:val="044D6338"/>
    <w:rsid w:val="0454675F"/>
    <w:rsid w:val="0455867C"/>
    <w:rsid w:val="04600202"/>
    <w:rsid w:val="04619000"/>
    <w:rsid w:val="0475F40E"/>
    <w:rsid w:val="04768C40"/>
    <w:rsid w:val="047925D9"/>
    <w:rsid w:val="048F8B46"/>
    <w:rsid w:val="049019A4"/>
    <w:rsid w:val="04937826"/>
    <w:rsid w:val="04977B0D"/>
    <w:rsid w:val="049E6480"/>
    <w:rsid w:val="04A5D17A"/>
    <w:rsid w:val="04AD9993"/>
    <w:rsid w:val="04D25F1B"/>
    <w:rsid w:val="04D62624"/>
    <w:rsid w:val="04D98EC6"/>
    <w:rsid w:val="04E42D48"/>
    <w:rsid w:val="04E83D6B"/>
    <w:rsid w:val="04F138AA"/>
    <w:rsid w:val="050170D8"/>
    <w:rsid w:val="05085BB9"/>
    <w:rsid w:val="050CE3B4"/>
    <w:rsid w:val="050EBD94"/>
    <w:rsid w:val="0512BC22"/>
    <w:rsid w:val="0514D1F2"/>
    <w:rsid w:val="0514F8AB"/>
    <w:rsid w:val="0535CAF5"/>
    <w:rsid w:val="05376E80"/>
    <w:rsid w:val="054549BF"/>
    <w:rsid w:val="054F4AF4"/>
    <w:rsid w:val="055FFC6A"/>
    <w:rsid w:val="056CE94C"/>
    <w:rsid w:val="057DBD16"/>
    <w:rsid w:val="0584EF5A"/>
    <w:rsid w:val="0590CA25"/>
    <w:rsid w:val="0599051D"/>
    <w:rsid w:val="059CB5FF"/>
    <w:rsid w:val="05A07145"/>
    <w:rsid w:val="05B3FEFA"/>
    <w:rsid w:val="05C6DBFC"/>
    <w:rsid w:val="05DCDE63"/>
    <w:rsid w:val="060DEB75"/>
    <w:rsid w:val="061B1E36"/>
    <w:rsid w:val="062339D4"/>
    <w:rsid w:val="0626E1D2"/>
    <w:rsid w:val="06310D19"/>
    <w:rsid w:val="0633704B"/>
    <w:rsid w:val="063834F4"/>
    <w:rsid w:val="063ABAD8"/>
    <w:rsid w:val="06461E46"/>
    <w:rsid w:val="065406A7"/>
    <w:rsid w:val="0659F399"/>
    <w:rsid w:val="06619844"/>
    <w:rsid w:val="066324B5"/>
    <w:rsid w:val="06663F9F"/>
    <w:rsid w:val="067414BB"/>
    <w:rsid w:val="06759949"/>
    <w:rsid w:val="0675CC9F"/>
    <w:rsid w:val="067C99D7"/>
    <w:rsid w:val="06832DB4"/>
    <w:rsid w:val="0696236D"/>
    <w:rsid w:val="06A923A6"/>
    <w:rsid w:val="06D17360"/>
    <w:rsid w:val="06EEA4E1"/>
    <w:rsid w:val="06EEA9CD"/>
    <w:rsid w:val="0704CF14"/>
    <w:rsid w:val="0713037C"/>
    <w:rsid w:val="0739D8DB"/>
    <w:rsid w:val="0741F038"/>
    <w:rsid w:val="0746F922"/>
    <w:rsid w:val="074D404E"/>
    <w:rsid w:val="07546B29"/>
    <w:rsid w:val="0755824D"/>
    <w:rsid w:val="075CFF3A"/>
    <w:rsid w:val="0771F50E"/>
    <w:rsid w:val="0777ACD3"/>
    <w:rsid w:val="07801A86"/>
    <w:rsid w:val="0792AD23"/>
    <w:rsid w:val="079A2525"/>
    <w:rsid w:val="07B0982C"/>
    <w:rsid w:val="07B5F8E4"/>
    <w:rsid w:val="07D6FFF1"/>
    <w:rsid w:val="07D84013"/>
    <w:rsid w:val="07DADC10"/>
    <w:rsid w:val="07E2B294"/>
    <w:rsid w:val="07E8FB8B"/>
    <w:rsid w:val="07EFA0B2"/>
    <w:rsid w:val="07FAC02D"/>
    <w:rsid w:val="0802DD56"/>
    <w:rsid w:val="080F72F5"/>
    <w:rsid w:val="0818B045"/>
    <w:rsid w:val="08194449"/>
    <w:rsid w:val="083804A9"/>
    <w:rsid w:val="0840F9A8"/>
    <w:rsid w:val="084BEB0D"/>
    <w:rsid w:val="084E5008"/>
    <w:rsid w:val="08502239"/>
    <w:rsid w:val="0858182B"/>
    <w:rsid w:val="0861E126"/>
    <w:rsid w:val="086A32D2"/>
    <w:rsid w:val="086C57DA"/>
    <w:rsid w:val="08761080"/>
    <w:rsid w:val="08795593"/>
    <w:rsid w:val="087C5ED8"/>
    <w:rsid w:val="08905111"/>
    <w:rsid w:val="08C5CAAB"/>
    <w:rsid w:val="08D52F95"/>
    <w:rsid w:val="08D5521F"/>
    <w:rsid w:val="08D72F14"/>
    <w:rsid w:val="08E4A6C2"/>
    <w:rsid w:val="08E4AE5C"/>
    <w:rsid w:val="08EC43CF"/>
    <w:rsid w:val="08EF7025"/>
    <w:rsid w:val="08EFB07E"/>
    <w:rsid w:val="08FA7CF8"/>
    <w:rsid w:val="08FDD511"/>
    <w:rsid w:val="0912712C"/>
    <w:rsid w:val="09158802"/>
    <w:rsid w:val="094E6416"/>
    <w:rsid w:val="09541662"/>
    <w:rsid w:val="0958E1F5"/>
    <w:rsid w:val="09679F76"/>
    <w:rsid w:val="097FAA34"/>
    <w:rsid w:val="0989CDD7"/>
    <w:rsid w:val="098A4AFB"/>
    <w:rsid w:val="09B03E4E"/>
    <w:rsid w:val="09BCB56B"/>
    <w:rsid w:val="09D84C3E"/>
    <w:rsid w:val="09F1CE9F"/>
    <w:rsid w:val="09F59483"/>
    <w:rsid w:val="0A06433C"/>
    <w:rsid w:val="0A0EE60C"/>
    <w:rsid w:val="0A0EE887"/>
    <w:rsid w:val="0A1904DB"/>
    <w:rsid w:val="0A22A488"/>
    <w:rsid w:val="0A34EE94"/>
    <w:rsid w:val="0A3A479B"/>
    <w:rsid w:val="0A56F9BD"/>
    <w:rsid w:val="0A8687F7"/>
    <w:rsid w:val="0A8D25A4"/>
    <w:rsid w:val="0A9328C6"/>
    <w:rsid w:val="0AA9AF83"/>
    <w:rsid w:val="0AA9AF84"/>
    <w:rsid w:val="0ABB7FDC"/>
    <w:rsid w:val="0AC75211"/>
    <w:rsid w:val="0AD0F00C"/>
    <w:rsid w:val="0AE4D0F5"/>
    <w:rsid w:val="0AF0FCA7"/>
    <w:rsid w:val="0B064504"/>
    <w:rsid w:val="0B0764E0"/>
    <w:rsid w:val="0B09C241"/>
    <w:rsid w:val="0B19D798"/>
    <w:rsid w:val="0B1D221A"/>
    <w:rsid w:val="0B234E89"/>
    <w:rsid w:val="0B23D26C"/>
    <w:rsid w:val="0B41C953"/>
    <w:rsid w:val="0B439AFB"/>
    <w:rsid w:val="0B52CCFB"/>
    <w:rsid w:val="0B562405"/>
    <w:rsid w:val="0B6B32A1"/>
    <w:rsid w:val="0B9C6121"/>
    <w:rsid w:val="0BA175C9"/>
    <w:rsid w:val="0BB99754"/>
    <w:rsid w:val="0BBAF97F"/>
    <w:rsid w:val="0BC08A32"/>
    <w:rsid w:val="0BC120DB"/>
    <w:rsid w:val="0BCB4F29"/>
    <w:rsid w:val="0BCBCBAE"/>
    <w:rsid w:val="0BD310F8"/>
    <w:rsid w:val="0BD6FB1C"/>
    <w:rsid w:val="0BEF2553"/>
    <w:rsid w:val="0BF2E55D"/>
    <w:rsid w:val="0BF98BCC"/>
    <w:rsid w:val="0BFA3C7A"/>
    <w:rsid w:val="0BFCDC4C"/>
    <w:rsid w:val="0BFF858A"/>
    <w:rsid w:val="0C2ED774"/>
    <w:rsid w:val="0C311E81"/>
    <w:rsid w:val="0C3B081B"/>
    <w:rsid w:val="0C3C5EB0"/>
    <w:rsid w:val="0C76769E"/>
    <w:rsid w:val="0C81ECBD"/>
    <w:rsid w:val="0C8D9DC9"/>
    <w:rsid w:val="0CB108D9"/>
    <w:rsid w:val="0CBCFFE7"/>
    <w:rsid w:val="0CDAA492"/>
    <w:rsid w:val="0CEBB9C5"/>
    <w:rsid w:val="0CEFF89F"/>
    <w:rsid w:val="0CF607B5"/>
    <w:rsid w:val="0CFC69D2"/>
    <w:rsid w:val="0D06C3CA"/>
    <w:rsid w:val="0D11B41A"/>
    <w:rsid w:val="0D18B884"/>
    <w:rsid w:val="0D2D7DB6"/>
    <w:rsid w:val="0D339D7D"/>
    <w:rsid w:val="0D3CF9CB"/>
    <w:rsid w:val="0D511745"/>
    <w:rsid w:val="0D561550"/>
    <w:rsid w:val="0D67AC78"/>
    <w:rsid w:val="0D81E7FE"/>
    <w:rsid w:val="0D83ED43"/>
    <w:rsid w:val="0D862D9A"/>
    <w:rsid w:val="0D9CA957"/>
    <w:rsid w:val="0DA62C24"/>
    <w:rsid w:val="0DAC9BF1"/>
    <w:rsid w:val="0DB41726"/>
    <w:rsid w:val="0DD97DEB"/>
    <w:rsid w:val="0DDC65E3"/>
    <w:rsid w:val="0DE9AF66"/>
    <w:rsid w:val="0E055F5A"/>
    <w:rsid w:val="0E0619E0"/>
    <w:rsid w:val="0E27AACE"/>
    <w:rsid w:val="0E3A2A0B"/>
    <w:rsid w:val="0E777571"/>
    <w:rsid w:val="0E7C130D"/>
    <w:rsid w:val="0E97DD8B"/>
    <w:rsid w:val="0EA36C06"/>
    <w:rsid w:val="0EA40FF9"/>
    <w:rsid w:val="0EA9705A"/>
    <w:rsid w:val="0EB27AD3"/>
    <w:rsid w:val="0EB2EE09"/>
    <w:rsid w:val="0EB6F8FD"/>
    <w:rsid w:val="0ED71C4C"/>
    <w:rsid w:val="0ED99B84"/>
    <w:rsid w:val="0EDB3661"/>
    <w:rsid w:val="0EFEF0BA"/>
    <w:rsid w:val="0F076A39"/>
    <w:rsid w:val="0F2655D7"/>
    <w:rsid w:val="0F299D01"/>
    <w:rsid w:val="0F38D0CA"/>
    <w:rsid w:val="0F3F03F5"/>
    <w:rsid w:val="0F47A86E"/>
    <w:rsid w:val="0F5CAC51"/>
    <w:rsid w:val="0F636629"/>
    <w:rsid w:val="0F6DF824"/>
    <w:rsid w:val="0F8F362A"/>
    <w:rsid w:val="0F937808"/>
    <w:rsid w:val="0F9FECCC"/>
    <w:rsid w:val="0FA00DC6"/>
    <w:rsid w:val="0FB178B6"/>
    <w:rsid w:val="0FC012E6"/>
    <w:rsid w:val="0FDA5059"/>
    <w:rsid w:val="0FDAA5FF"/>
    <w:rsid w:val="0FFAC946"/>
    <w:rsid w:val="0FFF2189"/>
    <w:rsid w:val="0FFF9B3E"/>
    <w:rsid w:val="100B9784"/>
    <w:rsid w:val="10129705"/>
    <w:rsid w:val="10219511"/>
    <w:rsid w:val="102DA278"/>
    <w:rsid w:val="1032989E"/>
    <w:rsid w:val="10462C77"/>
    <w:rsid w:val="104911DC"/>
    <w:rsid w:val="104C57A1"/>
    <w:rsid w:val="105452CC"/>
    <w:rsid w:val="106AEA55"/>
    <w:rsid w:val="106E9410"/>
    <w:rsid w:val="1083DF6C"/>
    <w:rsid w:val="1086A18C"/>
    <w:rsid w:val="10987240"/>
    <w:rsid w:val="10A6B64D"/>
    <w:rsid w:val="10AAACD2"/>
    <w:rsid w:val="10ABF91E"/>
    <w:rsid w:val="10B14576"/>
    <w:rsid w:val="10BADD70"/>
    <w:rsid w:val="10E24B43"/>
    <w:rsid w:val="10F11B06"/>
    <w:rsid w:val="10F506A9"/>
    <w:rsid w:val="1100677D"/>
    <w:rsid w:val="11177FD3"/>
    <w:rsid w:val="111C9205"/>
    <w:rsid w:val="11201A94"/>
    <w:rsid w:val="11249CDE"/>
    <w:rsid w:val="112E5097"/>
    <w:rsid w:val="1138EA88"/>
    <w:rsid w:val="113EAF38"/>
    <w:rsid w:val="115D3BB6"/>
    <w:rsid w:val="115E8F6A"/>
    <w:rsid w:val="1175A2E0"/>
    <w:rsid w:val="1175C4B1"/>
    <w:rsid w:val="11853165"/>
    <w:rsid w:val="1185486A"/>
    <w:rsid w:val="118E9653"/>
    <w:rsid w:val="1195042A"/>
    <w:rsid w:val="1197BE9D"/>
    <w:rsid w:val="11A34E99"/>
    <w:rsid w:val="11ADACC0"/>
    <w:rsid w:val="11B51E5E"/>
    <w:rsid w:val="11B6EEAE"/>
    <w:rsid w:val="11CBCF8E"/>
    <w:rsid w:val="11CC8A39"/>
    <w:rsid w:val="11D0891A"/>
    <w:rsid w:val="11DA8557"/>
    <w:rsid w:val="11DC2CB6"/>
    <w:rsid w:val="11E55CC4"/>
    <w:rsid w:val="11ECCAF1"/>
    <w:rsid w:val="11EED100"/>
    <w:rsid w:val="11F71086"/>
    <w:rsid w:val="11F71CB2"/>
    <w:rsid w:val="12096A96"/>
    <w:rsid w:val="1213AF8E"/>
    <w:rsid w:val="1230D846"/>
    <w:rsid w:val="1231F6F9"/>
    <w:rsid w:val="123EE70E"/>
    <w:rsid w:val="1255A799"/>
    <w:rsid w:val="12614A8E"/>
    <w:rsid w:val="126DDC44"/>
    <w:rsid w:val="12793C36"/>
    <w:rsid w:val="12808EDE"/>
    <w:rsid w:val="128AF530"/>
    <w:rsid w:val="129FC435"/>
    <w:rsid w:val="12C62362"/>
    <w:rsid w:val="12D11916"/>
    <w:rsid w:val="12D906F4"/>
    <w:rsid w:val="12EA6D41"/>
    <w:rsid w:val="12EE2788"/>
    <w:rsid w:val="12F784B3"/>
    <w:rsid w:val="13041D43"/>
    <w:rsid w:val="13074A00"/>
    <w:rsid w:val="1334DECB"/>
    <w:rsid w:val="1341E432"/>
    <w:rsid w:val="134D1555"/>
    <w:rsid w:val="1352B4CF"/>
    <w:rsid w:val="135495ED"/>
    <w:rsid w:val="1371AF1F"/>
    <w:rsid w:val="1376D92C"/>
    <w:rsid w:val="1378CD64"/>
    <w:rsid w:val="138D8326"/>
    <w:rsid w:val="139A1A77"/>
    <w:rsid w:val="13A14214"/>
    <w:rsid w:val="13BC14C2"/>
    <w:rsid w:val="13C5B9F1"/>
    <w:rsid w:val="13D84E4B"/>
    <w:rsid w:val="13DE633B"/>
    <w:rsid w:val="13F0EF37"/>
    <w:rsid w:val="13FE9078"/>
    <w:rsid w:val="14066B99"/>
    <w:rsid w:val="1406BD07"/>
    <w:rsid w:val="140CAA66"/>
    <w:rsid w:val="1420A588"/>
    <w:rsid w:val="142CF1DF"/>
    <w:rsid w:val="143B0144"/>
    <w:rsid w:val="144A60C0"/>
    <w:rsid w:val="1459A823"/>
    <w:rsid w:val="145C27B4"/>
    <w:rsid w:val="14AD8FE5"/>
    <w:rsid w:val="14B74858"/>
    <w:rsid w:val="14BA796B"/>
    <w:rsid w:val="14BFB75A"/>
    <w:rsid w:val="14C01D15"/>
    <w:rsid w:val="14C35970"/>
    <w:rsid w:val="14C6A623"/>
    <w:rsid w:val="14D31435"/>
    <w:rsid w:val="14DE123D"/>
    <w:rsid w:val="14DFAA69"/>
    <w:rsid w:val="14E7E63B"/>
    <w:rsid w:val="14E9656A"/>
    <w:rsid w:val="14F1A0A0"/>
    <w:rsid w:val="152C1B1B"/>
    <w:rsid w:val="152E2549"/>
    <w:rsid w:val="153C4D78"/>
    <w:rsid w:val="15549F1A"/>
    <w:rsid w:val="15561E66"/>
    <w:rsid w:val="156710F5"/>
    <w:rsid w:val="15677CC5"/>
    <w:rsid w:val="15781AD7"/>
    <w:rsid w:val="15963CAC"/>
    <w:rsid w:val="159AEDF8"/>
    <w:rsid w:val="15AE4A89"/>
    <w:rsid w:val="15BB4899"/>
    <w:rsid w:val="15C07431"/>
    <w:rsid w:val="15CD5431"/>
    <w:rsid w:val="15D11F23"/>
    <w:rsid w:val="15E2D02F"/>
    <w:rsid w:val="15E36AB6"/>
    <w:rsid w:val="15EB4002"/>
    <w:rsid w:val="15F4DACE"/>
    <w:rsid w:val="15FB0CAC"/>
    <w:rsid w:val="15FDC11C"/>
    <w:rsid w:val="160DB2FA"/>
    <w:rsid w:val="161AFED1"/>
    <w:rsid w:val="161E759C"/>
    <w:rsid w:val="162EEBF5"/>
    <w:rsid w:val="16345CC2"/>
    <w:rsid w:val="1644495B"/>
    <w:rsid w:val="16489541"/>
    <w:rsid w:val="164A66B6"/>
    <w:rsid w:val="1651711B"/>
    <w:rsid w:val="1658C012"/>
    <w:rsid w:val="1669581D"/>
    <w:rsid w:val="166F4052"/>
    <w:rsid w:val="167008F0"/>
    <w:rsid w:val="1681DB76"/>
    <w:rsid w:val="168460B4"/>
    <w:rsid w:val="168737DE"/>
    <w:rsid w:val="1687F1BB"/>
    <w:rsid w:val="16A8AAAC"/>
    <w:rsid w:val="16AA4DD5"/>
    <w:rsid w:val="16C0DA20"/>
    <w:rsid w:val="16CF9BE3"/>
    <w:rsid w:val="16D7EC34"/>
    <w:rsid w:val="16F1E963"/>
    <w:rsid w:val="16F484E6"/>
    <w:rsid w:val="1700F20F"/>
    <w:rsid w:val="1701B825"/>
    <w:rsid w:val="1716F60F"/>
    <w:rsid w:val="17217780"/>
    <w:rsid w:val="17356B69"/>
    <w:rsid w:val="1735AACE"/>
    <w:rsid w:val="17596725"/>
    <w:rsid w:val="17625581"/>
    <w:rsid w:val="17670ACE"/>
    <w:rsid w:val="176716E4"/>
    <w:rsid w:val="1769BA8C"/>
    <w:rsid w:val="17710DA9"/>
    <w:rsid w:val="1771FDF6"/>
    <w:rsid w:val="1776530F"/>
    <w:rsid w:val="177A102E"/>
    <w:rsid w:val="177EFE61"/>
    <w:rsid w:val="17A18845"/>
    <w:rsid w:val="17B4381F"/>
    <w:rsid w:val="17BB9A75"/>
    <w:rsid w:val="17BF830F"/>
    <w:rsid w:val="17D0B896"/>
    <w:rsid w:val="17D40EAA"/>
    <w:rsid w:val="181C850A"/>
    <w:rsid w:val="1820C04A"/>
    <w:rsid w:val="18318EC5"/>
    <w:rsid w:val="183DD25B"/>
    <w:rsid w:val="183ED7DE"/>
    <w:rsid w:val="18531F9F"/>
    <w:rsid w:val="18567029"/>
    <w:rsid w:val="1856BB51"/>
    <w:rsid w:val="18613D26"/>
    <w:rsid w:val="186BF743"/>
    <w:rsid w:val="186EC0A8"/>
    <w:rsid w:val="18705938"/>
    <w:rsid w:val="18795B75"/>
    <w:rsid w:val="187F08A6"/>
    <w:rsid w:val="1889BC5C"/>
    <w:rsid w:val="188D62FB"/>
    <w:rsid w:val="189A90CD"/>
    <w:rsid w:val="18AF24BF"/>
    <w:rsid w:val="18C29D8D"/>
    <w:rsid w:val="18D1743F"/>
    <w:rsid w:val="18D53A64"/>
    <w:rsid w:val="18E36146"/>
    <w:rsid w:val="18FDE634"/>
    <w:rsid w:val="1905F5A0"/>
    <w:rsid w:val="1908C5A2"/>
    <w:rsid w:val="1913A4B9"/>
    <w:rsid w:val="19229865"/>
    <w:rsid w:val="1944DA90"/>
    <w:rsid w:val="1953C9F2"/>
    <w:rsid w:val="196E9A6E"/>
    <w:rsid w:val="197991FB"/>
    <w:rsid w:val="198752AC"/>
    <w:rsid w:val="199111BA"/>
    <w:rsid w:val="19A145C9"/>
    <w:rsid w:val="19BDDF35"/>
    <w:rsid w:val="19C041DE"/>
    <w:rsid w:val="19C0970E"/>
    <w:rsid w:val="19CA418A"/>
    <w:rsid w:val="19CC8C14"/>
    <w:rsid w:val="19E34447"/>
    <w:rsid w:val="19E59002"/>
    <w:rsid w:val="19E87223"/>
    <w:rsid w:val="19E90B61"/>
    <w:rsid w:val="19EB50B0"/>
    <w:rsid w:val="19EC1EA9"/>
    <w:rsid w:val="1A0276F5"/>
    <w:rsid w:val="1A08A14B"/>
    <w:rsid w:val="1A09612D"/>
    <w:rsid w:val="1A10AB07"/>
    <w:rsid w:val="1A1E7F9F"/>
    <w:rsid w:val="1A22A502"/>
    <w:rsid w:val="1A2D59C1"/>
    <w:rsid w:val="1A35DF7C"/>
    <w:rsid w:val="1A39C04C"/>
    <w:rsid w:val="1A3C8204"/>
    <w:rsid w:val="1A3E67F6"/>
    <w:rsid w:val="1A572183"/>
    <w:rsid w:val="1A64F52D"/>
    <w:rsid w:val="1A652E86"/>
    <w:rsid w:val="1A884053"/>
    <w:rsid w:val="1A9E01F3"/>
    <w:rsid w:val="1AB864CD"/>
    <w:rsid w:val="1ABE2492"/>
    <w:rsid w:val="1ACAB620"/>
    <w:rsid w:val="1AD4D4B1"/>
    <w:rsid w:val="1AE50C68"/>
    <w:rsid w:val="1AF4C640"/>
    <w:rsid w:val="1AF8655B"/>
    <w:rsid w:val="1B05F43F"/>
    <w:rsid w:val="1B0F4059"/>
    <w:rsid w:val="1B13C447"/>
    <w:rsid w:val="1B307A1C"/>
    <w:rsid w:val="1B3701CA"/>
    <w:rsid w:val="1B40BFB2"/>
    <w:rsid w:val="1B4D2679"/>
    <w:rsid w:val="1B4F271B"/>
    <w:rsid w:val="1B7322AC"/>
    <w:rsid w:val="1B86E2EF"/>
    <w:rsid w:val="1B9675E7"/>
    <w:rsid w:val="1BA0280B"/>
    <w:rsid w:val="1BA923E8"/>
    <w:rsid w:val="1BAAD315"/>
    <w:rsid w:val="1BAB8836"/>
    <w:rsid w:val="1BBCBF1A"/>
    <w:rsid w:val="1BC61B46"/>
    <w:rsid w:val="1BD7F386"/>
    <w:rsid w:val="1BDE6E6E"/>
    <w:rsid w:val="1BE34908"/>
    <w:rsid w:val="1BEA62FF"/>
    <w:rsid w:val="1BEAFD79"/>
    <w:rsid w:val="1BEC398E"/>
    <w:rsid w:val="1BF0DFAE"/>
    <w:rsid w:val="1BF3C975"/>
    <w:rsid w:val="1C1BE33B"/>
    <w:rsid w:val="1C343F81"/>
    <w:rsid w:val="1C43B300"/>
    <w:rsid w:val="1C4D2393"/>
    <w:rsid w:val="1C84ACE8"/>
    <w:rsid w:val="1C84C47A"/>
    <w:rsid w:val="1C9028AB"/>
    <w:rsid w:val="1C9386C3"/>
    <w:rsid w:val="1C9813E3"/>
    <w:rsid w:val="1C9938AF"/>
    <w:rsid w:val="1C99A2D4"/>
    <w:rsid w:val="1CAD64FE"/>
    <w:rsid w:val="1CB53AC2"/>
    <w:rsid w:val="1CC50831"/>
    <w:rsid w:val="1CC53F6D"/>
    <w:rsid w:val="1CC6709F"/>
    <w:rsid w:val="1CCF802B"/>
    <w:rsid w:val="1CE460AA"/>
    <w:rsid w:val="1CE8112B"/>
    <w:rsid w:val="1CF65B5B"/>
    <w:rsid w:val="1CFF59BD"/>
    <w:rsid w:val="1D021595"/>
    <w:rsid w:val="1D124BA4"/>
    <w:rsid w:val="1D2864AD"/>
    <w:rsid w:val="1D2E0023"/>
    <w:rsid w:val="1D2F294A"/>
    <w:rsid w:val="1D30B8F7"/>
    <w:rsid w:val="1D3CD510"/>
    <w:rsid w:val="1D400310"/>
    <w:rsid w:val="1D43C7B1"/>
    <w:rsid w:val="1D455D73"/>
    <w:rsid w:val="1D53308D"/>
    <w:rsid w:val="1D569432"/>
    <w:rsid w:val="1D6F8193"/>
    <w:rsid w:val="1D787B36"/>
    <w:rsid w:val="1D8FE097"/>
    <w:rsid w:val="1DA0CF3B"/>
    <w:rsid w:val="1DA6363C"/>
    <w:rsid w:val="1DA74AC1"/>
    <w:rsid w:val="1DC4681B"/>
    <w:rsid w:val="1DD960BF"/>
    <w:rsid w:val="1DDEE8EF"/>
    <w:rsid w:val="1DEE1FF6"/>
    <w:rsid w:val="1E046D23"/>
    <w:rsid w:val="1E068E87"/>
    <w:rsid w:val="1E06E326"/>
    <w:rsid w:val="1E1AC097"/>
    <w:rsid w:val="1E2CB5D1"/>
    <w:rsid w:val="1E2F9E41"/>
    <w:rsid w:val="1E3961DD"/>
    <w:rsid w:val="1E3BF13F"/>
    <w:rsid w:val="1E49A152"/>
    <w:rsid w:val="1E4B4EF1"/>
    <w:rsid w:val="1E4FA03A"/>
    <w:rsid w:val="1E530DAF"/>
    <w:rsid w:val="1E614672"/>
    <w:rsid w:val="1E619248"/>
    <w:rsid w:val="1E768B05"/>
    <w:rsid w:val="1E9077D1"/>
    <w:rsid w:val="1E95BDCD"/>
    <w:rsid w:val="1EB7352D"/>
    <w:rsid w:val="1EDD31DF"/>
    <w:rsid w:val="1EEA93BB"/>
    <w:rsid w:val="1EFEC906"/>
    <w:rsid w:val="1F2EBE25"/>
    <w:rsid w:val="1F3AF998"/>
    <w:rsid w:val="1F48FF6B"/>
    <w:rsid w:val="1F49503A"/>
    <w:rsid w:val="1F655EFA"/>
    <w:rsid w:val="1F7B26D7"/>
    <w:rsid w:val="1F82B632"/>
    <w:rsid w:val="1FA51DFE"/>
    <w:rsid w:val="1FA89EFA"/>
    <w:rsid w:val="1FB01F2C"/>
    <w:rsid w:val="1FB6BD2E"/>
    <w:rsid w:val="1FBCC0CE"/>
    <w:rsid w:val="1FBF32FD"/>
    <w:rsid w:val="1FD14E51"/>
    <w:rsid w:val="1FD8312C"/>
    <w:rsid w:val="1FE6711B"/>
    <w:rsid w:val="1FFD2859"/>
    <w:rsid w:val="20083AEB"/>
    <w:rsid w:val="200DA69E"/>
    <w:rsid w:val="200E7CD6"/>
    <w:rsid w:val="20168E47"/>
    <w:rsid w:val="2017C03A"/>
    <w:rsid w:val="2033952F"/>
    <w:rsid w:val="2035906A"/>
    <w:rsid w:val="20386057"/>
    <w:rsid w:val="204A50AC"/>
    <w:rsid w:val="205787A6"/>
    <w:rsid w:val="205A566A"/>
    <w:rsid w:val="20651C35"/>
    <w:rsid w:val="206B2E75"/>
    <w:rsid w:val="2070A9E3"/>
    <w:rsid w:val="20876CC2"/>
    <w:rsid w:val="2090F05D"/>
    <w:rsid w:val="209925D3"/>
    <w:rsid w:val="209FA6EA"/>
    <w:rsid w:val="20A5273C"/>
    <w:rsid w:val="20B22B8A"/>
    <w:rsid w:val="20CF0952"/>
    <w:rsid w:val="20D21178"/>
    <w:rsid w:val="20F16B77"/>
    <w:rsid w:val="20F386D2"/>
    <w:rsid w:val="21099009"/>
    <w:rsid w:val="210E5DE0"/>
    <w:rsid w:val="211311AD"/>
    <w:rsid w:val="21179F0B"/>
    <w:rsid w:val="2118BAC8"/>
    <w:rsid w:val="211F3E82"/>
    <w:rsid w:val="2122D28C"/>
    <w:rsid w:val="21360582"/>
    <w:rsid w:val="213A3FC1"/>
    <w:rsid w:val="213A5E53"/>
    <w:rsid w:val="21554850"/>
    <w:rsid w:val="216AAF07"/>
    <w:rsid w:val="2170AAAD"/>
    <w:rsid w:val="2174EFE0"/>
    <w:rsid w:val="2177A929"/>
    <w:rsid w:val="217A3F88"/>
    <w:rsid w:val="217AE5E2"/>
    <w:rsid w:val="217E6C08"/>
    <w:rsid w:val="218C1398"/>
    <w:rsid w:val="2190D3C6"/>
    <w:rsid w:val="21A3C100"/>
    <w:rsid w:val="21A8093B"/>
    <w:rsid w:val="21C7FCBD"/>
    <w:rsid w:val="21DDFCB5"/>
    <w:rsid w:val="21DEA46C"/>
    <w:rsid w:val="21DEF784"/>
    <w:rsid w:val="21E104AE"/>
    <w:rsid w:val="21E8A4BF"/>
    <w:rsid w:val="21F8BA11"/>
    <w:rsid w:val="2204EFDB"/>
    <w:rsid w:val="2214241E"/>
    <w:rsid w:val="2220E483"/>
    <w:rsid w:val="222649E3"/>
    <w:rsid w:val="2231214E"/>
    <w:rsid w:val="22339A9A"/>
    <w:rsid w:val="223E0448"/>
    <w:rsid w:val="2246E3A4"/>
    <w:rsid w:val="224F6725"/>
    <w:rsid w:val="225DC2AE"/>
    <w:rsid w:val="22631A72"/>
    <w:rsid w:val="2276A00B"/>
    <w:rsid w:val="227ACB4F"/>
    <w:rsid w:val="227F09D2"/>
    <w:rsid w:val="22891AFB"/>
    <w:rsid w:val="22962A36"/>
    <w:rsid w:val="2298B852"/>
    <w:rsid w:val="22A66AB5"/>
    <w:rsid w:val="22ADF854"/>
    <w:rsid w:val="22B06825"/>
    <w:rsid w:val="22BAD136"/>
    <w:rsid w:val="22C34754"/>
    <w:rsid w:val="22CE2DDA"/>
    <w:rsid w:val="2304EF14"/>
    <w:rsid w:val="231099A4"/>
    <w:rsid w:val="2319F99D"/>
    <w:rsid w:val="231A0783"/>
    <w:rsid w:val="2326EFA5"/>
    <w:rsid w:val="23284A80"/>
    <w:rsid w:val="233CABBC"/>
    <w:rsid w:val="233CE57D"/>
    <w:rsid w:val="2342691C"/>
    <w:rsid w:val="2348297F"/>
    <w:rsid w:val="234B6076"/>
    <w:rsid w:val="235F4A6B"/>
    <w:rsid w:val="236C35EF"/>
    <w:rsid w:val="236CDCCE"/>
    <w:rsid w:val="23703545"/>
    <w:rsid w:val="237BF927"/>
    <w:rsid w:val="237EED16"/>
    <w:rsid w:val="238452D8"/>
    <w:rsid w:val="238EE02A"/>
    <w:rsid w:val="239FB4E6"/>
    <w:rsid w:val="23AA00DE"/>
    <w:rsid w:val="23AA15AA"/>
    <w:rsid w:val="23ACE1A7"/>
    <w:rsid w:val="23ADA9AA"/>
    <w:rsid w:val="23FF560E"/>
    <w:rsid w:val="2418520B"/>
    <w:rsid w:val="2418BF6C"/>
    <w:rsid w:val="2418DFCD"/>
    <w:rsid w:val="241D9AAA"/>
    <w:rsid w:val="242935F8"/>
    <w:rsid w:val="243165DB"/>
    <w:rsid w:val="2450B607"/>
    <w:rsid w:val="2453F4D6"/>
    <w:rsid w:val="24575428"/>
    <w:rsid w:val="245C48C5"/>
    <w:rsid w:val="247191BC"/>
    <w:rsid w:val="247828B7"/>
    <w:rsid w:val="247B76AB"/>
    <w:rsid w:val="248C6405"/>
    <w:rsid w:val="24983360"/>
    <w:rsid w:val="249AD73C"/>
    <w:rsid w:val="249C11C4"/>
    <w:rsid w:val="249C452B"/>
    <w:rsid w:val="24A8B637"/>
    <w:rsid w:val="24B449CB"/>
    <w:rsid w:val="24D4AB20"/>
    <w:rsid w:val="24E201DB"/>
    <w:rsid w:val="24EF4993"/>
    <w:rsid w:val="24F1AF31"/>
    <w:rsid w:val="24F4B1BE"/>
    <w:rsid w:val="25017721"/>
    <w:rsid w:val="250E6572"/>
    <w:rsid w:val="251AFB7F"/>
    <w:rsid w:val="252EC358"/>
    <w:rsid w:val="253DC4E7"/>
    <w:rsid w:val="25434B0F"/>
    <w:rsid w:val="254B2F09"/>
    <w:rsid w:val="254C5783"/>
    <w:rsid w:val="254CD58E"/>
    <w:rsid w:val="2568D275"/>
    <w:rsid w:val="256E4B85"/>
    <w:rsid w:val="257C04C5"/>
    <w:rsid w:val="257FD72F"/>
    <w:rsid w:val="25856807"/>
    <w:rsid w:val="259778F7"/>
    <w:rsid w:val="2598377B"/>
    <w:rsid w:val="2598F12A"/>
    <w:rsid w:val="25A5A39E"/>
    <w:rsid w:val="25A6D7F5"/>
    <w:rsid w:val="25B781FD"/>
    <w:rsid w:val="25C95D8E"/>
    <w:rsid w:val="25D29214"/>
    <w:rsid w:val="2619E693"/>
    <w:rsid w:val="2622F6A4"/>
    <w:rsid w:val="26424168"/>
    <w:rsid w:val="26599691"/>
    <w:rsid w:val="265D86CF"/>
    <w:rsid w:val="2664C1EA"/>
    <w:rsid w:val="267518F5"/>
    <w:rsid w:val="26790962"/>
    <w:rsid w:val="26857B6C"/>
    <w:rsid w:val="268DCF9D"/>
    <w:rsid w:val="2697627B"/>
    <w:rsid w:val="26AEC078"/>
    <w:rsid w:val="26B43BB8"/>
    <w:rsid w:val="26B4D5B6"/>
    <w:rsid w:val="26BFB676"/>
    <w:rsid w:val="26D3A5AF"/>
    <w:rsid w:val="26E6D494"/>
    <w:rsid w:val="26EC8E5A"/>
    <w:rsid w:val="26F8E56F"/>
    <w:rsid w:val="2704C0EE"/>
    <w:rsid w:val="2707676A"/>
    <w:rsid w:val="271E4A17"/>
    <w:rsid w:val="272B1DBB"/>
    <w:rsid w:val="273401C8"/>
    <w:rsid w:val="2737049D"/>
    <w:rsid w:val="273732CB"/>
    <w:rsid w:val="27463E2B"/>
    <w:rsid w:val="275C4AC2"/>
    <w:rsid w:val="275DE134"/>
    <w:rsid w:val="2767B4AE"/>
    <w:rsid w:val="27693A71"/>
    <w:rsid w:val="276D4AC0"/>
    <w:rsid w:val="2778393F"/>
    <w:rsid w:val="277931DF"/>
    <w:rsid w:val="2792BCCA"/>
    <w:rsid w:val="27AC93DF"/>
    <w:rsid w:val="27AE2DB4"/>
    <w:rsid w:val="27B40826"/>
    <w:rsid w:val="27D2E065"/>
    <w:rsid w:val="27DB5787"/>
    <w:rsid w:val="27EED0CD"/>
    <w:rsid w:val="27EEDB04"/>
    <w:rsid w:val="27EF6044"/>
    <w:rsid w:val="27FAA191"/>
    <w:rsid w:val="27FAE90E"/>
    <w:rsid w:val="28073B10"/>
    <w:rsid w:val="2807E7E2"/>
    <w:rsid w:val="28389041"/>
    <w:rsid w:val="28496BDC"/>
    <w:rsid w:val="286006D0"/>
    <w:rsid w:val="2865EE25"/>
    <w:rsid w:val="2871CAEF"/>
    <w:rsid w:val="28A0DAA2"/>
    <w:rsid w:val="28A17461"/>
    <w:rsid w:val="28E43E54"/>
    <w:rsid w:val="28E5AAD0"/>
    <w:rsid w:val="28E7A164"/>
    <w:rsid w:val="2906326A"/>
    <w:rsid w:val="290AFAA2"/>
    <w:rsid w:val="290F88DE"/>
    <w:rsid w:val="2918017C"/>
    <w:rsid w:val="291B0BAF"/>
    <w:rsid w:val="29243685"/>
    <w:rsid w:val="29391048"/>
    <w:rsid w:val="294F6A5B"/>
    <w:rsid w:val="29555326"/>
    <w:rsid w:val="2957018F"/>
    <w:rsid w:val="2959B7C4"/>
    <w:rsid w:val="295C5F79"/>
    <w:rsid w:val="296DCC38"/>
    <w:rsid w:val="2976F528"/>
    <w:rsid w:val="297A615A"/>
    <w:rsid w:val="2980436B"/>
    <w:rsid w:val="2980DF09"/>
    <w:rsid w:val="29856472"/>
    <w:rsid w:val="298C8034"/>
    <w:rsid w:val="298EBBC9"/>
    <w:rsid w:val="29A6C40E"/>
    <w:rsid w:val="29A75EA9"/>
    <w:rsid w:val="29BF20B4"/>
    <w:rsid w:val="29C0D690"/>
    <w:rsid w:val="29DC9951"/>
    <w:rsid w:val="29EAF344"/>
    <w:rsid w:val="29EC623C"/>
    <w:rsid w:val="29ED64A9"/>
    <w:rsid w:val="29EF6F9D"/>
    <w:rsid w:val="29F6BE34"/>
    <w:rsid w:val="29FFBA12"/>
    <w:rsid w:val="2A00125E"/>
    <w:rsid w:val="2A04C9D4"/>
    <w:rsid w:val="2A237A35"/>
    <w:rsid w:val="2A27C80E"/>
    <w:rsid w:val="2A27DA19"/>
    <w:rsid w:val="2A395A5F"/>
    <w:rsid w:val="2A4E0F3D"/>
    <w:rsid w:val="2A57DF60"/>
    <w:rsid w:val="2A5992B6"/>
    <w:rsid w:val="2A5C1161"/>
    <w:rsid w:val="2A6C7E05"/>
    <w:rsid w:val="2A72E73A"/>
    <w:rsid w:val="2A762EC7"/>
    <w:rsid w:val="2A9B00ED"/>
    <w:rsid w:val="2AA76CB1"/>
    <w:rsid w:val="2AA9B39F"/>
    <w:rsid w:val="2AB1A632"/>
    <w:rsid w:val="2ABF8A60"/>
    <w:rsid w:val="2ACD4962"/>
    <w:rsid w:val="2ACE8E81"/>
    <w:rsid w:val="2AD4D8AB"/>
    <w:rsid w:val="2ADF096C"/>
    <w:rsid w:val="2AE1BBF1"/>
    <w:rsid w:val="2AE47980"/>
    <w:rsid w:val="2AEAC2EB"/>
    <w:rsid w:val="2AF5A751"/>
    <w:rsid w:val="2AF8500F"/>
    <w:rsid w:val="2AF9CDB3"/>
    <w:rsid w:val="2AFD1617"/>
    <w:rsid w:val="2B01339A"/>
    <w:rsid w:val="2B05C848"/>
    <w:rsid w:val="2B1CEADF"/>
    <w:rsid w:val="2B299020"/>
    <w:rsid w:val="2B2AF608"/>
    <w:rsid w:val="2B2D548E"/>
    <w:rsid w:val="2B2FCF5C"/>
    <w:rsid w:val="2B3090BA"/>
    <w:rsid w:val="2B377668"/>
    <w:rsid w:val="2B3F5E22"/>
    <w:rsid w:val="2B4D1666"/>
    <w:rsid w:val="2B4FC377"/>
    <w:rsid w:val="2B569C6C"/>
    <w:rsid w:val="2B77DE69"/>
    <w:rsid w:val="2B7B09B5"/>
    <w:rsid w:val="2B885E26"/>
    <w:rsid w:val="2B8CADBD"/>
    <w:rsid w:val="2B8F0DB2"/>
    <w:rsid w:val="2B982B39"/>
    <w:rsid w:val="2BA77EF6"/>
    <w:rsid w:val="2BA97587"/>
    <w:rsid w:val="2BB6988B"/>
    <w:rsid w:val="2BB77C3F"/>
    <w:rsid w:val="2BCE92D0"/>
    <w:rsid w:val="2BD7F5B3"/>
    <w:rsid w:val="2BD97653"/>
    <w:rsid w:val="2BE98FFB"/>
    <w:rsid w:val="2BEE958E"/>
    <w:rsid w:val="2BFBBD64"/>
    <w:rsid w:val="2BFE5B7C"/>
    <w:rsid w:val="2C3A2BDE"/>
    <w:rsid w:val="2C3B0700"/>
    <w:rsid w:val="2C51762A"/>
    <w:rsid w:val="2C5A3820"/>
    <w:rsid w:val="2C6A3359"/>
    <w:rsid w:val="2C8491BF"/>
    <w:rsid w:val="2C8553BC"/>
    <w:rsid w:val="2CA60B9B"/>
    <w:rsid w:val="2CAA8DFE"/>
    <w:rsid w:val="2CACA322"/>
    <w:rsid w:val="2CB1DE46"/>
    <w:rsid w:val="2CB4F452"/>
    <w:rsid w:val="2CC636BC"/>
    <w:rsid w:val="2CCDF042"/>
    <w:rsid w:val="2CCEF632"/>
    <w:rsid w:val="2CD92DED"/>
    <w:rsid w:val="2CE1928C"/>
    <w:rsid w:val="2CEA4237"/>
    <w:rsid w:val="2CFA17FF"/>
    <w:rsid w:val="2CFF8815"/>
    <w:rsid w:val="2D023563"/>
    <w:rsid w:val="2D02C754"/>
    <w:rsid w:val="2D1EB9A0"/>
    <w:rsid w:val="2D20AB0A"/>
    <w:rsid w:val="2D227620"/>
    <w:rsid w:val="2D25DCC6"/>
    <w:rsid w:val="2D351853"/>
    <w:rsid w:val="2D381B46"/>
    <w:rsid w:val="2D4AB198"/>
    <w:rsid w:val="2D5B7491"/>
    <w:rsid w:val="2D60A86A"/>
    <w:rsid w:val="2D83275E"/>
    <w:rsid w:val="2D915881"/>
    <w:rsid w:val="2D973F6C"/>
    <w:rsid w:val="2DA6CDDA"/>
    <w:rsid w:val="2DA9E678"/>
    <w:rsid w:val="2DB97FE3"/>
    <w:rsid w:val="2DC67F16"/>
    <w:rsid w:val="2DCA521E"/>
    <w:rsid w:val="2DDB27A9"/>
    <w:rsid w:val="2DE56513"/>
    <w:rsid w:val="2DEB8BD8"/>
    <w:rsid w:val="2E0282AC"/>
    <w:rsid w:val="2E1138F1"/>
    <w:rsid w:val="2E12B064"/>
    <w:rsid w:val="2E17B376"/>
    <w:rsid w:val="2E1C9D09"/>
    <w:rsid w:val="2E1DA396"/>
    <w:rsid w:val="2E29F85C"/>
    <w:rsid w:val="2E344509"/>
    <w:rsid w:val="2E415DB3"/>
    <w:rsid w:val="2E561BC9"/>
    <w:rsid w:val="2E56C4F2"/>
    <w:rsid w:val="2E78DE8F"/>
    <w:rsid w:val="2E7AAEC9"/>
    <w:rsid w:val="2E80BDB6"/>
    <w:rsid w:val="2E8C8105"/>
    <w:rsid w:val="2E98237E"/>
    <w:rsid w:val="2EAB274D"/>
    <w:rsid w:val="2EBCF70C"/>
    <w:rsid w:val="2ECE0A7F"/>
    <w:rsid w:val="2ED31178"/>
    <w:rsid w:val="2EFC703A"/>
    <w:rsid w:val="2EFFCC02"/>
    <w:rsid w:val="2F10A04A"/>
    <w:rsid w:val="2F12DC80"/>
    <w:rsid w:val="2F2428BC"/>
    <w:rsid w:val="2F34DAF0"/>
    <w:rsid w:val="2F385200"/>
    <w:rsid w:val="2F3C11B3"/>
    <w:rsid w:val="2F3E176A"/>
    <w:rsid w:val="2F41A7A5"/>
    <w:rsid w:val="2F4B412D"/>
    <w:rsid w:val="2F62B9C5"/>
    <w:rsid w:val="2F641F4D"/>
    <w:rsid w:val="2F70A3FA"/>
    <w:rsid w:val="2F74AF7E"/>
    <w:rsid w:val="2F7D96E8"/>
    <w:rsid w:val="2F7E0AD7"/>
    <w:rsid w:val="2F7F9A7F"/>
    <w:rsid w:val="2F854E97"/>
    <w:rsid w:val="2F951E86"/>
    <w:rsid w:val="2FB0ED40"/>
    <w:rsid w:val="2FB27E01"/>
    <w:rsid w:val="2FBF14C3"/>
    <w:rsid w:val="2FEDE938"/>
    <w:rsid w:val="2FF5AD16"/>
    <w:rsid w:val="300C9E31"/>
    <w:rsid w:val="301BEEDB"/>
    <w:rsid w:val="303091F0"/>
    <w:rsid w:val="303192D1"/>
    <w:rsid w:val="3031A25C"/>
    <w:rsid w:val="30367655"/>
    <w:rsid w:val="3037E90E"/>
    <w:rsid w:val="3041A4CA"/>
    <w:rsid w:val="304C0912"/>
    <w:rsid w:val="3086C274"/>
    <w:rsid w:val="3093D250"/>
    <w:rsid w:val="309C45A3"/>
    <w:rsid w:val="309FE510"/>
    <w:rsid w:val="30A1F72A"/>
    <w:rsid w:val="30B26D60"/>
    <w:rsid w:val="30B52952"/>
    <w:rsid w:val="30BE33A1"/>
    <w:rsid w:val="30C9B6EE"/>
    <w:rsid w:val="30CC355D"/>
    <w:rsid w:val="30CC45BD"/>
    <w:rsid w:val="30DCB4FA"/>
    <w:rsid w:val="30ED060A"/>
    <w:rsid w:val="30EF7338"/>
    <w:rsid w:val="30F77DA1"/>
    <w:rsid w:val="31167418"/>
    <w:rsid w:val="311A857F"/>
    <w:rsid w:val="31319ED6"/>
    <w:rsid w:val="3135F463"/>
    <w:rsid w:val="313BFC57"/>
    <w:rsid w:val="314CB314"/>
    <w:rsid w:val="3151912C"/>
    <w:rsid w:val="3158F355"/>
    <w:rsid w:val="3187EF87"/>
    <w:rsid w:val="318C28E1"/>
    <w:rsid w:val="31ABB12C"/>
    <w:rsid w:val="31AFF327"/>
    <w:rsid w:val="31B0BFC7"/>
    <w:rsid w:val="31B285A2"/>
    <w:rsid w:val="31D2912D"/>
    <w:rsid w:val="31DF36F3"/>
    <w:rsid w:val="31E04D1C"/>
    <w:rsid w:val="31EF17CE"/>
    <w:rsid w:val="31F08C57"/>
    <w:rsid w:val="31F2ED45"/>
    <w:rsid w:val="31FA2C61"/>
    <w:rsid w:val="3213A518"/>
    <w:rsid w:val="32187F85"/>
    <w:rsid w:val="3221F7C0"/>
    <w:rsid w:val="32232FDB"/>
    <w:rsid w:val="324A2462"/>
    <w:rsid w:val="3250325E"/>
    <w:rsid w:val="32576CB4"/>
    <w:rsid w:val="32578053"/>
    <w:rsid w:val="325CC3DC"/>
    <w:rsid w:val="3260CB4A"/>
    <w:rsid w:val="326AC35F"/>
    <w:rsid w:val="3275EF4A"/>
    <w:rsid w:val="3280F620"/>
    <w:rsid w:val="328F7C4A"/>
    <w:rsid w:val="329C4025"/>
    <w:rsid w:val="32C42DA7"/>
    <w:rsid w:val="32C99FE5"/>
    <w:rsid w:val="32DD0767"/>
    <w:rsid w:val="32E925E5"/>
    <w:rsid w:val="32EF11A6"/>
    <w:rsid w:val="32F76806"/>
    <w:rsid w:val="32F8CFEC"/>
    <w:rsid w:val="3302A2AF"/>
    <w:rsid w:val="33094E14"/>
    <w:rsid w:val="3331EF6F"/>
    <w:rsid w:val="334642BD"/>
    <w:rsid w:val="335520BA"/>
    <w:rsid w:val="3381FB26"/>
    <w:rsid w:val="338D7097"/>
    <w:rsid w:val="33926D95"/>
    <w:rsid w:val="33B8990A"/>
    <w:rsid w:val="33D12B52"/>
    <w:rsid w:val="33DA6E28"/>
    <w:rsid w:val="33E42A53"/>
    <w:rsid w:val="33EC8539"/>
    <w:rsid w:val="33EFB5BA"/>
    <w:rsid w:val="33F26F52"/>
    <w:rsid w:val="33F83762"/>
    <w:rsid w:val="3402750A"/>
    <w:rsid w:val="341D65E0"/>
    <w:rsid w:val="341E26C6"/>
    <w:rsid w:val="341FD202"/>
    <w:rsid w:val="3423B61B"/>
    <w:rsid w:val="3423D7BF"/>
    <w:rsid w:val="3430F734"/>
    <w:rsid w:val="3431D2ED"/>
    <w:rsid w:val="343A72A9"/>
    <w:rsid w:val="34403553"/>
    <w:rsid w:val="344A8DCA"/>
    <w:rsid w:val="345BC683"/>
    <w:rsid w:val="345C9E54"/>
    <w:rsid w:val="345ED6C1"/>
    <w:rsid w:val="345F5931"/>
    <w:rsid w:val="34645608"/>
    <w:rsid w:val="34657F30"/>
    <w:rsid w:val="3468F9D6"/>
    <w:rsid w:val="347C7351"/>
    <w:rsid w:val="34800867"/>
    <w:rsid w:val="349D5B5C"/>
    <w:rsid w:val="34B1587A"/>
    <w:rsid w:val="34B9C6E4"/>
    <w:rsid w:val="34D1F5C4"/>
    <w:rsid w:val="34E4DD9C"/>
    <w:rsid w:val="34F39739"/>
    <w:rsid w:val="3508973A"/>
    <w:rsid w:val="35285F83"/>
    <w:rsid w:val="353A9EA3"/>
    <w:rsid w:val="353C70E3"/>
    <w:rsid w:val="355BDDA0"/>
    <w:rsid w:val="3562650C"/>
    <w:rsid w:val="3580E1C6"/>
    <w:rsid w:val="35823C0A"/>
    <w:rsid w:val="358DBEB9"/>
    <w:rsid w:val="358EA0E7"/>
    <w:rsid w:val="35A2A2A1"/>
    <w:rsid w:val="35B77AD8"/>
    <w:rsid w:val="35C45BA1"/>
    <w:rsid w:val="35D58ADA"/>
    <w:rsid w:val="35D87AEE"/>
    <w:rsid w:val="35E02C84"/>
    <w:rsid w:val="35E042B2"/>
    <w:rsid w:val="35E87C1B"/>
    <w:rsid w:val="35F02322"/>
    <w:rsid w:val="35F2FF22"/>
    <w:rsid w:val="35FAB213"/>
    <w:rsid w:val="35FC11B7"/>
    <w:rsid w:val="360B9B4F"/>
    <w:rsid w:val="3615D927"/>
    <w:rsid w:val="36195F71"/>
    <w:rsid w:val="3622A21F"/>
    <w:rsid w:val="362F85A6"/>
    <w:rsid w:val="363EA319"/>
    <w:rsid w:val="363FC760"/>
    <w:rsid w:val="3642A3D3"/>
    <w:rsid w:val="36546F04"/>
    <w:rsid w:val="365B74B0"/>
    <w:rsid w:val="3662F065"/>
    <w:rsid w:val="3674DF1E"/>
    <w:rsid w:val="3681C620"/>
    <w:rsid w:val="368BCC75"/>
    <w:rsid w:val="369B87DA"/>
    <w:rsid w:val="369E92E2"/>
    <w:rsid w:val="36AE622F"/>
    <w:rsid w:val="36B59775"/>
    <w:rsid w:val="36CB2274"/>
    <w:rsid w:val="36CC2E46"/>
    <w:rsid w:val="36D6B077"/>
    <w:rsid w:val="36D9C229"/>
    <w:rsid w:val="36DEFAAE"/>
    <w:rsid w:val="36E3F2AC"/>
    <w:rsid w:val="36F4461D"/>
    <w:rsid w:val="36F9E86F"/>
    <w:rsid w:val="370ECFF4"/>
    <w:rsid w:val="3712EA12"/>
    <w:rsid w:val="37208D9A"/>
    <w:rsid w:val="372A3149"/>
    <w:rsid w:val="373605AE"/>
    <w:rsid w:val="373D8ED9"/>
    <w:rsid w:val="37497430"/>
    <w:rsid w:val="374F80AF"/>
    <w:rsid w:val="3757642D"/>
    <w:rsid w:val="3778A8E9"/>
    <w:rsid w:val="37BC89A9"/>
    <w:rsid w:val="37BEC02E"/>
    <w:rsid w:val="37BF3364"/>
    <w:rsid w:val="37D17F24"/>
    <w:rsid w:val="37D94D2F"/>
    <w:rsid w:val="37DB8487"/>
    <w:rsid w:val="38071DB1"/>
    <w:rsid w:val="3811B9AF"/>
    <w:rsid w:val="38195047"/>
    <w:rsid w:val="381974BD"/>
    <w:rsid w:val="38227421"/>
    <w:rsid w:val="3823DC50"/>
    <w:rsid w:val="3824A912"/>
    <w:rsid w:val="386E6FE5"/>
    <w:rsid w:val="38734C97"/>
    <w:rsid w:val="38758FA0"/>
    <w:rsid w:val="387943B3"/>
    <w:rsid w:val="38827CA8"/>
    <w:rsid w:val="3888E395"/>
    <w:rsid w:val="388F7A13"/>
    <w:rsid w:val="389DB4F2"/>
    <w:rsid w:val="38ACE29B"/>
    <w:rsid w:val="38B2D8A7"/>
    <w:rsid w:val="38C08E1C"/>
    <w:rsid w:val="38C5CA38"/>
    <w:rsid w:val="38C5F703"/>
    <w:rsid w:val="38CD5109"/>
    <w:rsid w:val="38D1EE0C"/>
    <w:rsid w:val="38D3D202"/>
    <w:rsid w:val="38E55BC0"/>
    <w:rsid w:val="38E67E87"/>
    <w:rsid w:val="38EDCC23"/>
    <w:rsid w:val="38F2820D"/>
    <w:rsid w:val="38F2A443"/>
    <w:rsid w:val="38F90FA3"/>
    <w:rsid w:val="391B418C"/>
    <w:rsid w:val="391D854E"/>
    <w:rsid w:val="392EDED2"/>
    <w:rsid w:val="39349E5A"/>
    <w:rsid w:val="3937688C"/>
    <w:rsid w:val="394D6A47"/>
    <w:rsid w:val="39519C72"/>
    <w:rsid w:val="39544E04"/>
    <w:rsid w:val="39617210"/>
    <w:rsid w:val="396703DD"/>
    <w:rsid w:val="3970B1FB"/>
    <w:rsid w:val="39718F40"/>
    <w:rsid w:val="397E8DA2"/>
    <w:rsid w:val="398064C6"/>
    <w:rsid w:val="39974635"/>
    <w:rsid w:val="399890D7"/>
    <w:rsid w:val="39A94720"/>
    <w:rsid w:val="39AFB0E1"/>
    <w:rsid w:val="39B49EDA"/>
    <w:rsid w:val="39BC3675"/>
    <w:rsid w:val="39C1FC87"/>
    <w:rsid w:val="39C9B3C8"/>
    <w:rsid w:val="39DCF57D"/>
    <w:rsid w:val="39E84FF4"/>
    <w:rsid w:val="3A05F942"/>
    <w:rsid w:val="3A080DF9"/>
    <w:rsid w:val="3A08F94C"/>
    <w:rsid w:val="3A1EB463"/>
    <w:rsid w:val="3A269EB5"/>
    <w:rsid w:val="3A2F2264"/>
    <w:rsid w:val="3A340340"/>
    <w:rsid w:val="3A39A088"/>
    <w:rsid w:val="3A39B23C"/>
    <w:rsid w:val="3A45BD3C"/>
    <w:rsid w:val="3A513A3F"/>
    <w:rsid w:val="3A601418"/>
    <w:rsid w:val="3A6D1474"/>
    <w:rsid w:val="3A73DC51"/>
    <w:rsid w:val="3A8803DD"/>
    <w:rsid w:val="3A8BDBCB"/>
    <w:rsid w:val="3A8E2B51"/>
    <w:rsid w:val="3AA3D2F8"/>
    <w:rsid w:val="3AA8F5E8"/>
    <w:rsid w:val="3AB200AC"/>
    <w:rsid w:val="3AC75FB6"/>
    <w:rsid w:val="3AC94788"/>
    <w:rsid w:val="3ACB101B"/>
    <w:rsid w:val="3AD5F8F5"/>
    <w:rsid w:val="3B012F74"/>
    <w:rsid w:val="3B0C7D91"/>
    <w:rsid w:val="3B165B9E"/>
    <w:rsid w:val="3B1D4B7F"/>
    <w:rsid w:val="3B3FC529"/>
    <w:rsid w:val="3B555256"/>
    <w:rsid w:val="3B67550C"/>
    <w:rsid w:val="3B7374EA"/>
    <w:rsid w:val="3B8A96F1"/>
    <w:rsid w:val="3B97B62D"/>
    <w:rsid w:val="3BA9EB29"/>
    <w:rsid w:val="3BAA8241"/>
    <w:rsid w:val="3BB05647"/>
    <w:rsid w:val="3BC4752E"/>
    <w:rsid w:val="3BCCCD02"/>
    <w:rsid w:val="3BCE2DB2"/>
    <w:rsid w:val="3BE93001"/>
    <w:rsid w:val="3BEC2603"/>
    <w:rsid w:val="3BFB6692"/>
    <w:rsid w:val="3BFCABF0"/>
    <w:rsid w:val="3C01EE5A"/>
    <w:rsid w:val="3C150C05"/>
    <w:rsid w:val="3C22E1D2"/>
    <w:rsid w:val="3C25B4B6"/>
    <w:rsid w:val="3C2A83CB"/>
    <w:rsid w:val="3C2B072C"/>
    <w:rsid w:val="3C31884F"/>
    <w:rsid w:val="3C41E59E"/>
    <w:rsid w:val="3C4AD5CD"/>
    <w:rsid w:val="3C4B3DAA"/>
    <w:rsid w:val="3C4DE808"/>
    <w:rsid w:val="3C61BADF"/>
    <w:rsid w:val="3C821902"/>
    <w:rsid w:val="3CBF412F"/>
    <w:rsid w:val="3CC29E5A"/>
    <w:rsid w:val="3CCE1791"/>
    <w:rsid w:val="3CD2B89A"/>
    <w:rsid w:val="3CF143B8"/>
    <w:rsid w:val="3D0152CC"/>
    <w:rsid w:val="3D076DE9"/>
    <w:rsid w:val="3D0BE3CD"/>
    <w:rsid w:val="3D0E7F64"/>
    <w:rsid w:val="3D104D30"/>
    <w:rsid w:val="3D2ED505"/>
    <w:rsid w:val="3D3DF828"/>
    <w:rsid w:val="3D4D94C0"/>
    <w:rsid w:val="3D5B246E"/>
    <w:rsid w:val="3D652314"/>
    <w:rsid w:val="3D662DF0"/>
    <w:rsid w:val="3D668B1C"/>
    <w:rsid w:val="3D7111CF"/>
    <w:rsid w:val="3D75ECF1"/>
    <w:rsid w:val="3D7F0EE3"/>
    <w:rsid w:val="3D826DDC"/>
    <w:rsid w:val="3D82E2F7"/>
    <w:rsid w:val="3D84F233"/>
    <w:rsid w:val="3D9525F4"/>
    <w:rsid w:val="3D9A752C"/>
    <w:rsid w:val="3DA22F08"/>
    <w:rsid w:val="3DA4AA11"/>
    <w:rsid w:val="3DB0CFDF"/>
    <w:rsid w:val="3DBB485E"/>
    <w:rsid w:val="3DCB8F49"/>
    <w:rsid w:val="3DE3FC05"/>
    <w:rsid w:val="3DF71082"/>
    <w:rsid w:val="3DFD26E4"/>
    <w:rsid w:val="3DFE96E6"/>
    <w:rsid w:val="3DFFA7BD"/>
    <w:rsid w:val="3E0163F2"/>
    <w:rsid w:val="3E17221E"/>
    <w:rsid w:val="3E28BDDA"/>
    <w:rsid w:val="3E409E61"/>
    <w:rsid w:val="3E45A8FF"/>
    <w:rsid w:val="3E4BBA37"/>
    <w:rsid w:val="3E57F9AC"/>
    <w:rsid w:val="3E5A3FB9"/>
    <w:rsid w:val="3E5AC9AB"/>
    <w:rsid w:val="3E64041A"/>
    <w:rsid w:val="3E6ECEE4"/>
    <w:rsid w:val="3E809EBB"/>
    <w:rsid w:val="3E8B6AB3"/>
    <w:rsid w:val="3E97BB34"/>
    <w:rsid w:val="3E9E2213"/>
    <w:rsid w:val="3EA162DC"/>
    <w:rsid w:val="3EA4EFA6"/>
    <w:rsid w:val="3EB62D1B"/>
    <w:rsid w:val="3ED5711B"/>
    <w:rsid w:val="3EDBA285"/>
    <w:rsid w:val="3EDC418A"/>
    <w:rsid w:val="3EDF13ED"/>
    <w:rsid w:val="3EE1DEE0"/>
    <w:rsid w:val="3EE4C47C"/>
    <w:rsid w:val="3F22A97F"/>
    <w:rsid w:val="3F2AA666"/>
    <w:rsid w:val="3F2E8633"/>
    <w:rsid w:val="3F378F95"/>
    <w:rsid w:val="3F3E832F"/>
    <w:rsid w:val="3F465570"/>
    <w:rsid w:val="3F6CC75B"/>
    <w:rsid w:val="3F7067F4"/>
    <w:rsid w:val="3F727D1C"/>
    <w:rsid w:val="3F7799F0"/>
    <w:rsid w:val="3F87720A"/>
    <w:rsid w:val="3FA24588"/>
    <w:rsid w:val="3FAEC054"/>
    <w:rsid w:val="3FB8BA2A"/>
    <w:rsid w:val="3FC586AF"/>
    <w:rsid w:val="3FE36BF6"/>
    <w:rsid w:val="3FE7763E"/>
    <w:rsid w:val="3FF26A96"/>
    <w:rsid w:val="3FFF63E0"/>
    <w:rsid w:val="40065242"/>
    <w:rsid w:val="400DDB6C"/>
    <w:rsid w:val="401397A4"/>
    <w:rsid w:val="401EFC26"/>
    <w:rsid w:val="4022828F"/>
    <w:rsid w:val="40283FC2"/>
    <w:rsid w:val="40390316"/>
    <w:rsid w:val="40415B16"/>
    <w:rsid w:val="4042A3F7"/>
    <w:rsid w:val="40482E85"/>
    <w:rsid w:val="405AAFFE"/>
    <w:rsid w:val="40743413"/>
    <w:rsid w:val="407882B3"/>
    <w:rsid w:val="407E925E"/>
    <w:rsid w:val="4089D6E3"/>
    <w:rsid w:val="40988151"/>
    <w:rsid w:val="409E5653"/>
    <w:rsid w:val="40AD506E"/>
    <w:rsid w:val="40ADCE10"/>
    <w:rsid w:val="40B1127C"/>
    <w:rsid w:val="40B41FB2"/>
    <w:rsid w:val="40B62440"/>
    <w:rsid w:val="40B999F9"/>
    <w:rsid w:val="40C49049"/>
    <w:rsid w:val="40E23789"/>
    <w:rsid w:val="40F89A8D"/>
    <w:rsid w:val="41029F63"/>
    <w:rsid w:val="41098DD3"/>
    <w:rsid w:val="410CE694"/>
    <w:rsid w:val="410FEAC5"/>
    <w:rsid w:val="41216BAC"/>
    <w:rsid w:val="41293010"/>
    <w:rsid w:val="412CF7D7"/>
    <w:rsid w:val="4132252D"/>
    <w:rsid w:val="413427C0"/>
    <w:rsid w:val="4139E98D"/>
    <w:rsid w:val="413F20CB"/>
    <w:rsid w:val="41415EA1"/>
    <w:rsid w:val="414CFB56"/>
    <w:rsid w:val="415705C3"/>
    <w:rsid w:val="415B2FCA"/>
    <w:rsid w:val="416275C9"/>
    <w:rsid w:val="417EFC58"/>
    <w:rsid w:val="4182C7A2"/>
    <w:rsid w:val="41921624"/>
    <w:rsid w:val="41B18C51"/>
    <w:rsid w:val="41B5888B"/>
    <w:rsid w:val="41B92F80"/>
    <w:rsid w:val="41CC6F08"/>
    <w:rsid w:val="41CFCFA4"/>
    <w:rsid w:val="41D2664C"/>
    <w:rsid w:val="41D63B2F"/>
    <w:rsid w:val="41DCC3CA"/>
    <w:rsid w:val="41DEA8E4"/>
    <w:rsid w:val="41FB1247"/>
    <w:rsid w:val="41FFEED7"/>
    <w:rsid w:val="420E9679"/>
    <w:rsid w:val="42183F71"/>
    <w:rsid w:val="421A7848"/>
    <w:rsid w:val="4237FEFC"/>
    <w:rsid w:val="4242C54A"/>
    <w:rsid w:val="4254F07A"/>
    <w:rsid w:val="4272591E"/>
    <w:rsid w:val="42758A32"/>
    <w:rsid w:val="428249DD"/>
    <w:rsid w:val="42891E4A"/>
    <w:rsid w:val="428DC6E5"/>
    <w:rsid w:val="428EA44F"/>
    <w:rsid w:val="42AAD974"/>
    <w:rsid w:val="42BF18E1"/>
    <w:rsid w:val="42BFCD71"/>
    <w:rsid w:val="42C36B0E"/>
    <w:rsid w:val="42CB1541"/>
    <w:rsid w:val="42D6A5C0"/>
    <w:rsid w:val="42E21222"/>
    <w:rsid w:val="42F29A53"/>
    <w:rsid w:val="42FD9C88"/>
    <w:rsid w:val="4303288F"/>
    <w:rsid w:val="431363A0"/>
    <w:rsid w:val="431B04C0"/>
    <w:rsid w:val="432F683A"/>
    <w:rsid w:val="4333FD82"/>
    <w:rsid w:val="43552B9D"/>
    <w:rsid w:val="4358EE56"/>
    <w:rsid w:val="4373976D"/>
    <w:rsid w:val="438704F3"/>
    <w:rsid w:val="438AC01F"/>
    <w:rsid w:val="4397C0BD"/>
    <w:rsid w:val="439C9D39"/>
    <w:rsid w:val="43A12072"/>
    <w:rsid w:val="43A2FB72"/>
    <w:rsid w:val="43A5E3E1"/>
    <w:rsid w:val="43BA2208"/>
    <w:rsid w:val="43C8B0E1"/>
    <w:rsid w:val="43CAA718"/>
    <w:rsid w:val="43D84068"/>
    <w:rsid w:val="43DF3BC4"/>
    <w:rsid w:val="43E1C5C3"/>
    <w:rsid w:val="43EB27FC"/>
    <w:rsid w:val="43F823EB"/>
    <w:rsid w:val="43FD5EC5"/>
    <w:rsid w:val="44124D9B"/>
    <w:rsid w:val="44193DCD"/>
    <w:rsid w:val="441F3E89"/>
    <w:rsid w:val="4436D508"/>
    <w:rsid w:val="44377917"/>
    <w:rsid w:val="444271BD"/>
    <w:rsid w:val="444BF39F"/>
    <w:rsid w:val="445DA68D"/>
    <w:rsid w:val="446E7C5D"/>
    <w:rsid w:val="447B7383"/>
    <w:rsid w:val="4484F2A3"/>
    <w:rsid w:val="4490CF36"/>
    <w:rsid w:val="449DAC47"/>
    <w:rsid w:val="44B053AB"/>
    <w:rsid w:val="44BFB840"/>
    <w:rsid w:val="44C3B437"/>
    <w:rsid w:val="44C3F1A2"/>
    <w:rsid w:val="44E75675"/>
    <w:rsid w:val="44E80A57"/>
    <w:rsid w:val="44F20DB2"/>
    <w:rsid w:val="45063AFC"/>
    <w:rsid w:val="450E9CD4"/>
    <w:rsid w:val="452086E7"/>
    <w:rsid w:val="452FDA81"/>
    <w:rsid w:val="453B1B2F"/>
    <w:rsid w:val="453E63C4"/>
    <w:rsid w:val="45402D2E"/>
    <w:rsid w:val="454077AE"/>
    <w:rsid w:val="45552367"/>
    <w:rsid w:val="455FFBC8"/>
    <w:rsid w:val="456BEA7D"/>
    <w:rsid w:val="456EB941"/>
    <w:rsid w:val="45702DD7"/>
    <w:rsid w:val="457FD6A6"/>
    <w:rsid w:val="4583F9EA"/>
    <w:rsid w:val="45951AD6"/>
    <w:rsid w:val="45965A40"/>
    <w:rsid w:val="45A6EF65"/>
    <w:rsid w:val="45A8DA7D"/>
    <w:rsid w:val="45B0EEC8"/>
    <w:rsid w:val="45CAB84D"/>
    <w:rsid w:val="45D885A7"/>
    <w:rsid w:val="45DA017A"/>
    <w:rsid w:val="45DFA77D"/>
    <w:rsid w:val="45E7F78D"/>
    <w:rsid w:val="45FCFC4F"/>
    <w:rsid w:val="45FE6907"/>
    <w:rsid w:val="4603242D"/>
    <w:rsid w:val="460D6A98"/>
    <w:rsid w:val="46115B4F"/>
    <w:rsid w:val="462BC686"/>
    <w:rsid w:val="462EBBB1"/>
    <w:rsid w:val="4638E34E"/>
    <w:rsid w:val="4648F18B"/>
    <w:rsid w:val="464B3986"/>
    <w:rsid w:val="4655999A"/>
    <w:rsid w:val="4672D4D4"/>
    <w:rsid w:val="4682A7BA"/>
    <w:rsid w:val="469052BD"/>
    <w:rsid w:val="46976223"/>
    <w:rsid w:val="469B244D"/>
    <w:rsid w:val="469EF70A"/>
    <w:rsid w:val="46A27A17"/>
    <w:rsid w:val="46A6A51E"/>
    <w:rsid w:val="46A97DE6"/>
    <w:rsid w:val="46C08987"/>
    <w:rsid w:val="46C7E32F"/>
    <w:rsid w:val="46CDA7DE"/>
    <w:rsid w:val="46E09A17"/>
    <w:rsid w:val="46FB93A0"/>
    <w:rsid w:val="470EF177"/>
    <w:rsid w:val="471A2341"/>
    <w:rsid w:val="47333BAF"/>
    <w:rsid w:val="4766C5CA"/>
    <w:rsid w:val="478F28CF"/>
    <w:rsid w:val="479A5BBF"/>
    <w:rsid w:val="479BF900"/>
    <w:rsid w:val="479DFD16"/>
    <w:rsid w:val="47AAC544"/>
    <w:rsid w:val="47B9C98F"/>
    <w:rsid w:val="47BAE5BD"/>
    <w:rsid w:val="47C4003F"/>
    <w:rsid w:val="47F5B51F"/>
    <w:rsid w:val="480E1957"/>
    <w:rsid w:val="48139762"/>
    <w:rsid w:val="481CC903"/>
    <w:rsid w:val="4824CA0F"/>
    <w:rsid w:val="482B5D8F"/>
    <w:rsid w:val="482CA517"/>
    <w:rsid w:val="482E49B9"/>
    <w:rsid w:val="4833F76B"/>
    <w:rsid w:val="484D5C05"/>
    <w:rsid w:val="48510D9C"/>
    <w:rsid w:val="4869774F"/>
    <w:rsid w:val="486FD8B8"/>
    <w:rsid w:val="4882B544"/>
    <w:rsid w:val="4898BF65"/>
    <w:rsid w:val="48A45E56"/>
    <w:rsid w:val="48D15226"/>
    <w:rsid w:val="48D9B12F"/>
    <w:rsid w:val="48E578BA"/>
    <w:rsid w:val="48EA7BC6"/>
    <w:rsid w:val="48F28071"/>
    <w:rsid w:val="48F9561C"/>
    <w:rsid w:val="48FDDE38"/>
    <w:rsid w:val="4908D685"/>
    <w:rsid w:val="49223730"/>
    <w:rsid w:val="492BEC8F"/>
    <w:rsid w:val="492FEFB0"/>
    <w:rsid w:val="4935BC9A"/>
    <w:rsid w:val="493E1FBB"/>
    <w:rsid w:val="4969C4F5"/>
    <w:rsid w:val="49767F6D"/>
    <w:rsid w:val="49A4DC1B"/>
    <w:rsid w:val="49AE1F6B"/>
    <w:rsid w:val="49B5BFF1"/>
    <w:rsid w:val="49C15C02"/>
    <w:rsid w:val="49C412BA"/>
    <w:rsid w:val="49C4DE9F"/>
    <w:rsid w:val="49D74A00"/>
    <w:rsid w:val="49DF3A73"/>
    <w:rsid w:val="49DFE283"/>
    <w:rsid w:val="49E81CEF"/>
    <w:rsid w:val="49E936A8"/>
    <w:rsid w:val="49F6FC1A"/>
    <w:rsid w:val="4A02423D"/>
    <w:rsid w:val="4A11A934"/>
    <w:rsid w:val="4A300E40"/>
    <w:rsid w:val="4A3200DD"/>
    <w:rsid w:val="4A384024"/>
    <w:rsid w:val="4A45F01D"/>
    <w:rsid w:val="4A4C0BED"/>
    <w:rsid w:val="4A562592"/>
    <w:rsid w:val="4A6666D5"/>
    <w:rsid w:val="4A7BF950"/>
    <w:rsid w:val="4A9558E2"/>
    <w:rsid w:val="4A96FA90"/>
    <w:rsid w:val="4AA8B6C4"/>
    <w:rsid w:val="4AA99E7F"/>
    <w:rsid w:val="4AB19BC7"/>
    <w:rsid w:val="4AE5BC81"/>
    <w:rsid w:val="4B1A7C5D"/>
    <w:rsid w:val="4B65A766"/>
    <w:rsid w:val="4B81A8BE"/>
    <w:rsid w:val="4B8B6489"/>
    <w:rsid w:val="4B8BAE1B"/>
    <w:rsid w:val="4BADC2CF"/>
    <w:rsid w:val="4BB4B3F9"/>
    <w:rsid w:val="4BD76215"/>
    <w:rsid w:val="4BDE2DB3"/>
    <w:rsid w:val="4BE4D4D8"/>
    <w:rsid w:val="4C08AF2C"/>
    <w:rsid w:val="4C08B394"/>
    <w:rsid w:val="4C0A07E8"/>
    <w:rsid w:val="4C2259E7"/>
    <w:rsid w:val="4C41DC68"/>
    <w:rsid w:val="4C6D9D3C"/>
    <w:rsid w:val="4C78528D"/>
    <w:rsid w:val="4C84F673"/>
    <w:rsid w:val="4C9D1084"/>
    <w:rsid w:val="4CA7D469"/>
    <w:rsid w:val="4CAA3F46"/>
    <w:rsid w:val="4CAFD32A"/>
    <w:rsid w:val="4CCA3485"/>
    <w:rsid w:val="4CCB0B31"/>
    <w:rsid w:val="4CE0BC5C"/>
    <w:rsid w:val="4CECAF7F"/>
    <w:rsid w:val="4CFA2026"/>
    <w:rsid w:val="4D07B241"/>
    <w:rsid w:val="4D0F129A"/>
    <w:rsid w:val="4D17E05C"/>
    <w:rsid w:val="4D2E06ED"/>
    <w:rsid w:val="4D5851B0"/>
    <w:rsid w:val="4D5E5CE4"/>
    <w:rsid w:val="4D670C11"/>
    <w:rsid w:val="4D714FC0"/>
    <w:rsid w:val="4D84A168"/>
    <w:rsid w:val="4D8D39CB"/>
    <w:rsid w:val="4D8E2B72"/>
    <w:rsid w:val="4DB27437"/>
    <w:rsid w:val="4DCAA90B"/>
    <w:rsid w:val="4DCD2EF0"/>
    <w:rsid w:val="4DCD770A"/>
    <w:rsid w:val="4DE03B17"/>
    <w:rsid w:val="4DE4093B"/>
    <w:rsid w:val="4DE9E721"/>
    <w:rsid w:val="4DF2CE40"/>
    <w:rsid w:val="4E0A583E"/>
    <w:rsid w:val="4E0AD03B"/>
    <w:rsid w:val="4E0FA32F"/>
    <w:rsid w:val="4E128A5C"/>
    <w:rsid w:val="4E12E130"/>
    <w:rsid w:val="4E524E3E"/>
    <w:rsid w:val="4E5748B8"/>
    <w:rsid w:val="4E67ABC8"/>
    <w:rsid w:val="4E6B787F"/>
    <w:rsid w:val="4E73D459"/>
    <w:rsid w:val="4E869330"/>
    <w:rsid w:val="4E88BB27"/>
    <w:rsid w:val="4E8D83D8"/>
    <w:rsid w:val="4E9D3FB3"/>
    <w:rsid w:val="4EA7FE56"/>
    <w:rsid w:val="4EC5869B"/>
    <w:rsid w:val="4ECF8E87"/>
    <w:rsid w:val="4ED0ABFE"/>
    <w:rsid w:val="4ED3015C"/>
    <w:rsid w:val="4EEB3D4B"/>
    <w:rsid w:val="4EF276B6"/>
    <w:rsid w:val="4EFF9C4A"/>
    <w:rsid w:val="4F055EFD"/>
    <w:rsid w:val="4F0AFBC7"/>
    <w:rsid w:val="4F183AB1"/>
    <w:rsid w:val="4F397423"/>
    <w:rsid w:val="4F3A698D"/>
    <w:rsid w:val="4F47C2D7"/>
    <w:rsid w:val="4F4FFC3D"/>
    <w:rsid w:val="4F5BDC4F"/>
    <w:rsid w:val="4F6C53DE"/>
    <w:rsid w:val="4F6DA8E8"/>
    <w:rsid w:val="4F7C91DA"/>
    <w:rsid w:val="4F7E230C"/>
    <w:rsid w:val="4F9411AA"/>
    <w:rsid w:val="4F9EC172"/>
    <w:rsid w:val="4F9F7DEA"/>
    <w:rsid w:val="4FAA7CE7"/>
    <w:rsid w:val="4FAE8D26"/>
    <w:rsid w:val="4FB6E263"/>
    <w:rsid w:val="4FC42256"/>
    <w:rsid w:val="4FD70223"/>
    <w:rsid w:val="4FDF8936"/>
    <w:rsid w:val="4FE80F3A"/>
    <w:rsid w:val="4FEC5718"/>
    <w:rsid w:val="5001CE2B"/>
    <w:rsid w:val="5004135A"/>
    <w:rsid w:val="50065419"/>
    <w:rsid w:val="50358517"/>
    <w:rsid w:val="503A7F5E"/>
    <w:rsid w:val="5052A8DC"/>
    <w:rsid w:val="5062018F"/>
    <w:rsid w:val="5064AF10"/>
    <w:rsid w:val="5088D39C"/>
    <w:rsid w:val="509A3B30"/>
    <w:rsid w:val="50A6318B"/>
    <w:rsid w:val="50BBB833"/>
    <w:rsid w:val="50C960F6"/>
    <w:rsid w:val="50CC1E7B"/>
    <w:rsid w:val="50DCD97D"/>
    <w:rsid w:val="50EE87AE"/>
    <w:rsid w:val="50F0E64E"/>
    <w:rsid w:val="50F1DBC0"/>
    <w:rsid w:val="50FA72FF"/>
    <w:rsid w:val="510BEAFC"/>
    <w:rsid w:val="51119B0A"/>
    <w:rsid w:val="512017D2"/>
    <w:rsid w:val="512AEA72"/>
    <w:rsid w:val="51313CC0"/>
    <w:rsid w:val="5140BA25"/>
    <w:rsid w:val="51417C8D"/>
    <w:rsid w:val="5154759D"/>
    <w:rsid w:val="51556346"/>
    <w:rsid w:val="515E75C9"/>
    <w:rsid w:val="516FBB9A"/>
    <w:rsid w:val="517A53BB"/>
    <w:rsid w:val="5188894F"/>
    <w:rsid w:val="5190A120"/>
    <w:rsid w:val="51951704"/>
    <w:rsid w:val="51ABCF0A"/>
    <w:rsid w:val="51B3724E"/>
    <w:rsid w:val="51B69F59"/>
    <w:rsid w:val="51CAA075"/>
    <w:rsid w:val="51D1DA91"/>
    <w:rsid w:val="51D29815"/>
    <w:rsid w:val="51D53F02"/>
    <w:rsid w:val="51FB88D2"/>
    <w:rsid w:val="5202F2AF"/>
    <w:rsid w:val="521F878D"/>
    <w:rsid w:val="52228875"/>
    <w:rsid w:val="52293269"/>
    <w:rsid w:val="525CA36C"/>
    <w:rsid w:val="5262D5E6"/>
    <w:rsid w:val="526FC0C7"/>
    <w:rsid w:val="527A954F"/>
    <w:rsid w:val="52810FFC"/>
    <w:rsid w:val="528C4BD2"/>
    <w:rsid w:val="528FAE43"/>
    <w:rsid w:val="5294C867"/>
    <w:rsid w:val="5295DD13"/>
    <w:rsid w:val="5299BE46"/>
    <w:rsid w:val="52A1EFC5"/>
    <w:rsid w:val="52AE1ED6"/>
    <w:rsid w:val="52B84FA3"/>
    <w:rsid w:val="52B8F1CB"/>
    <w:rsid w:val="52C2A818"/>
    <w:rsid w:val="52CC1FA7"/>
    <w:rsid w:val="52EF83C7"/>
    <w:rsid w:val="52F7F1E7"/>
    <w:rsid w:val="531464A5"/>
    <w:rsid w:val="532170CF"/>
    <w:rsid w:val="533471A2"/>
    <w:rsid w:val="533F80E7"/>
    <w:rsid w:val="534EC4F6"/>
    <w:rsid w:val="53520199"/>
    <w:rsid w:val="53556C57"/>
    <w:rsid w:val="53577A8F"/>
    <w:rsid w:val="5365998F"/>
    <w:rsid w:val="537A8FA8"/>
    <w:rsid w:val="537FBB02"/>
    <w:rsid w:val="5385F440"/>
    <w:rsid w:val="53870F7C"/>
    <w:rsid w:val="53A91277"/>
    <w:rsid w:val="53C7C5E9"/>
    <w:rsid w:val="53D4BA3A"/>
    <w:rsid w:val="53D5AD56"/>
    <w:rsid w:val="53DA4CD4"/>
    <w:rsid w:val="53EB5B2A"/>
    <w:rsid w:val="5419D3DD"/>
    <w:rsid w:val="54254228"/>
    <w:rsid w:val="542CD39D"/>
    <w:rsid w:val="543B443A"/>
    <w:rsid w:val="5455E541"/>
    <w:rsid w:val="5459250C"/>
    <w:rsid w:val="545F2EE0"/>
    <w:rsid w:val="546D86E8"/>
    <w:rsid w:val="547A7531"/>
    <w:rsid w:val="548C9A31"/>
    <w:rsid w:val="549BD10E"/>
    <w:rsid w:val="549FC557"/>
    <w:rsid w:val="54B82887"/>
    <w:rsid w:val="54BE4266"/>
    <w:rsid w:val="54BF2899"/>
    <w:rsid w:val="54D4838A"/>
    <w:rsid w:val="54E08FBF"/>
    <w:rsid w:val="54E466F2"/>
    <w:rsid w:val="54EA46F2"/>
    <w:rsid w:val="54EEC4AC"/>
    <w:rsid w:val="5500FBC5"/>
    <w:rsid w:val="5509F574"/>
    <w:rsid w:val="5512F1F7"/>
    <w:rsid w:val="55161EB7"/>
    <w:rsid w:val="554FA7EF"/>
    <w:rsid w:val="555604E6"/>
    <w:rsid w:val="5559FF1D"/>
    <w:rsid w:val="5567F4BA"/>
    <w:rsid w:val="55768D90"/>
    <w:rsid w:val="55841CDB"/>
    <w:rsid w:val="558587B5"/>
    <w:rsid w:val="558EE629"/>
    <w:rsid w:val="55AB8D9D"/>
    <w:rsid w:val="55AE2D50"/>
    <w:rsid w:val="55C0B60F"/>
    <w:rsid w:val="55C0C9D4"/>
    <w:rsid w:val="55DDD793"/>
    <w:rsid w:val="55E36118"/>
    <w:rsid w:val="55EC17B1"/>
    <w:rsid w:val="55F769CE"/>
    <w:rsid w:val="55F91E12"/>
    <w:rsid w:val="55FA5056"/>
    <w:rsid w:val="55FB1A25"/>
    <w:rsid w:val="56055F46"/>
    <w:rsid w:val="5623DF13"/>
    <w:rsid w:val="563AB5C1"/>
    <w:rsid w:val="56454CB9"/>
    <w:rsid w:val="5648B111"/>
    <w:rsid w:val="565F39F9"/>
    <w:rsid w:val="5671C788"/>
    <w:rsid w:val="5672A4EF"/>
    <w:rsid w:val="568B7565"/>
    <w:rsid w:val="56C45A67"/>
    <w:rsid w:val="56EB340D"/>
    <w:rsid w:val="56EB5FEA"/>
    <w:rsid w:val="56F26599"/>
    <w:rsid w:val="56FED0C9"/>
    <w:rsid w:val="571C6222"/>
    <w:rsid w:val="57309352"/>
    <w:rsid w:val="57381EB8"/>
    <w:rsid w:val="573FFB5F"/>
    <w:rsid w:val="5752671F"/>
    <w:rsid w:val="5773AF0C"/>
    <w:rsid w:val="5774D7EF"/>
    <w:rsid w:val="57864238"/>
    <w:rsid w:val="578B853B"/>
    <w:rsid w:val="578BFA3A"/>
    <w:rsid w:val="57ADA469"/>
    <w:rsid w:val="57B81274"/>
    <w:rsid w:val="57BD8B19"/>
    <w:rsid w:val="57C002EA"/>
    <w:rsid w:val="57CCEDF4"/>
    <w:rsid w:val="57CE48F7"/>
    <w:rsid w:val="57D1BBB4"/>
    <w:rsid w:val="57D63803"/>
    <w:rsid w:val="57D8110C"/>
    <w:rsid w:val="57EA513E"/>
    <w:rsid w:val="57F43C4C"/>
    <w:rsid w:val="57F86FDA"/>
    <w:rsid w:val="57F8F853"/>
    <w:rsid w:val="58154E33"/>
    <w:rsid w:val="581B6025"/>
    <w:rsid w:val="581FCE25"/>
    <w:rsid w:val="582558E7"/>
    <w:rsid w:val="582A3A45"/>
    <w:rsid w:val="5845B49D"/>
    <w:rsid w:val="584DFFD1"/>
    <w:rsid w:val="585A75AF"/>
    <w:rsid w:val="586BD533"/>
    <w:rsid w:val="5875A428"/>
    <w:rsid w:val="588B37FC"/>
    <w:rsid w:val="588C7F66"/>
    <w:rsid w:val="5896A1F4"/>
    <w:rsid w:val="5898C317"/>
    <w:rsid w:val="58AF3548"/>
    <w:rsid w:val="58C852BD"/>
    <w:rsid w:val="58DA6087"/>
    <w:rsid w:val="58FBF449"/>
    <w:rsid w:val="58FF611D"/>
    <w:rsid w:val="59029EA6"/>
    <w:rsid w:val="5908B94B"/>
    <w:rsid w:val="591665DD"/>
    <w:rsid w:val="5917AFF6"/>
    <w:rsid w:val="591906B1"/>
    <w:rsid w:val="592F0866"/>
    <w:rsid w:val="5949BC38"/>
    <w:rsid w:val="595611CC"/>
    <w:rsid w:val="59576FB0"/>
    <w:rsid w:val="596DAF69"/>
    <w:rsid w:val="5981268A"/>
    <w:rsid w:val="598DC90D"/>
    <w:rsid w:val="59B2F199"/>
    <w:rsid w:val="59BFFCD3"/>
    <w:rsid w:val="59C1B9BD"/>
    <w:rsid w:val="59C1DE8F"/>
    <w:rsid w:val="59CA9F74"/>
    <w:rsid w:val="59D01706"/>
    <w:rsid w:val="59D0BB22"/>
    <w:rsid w:val="59E174D7"/>
    <w:rsid w:val="59E4A004"/>
    <w:rsid w:val="59FBCF8B"/>
    <w:rsid w:val="5A0A188C"/>
    <w:rsid w:val="5A14C719"/>
    <w:rsid w:val="5A17750F"/>
    <w:rsid w:val="5A17A438"/>
    <w:rsid w:val="5A3C73FC"/>
    <w:rsid w:val="5A48AF08"/>
    <w:rsid w:val="5A57B9E9"/>
    <w:rsid w:val="5A596DCF"/>
    <w:rsid w:val="5A5E30A1"/>
    <w:rsid w:val="5A61B3B2"/>
    <w:rsid w:val="5A7F12BE"/>
    <w:rsid w:val="5A854B4E"/>
    <w:rsid w:val="5A858F96"/>
    <w:rsid w:val="5A9A4005"/>
    <w:rsid w:val="5A9B9917"/>
    <w:rsid w:val="5AA1701C"/>
    <w:rsid w:val="5AA360AD"/>
    <w:rsid w:val="5AAE8BD9"/>
    <w:rsid w:val="5ABD2E07"/>
    <w:rsid w:val="5ACBDBB3"/>
    <w:rsid w:val="5AF0A9E2"/>
    <w:rsid w:val="5AF0DED6"/>
    <w:rsid w:val="5B035538"/>
    <w:rsid w:val="5B0A4869"/>
    <w:rsid w:val="5B2583E2"/>
    <w:rsid w:val="5B26F1DE"/>
    <w:rsid w:val="5B41D1A5"/>
    <w:rsid w:val="5B4821A5"/>
    <w:rsid w:val="5B4F7DD8"/>
    <w:rsid w:val="5B5041B0"/>
    <w:rsid w:val="5B5146F6"/>
    <w:rsid w:val="5B57E84A"/>
    <w:rsid w:val="5B5D6972"/>
    <w:rsid w:val="5B6AA576"/>
    <w:rsid w:val="5B826A47"/>
    <w:rsid w:val="5B8614E9"/>
    <w:rsid w:val="5B88A15E"/>
    <w:rsid w:val="5BAC63DB"/>
    <w:rsid w:val="5BAF0A1B"/>
    <w:rsid w:val="5BB342ED"/>
    <w:rsid w:val="5BB3A5C4"/>
    <w:rsid w:val="5BBB8685"/>
    <w:rsid w:val="5BD082CD"/>
    <w:rsid w:val="5BE6E53E"/>
    <w:rsid w:val="5BE9601D"/>
    <w:rsid w:val="5BEC3DD4"/>
    <w:rsid w:val="5BEE7FFC"/>
    <w:rsid w:val="5BF73C8C"/>
    <w:rsid w:val="5C043E65"/>
    <w:rsid w:val="5C0B52FF"/>
    <w:rsid w:val="5C0E06F2"/>
    <w:rsid w:val="5C271CD6"/>
    <w:rsid w:val="5C4198CB"/>
    <w:rsid w:val="5C48842F"/>
    <w:rsid w:val="5C4E6E0F"/>
    <w:rsid w:val="5C4E834E"/>
    <w:rsid w:val="5C524684"/>
    <w:rsid w:val="5C553916"/>
    <w:rsid w:val="5C625A40"/>
    <w:rsid w:val="5C65B394"/>
    <w:rsid w:val="5C81DF6C"/>
    <w:rsid w:val="5C95406C"/>
    <w:rsid w:val="5C98A94D"/>
    <w:rsid w:val="5CB37841"/>
    <w:rsid w:val="5CB7F5C2"/>
    <w:rsid w:val="5CC535A0"/>
    <w:rsid w:val="5CC6C049"/>
    <w:rsid w:val="5CCD0CD3"/>
    <w:rsid w:val="5CD0080E"/>
    <w:rsid w:val="5CD53B1A"/>
    <w:rsid w:val="5CD6D0AB"/>
    <w:rsid w:val="5CF56D24"/>
    <w:rsid w:val="5D012F4F"/>
    <w:rsid w:val="5D1444AB"/>
    <w:rsid w:val="5D47171F"/>
    <w:rsid w:val="5D653720"/>
    <w:rsid w:val="5D6603BE"/>
    <w:rsid w:val="5D709E95"/>
    <w:rsid w:val="5D7E4656"/>
    <w:rsid w:val="5D97DBDC"/>
    <w:rsid w:val="5DA99C49"/>
    <w:rsid w:val="5DADC062"/>
    <w:rsid w:val="5DB7E6A5"/>
    <w:rsid w:val="5DBCD951"/>
    <w:rsid w:val="5DC3CA6F"/>
    <w:rsid w:val="5DC6AE71"/>
    <w:rsid w:val="5DD3905E"/>
    <w:rsid w:val="5DDEFA64"/>
    <w:rsid w:val="5DEC4CCE"/>
    <w:rsid w:val="5E00B685"/>
    <w:rsid w:val="5E0D2CC0"/>
    <w:rsid w:val="5E16D0E7"/>
    <w:rsid w:val="5E1E6FBA"/>
    <w:rsid w:val="5E2D1A4E"/>
    <w:rsid w:val="5E349C5C"/>
    <w:rsid w:val="5E36539B"/>
    <w:rsid w:val="5E486794"/>
    <w:rsid w:val="5E56685B"/>
    <w:rsid w:val="5E6A208A"/>
    <w:rsid w:val="5E80DA54"/>
    <w:rsid w:val="5E88B927"/>
    <w:rsid w:val="5E91543B"/>
    <w:rsid w:val="5EA519FE"/>
    <w:rsid w:val="5EA80CF6"/>
    <w:rsid w:val="5EAC1D2A"/>
    <w:rsid w:val="5EB2C7FE"/>
    <w:rsid w:val="5EBD7714"/>
    <w:rsid w:val="5EDB15EA"/>
    <w:rsid w:val="5EE0D44E"/>
    <w:rsid w:val="5EE469BF"/>
    <w:rsid w:val="5EE773FD"/>
    <w:rsid w:val="5EEA1F51"/>
    <w:rsid w:val="5EF43EEA"/>
    <w:rsid w:val="5F0D6234"/>
    <w:rsid w:val="5F0DAECE"/>
    <w:rsid w:val="5F135D74"/>
    <w:rsid w:val="5F148ACC"/>
    <w:rsid w:val="5F1516AD"/>
    <w:rsid w:val="5F1653FD"/>
    <w:rsid w:val="5F270123"/>
    <w:rsid w:val="5F290BBF"/>
    <w:rsid w:val="5F2A1CA8"/>
    <w:rsid w:val="5F2D797A"/>
    <w:rsid w:val="5F2F22AB"/>
    <w:rsid w:val="5F338F06"/>
    <w:rsid w:val="5F48101C"/>
    <w:rsid w:val="5F523675"/>
    <w:rsid w:val="5F548ADE"/>
    <w:rsid w:val="5F5DEF47"/>
    <w:rsid w:val="5F5FBF0D"/>
    <w:rsid w:val="5F68EAFF"/>
    <w:rsid w:val="5F68F8EE"/>
    <w:rsid w:val="5F7710E3"/>
    <w:rsid w:val="5F77A7E8"/>
    <w:rsid w:val="5F7C7383"/>
    <w:rsid w:val="5F9AF7A7"/>
    <w:rsid w:val="5F9F935D"/>
    <w:rsid w:val="5F9FEE4F"/>
    <w:rsid w:val="5FB3DC26"/>
    <w:rsid w:val="5FBC2101"/>
    <w:rsid w:val="5FC02B2A"/>
    <w:rsid w:val="5FC798A9"/>
    <w:rsid w:val="5FCDFE48"/>
    <w:rsid w:val="5FD08C7F"/>
    <w:rsid w:val="5FD1F445"/>
    <w:rsid w:val="5FD21BFF"/>
    <w:rsid w:val="5FDD9BBE"/>
    <w:rsid w:val="5FF81EA1"/>
    <w:rsid w:val="5FFC82F1"/>
    <w:rsid w:val="60007A9C"/>
    <w:rsid w:val="600B81AA"/>
    <w:rsid w:val="600B83FC"/>
    <w:rsid w:val="6012AE63"/>
    <w:rsid w:val="6018B9B5"/>
    <w:rsid w:val="601AC3E5"/>
    <w:rsid w:val="60295877"/>
    <w:rsid w:val="6029888A"/>
    <w:rsid w:val="60478B6B"/>
    <w:rsid w:val="6051917D"/>
    <w:rsid w:val="605494C4"/>
    <w:rsid w:val="6071DE37"/>
    <w:rsid w:val="608C2C51"/>
    <w:rsid w:val="60A24EC2"/>
    <w:rsid w:val="60A2B744"/>
    <w:rsid w:val="60C0438E"/>
    <w:rsid w:val="60CD4D93"/>
    <w:rsid w:val="60CDEAB6"/>
    <w:rsid w:val="60D74F0E"/>
    <w:rsid w:val="60DDD748"/>
    <w:rsid w:val="60E4BC89"/>
    <w:rsid w:val="60EBC7AE"/>
    <w:rsid w:val="60ED9408"/>
    <w:rsid w:val="60F336C7"/>
    <w:rsid w:val="60FDDDF8"/>
    <w:rsid w:val="6104004C"/>
    <w:rsid w:val="6115440C"/>
    <w:rsid w:val="611C71F9"/>
    <w:rsid w:val="611FFE01"/>
    <w:rsid w:val="6130B5DA"/>
    <w:rsid w:val="613230D4"/>
    <w:rsid w:val="6135EBE9"/>
    <w:rsid w:val="613D6E5C"/>
    <w:rsid w:val="6141B44A"/>
    <w:rsid w:val="615BE3C3"/>
    <w:rsid w:val="61666CA2"/>
    <w:rsid w:val="616CBC8F"/>
    <w:rsid w:val="6174FC03"/>
    <w:rsid w:val="617DE4A0"/>
    <w:rsid w:val="618B2D02"/>
    <w:rsid w:val="6191DCA9"/>
    <w:rsid w:val="6196F33B"/>
    <w:rsid w:val="61A48019"/>
    <w:rsid w:val="61A922D8"/>
    <w:rsid w:val="61A976ED"/>
    <w:rsid w:val="61B219F5"/>
    <w:rsid w:val="61B83895"/>
    <w:rsid w:val="61E9D2B5"/>
    <w:rsid w:val="61F90C9C"/>
    <w:rsid w:val="61F9FCD5"/>
    <w:rsid w:val="6210C0A3"/>
    <w:rsid w:val="6210F6D8"/>
    <w:rsid w:val="62111095"/>
    <w:rsid w:val="6213CAB8"/>
    <w:rsid w:val="62253485"/>
    <w:rsid w:val="622AE886"/>
    <w:rsid w:val="622BB757"/>
    <w:rsid w:val="62357FF5"/>
    <w:rsid w:val="6240750D"/>
    <w:rsid w:val="6240D96B"/>
    <w:rsid w:val="6263994D"/>
    <w:rsid w:val="6264A529"/>
    <w:rsid w:val="6287F78A"/>
    <w:rsid w:val="62923A01"/>
    <w:rsid w:val="6296DF4A"/>
    <w:rsid w:val="62CF516F"/>
    <w:rsid w:val="62E1F1E9"/>
    <w:rsid w:val="62FD1498"/>
    <w:rsid w:val="630714BE"/>
    <w:rsid w:val="6319667C"/>
    <w:rsid w:val="6319DE55"/>
    <w:rsid w:val="63221B6F"/>
    <w:rsid w:val="63330E9E"/>
    <w:rsid w:val="633EA398"/>
    <w:rsid w:val="6347E16A"/>
    <w:rsid w:val="634BCB5A"/>
    <w:rsid w:val="63533B4A"/>
    <w:rsid w:val="6356016A"/>
    <w:rsid w:val="6372BAEE"/>
    <w:rsid w:val="63739B1E"/>
    <w:rsid w:val="63749301"/>
    <w:rsid w:val="638A0151"/>
    <w:rsid w:val="638B1F9A"/>
    <w:rsid w:val="63B251F5"/>
    <w:rsid w:val="63F2C24D"/>
    <w:rsid w:val="63F7D3C2"/>
    <w:rsid w:val="64017B44"/>
    <w:rsid w:val="6401FF9E"/>
    <w:rsid w:val="642D530A"/>
    <w:rsid w:val="642D8DF6"/>
    <w:rsid w:val="64351791"/>
    <w:rsid w:val="644D7846"/>
    <w:rsid w:val="64563BC2"/>
    <w:rsid w:val="645AC5F2"/>
    <w:rsid w:val="64800F03"/>
    <w:rsid w:val="6492F4EC"/>
    <w:rsid w:val="6496FE4F"/>
    <w:rsid w:val="6498B23E"/>
    <w:rsid w:val="64A7338E"/>
    <w:rsid w:val="64A8FB26"/>
    <w:rsid w:val="64B5EE81"/>
    <w:rsid w:val="64BE11DC"/>
    <w:rsid w:val="64D7C3E1"/>
    <w:rsid w:val="64D8FFAB"/>
    <w:rsid w:val="64F037E7"/>
    <w:rsid w:val="6508A46C"/>
    <w:rsid w:val="650CF1A6"/>
    <w:rsid w:val="651AC71E"/>
    <w:rsid w:val="652D4949"/>
    <w:rsid w:val="656A2967"/>
    <w:rsid w:val="657455D1"/>
    <w:rsid w:val="658B8DFC"/>
    <w:rsid w:val="65979397"/>
    <w:rsid w:val="65A19356"/>
    <w:rsid w:val="65A24B5A"/>
    <w:rsid w:val="65A6A516"/>
    <w:rsid w:val="65AE0B17"/>
    <w:rsid w:val="65AFFD30"/>
    <w:rsid w:val="65B023C7"/>
    <w:rsid w:val="65B69464"/>
    <w:rsid w:val="65B9D803"/>
    <w:rsid w:val="65CC3C32"/>
    <w:rsid w:val="65D9E3EF"/>
    <w:rsid w:val="65DE2FD9"/>
    <w:rsid w:val="65E6F91B"/>
    <w:rsid w:val="65E7A0A8"/>
    <w:rsid w:val="65F635F1"/>
    <w:rsid w:val="660AD70C"/>
    <w:rsid w:val="6611B845"/>
    <w:rsid w:val="6619E5F5"/>
    <w:rsid w:val="661DCD4F"/>
    <w:rsid w:val="6622EE2F"/>
    <w:rsid w:val="6623E42B"/>
    <w:rsid w:val="66356352"/>
    <w:rsid w:val="6635B715"/>
    <w:rsid w:val="663EFC1A"/>
    <w:rsid w:val="6659AE93"/>
    <w:rsid w:val="665AF779"/>
    <w:rsid w:val="665C9A36"/>
    <w:rsid w:val="666A9484"/>
    <w:rsid w:val="666C5634"/>
    <w:rsid w:val="66765F74"/>
    <w:rsid w:val="667D67B5"/>
    <w:rsid w:val="6686CD09"/>
    <w:rsid w:val="669F320F"/>
    <w:rsid w:val="66A52D3B"/>
    <w:rsid w:val="66B3AA2D"/>
    <w:rsid w:val="66B40990"/>
    <w:rsid w:val="66BBF66E"/>
    <w:rsid w:val="66CF6B08"/>
    <w:rsid w:val="66E027F5"/>
    <w:rsid w:val="66E1CC99"/>
    <w:rsid w:val="66E50B60"/>
    <w:rsid w:val="66E69BB4"/>
    <w:rsid w:val="66EBEFAA"/>
    <w:rsid w:val="66F79815"/>
    <w:rsid w:val="67098B0C"/>
    <w:rsid w:val="671BAC0F"/>
    <w:rsid w:val="671D14EB"/>
    <w:rsid w:val="6726371C"/>
    <w:rsid w:val="6781AB06"/>
    <w:rsid w:val="67963764"/>
    <w:rsid w:val="67977899"/>
    <w:rsid w:val="67AF87D8"/>
    <w:rsid w:val="67C5E9B9"/>
    <w:rsid w:val="67C78922"/>
    <w:rsid w:val="67C95444"/>
    <w:rsid w:val="67DBF024"/>
    <w:rsid w:val="67E88C46"/>
    <w:rsid w:val="680883C1"/>
    <w:rsid w:val="680C9AE3"/>
    <w:rsid w:val="6811D75E"/>
    <w:rsid w:val="6827E860"/>
    <w:rsid w:val="682D1D2F"/>
    <w:rsid w:val="6851F42D"/>
    <w:rsid w:val="68727234"/>
    <w:rsid w:val="68733068"/>
    <w:rsid w:val="687AB5B7"/>
    <w:rsid w:val="68830E83"/>
    <w:rsid w:val="689445D8"/>
    <w:rsid w:val="68C12640"/>
    <w:rsid w:val="68CA3460"/>
    <w:rsid w:val="68D2E497"/>
    <w:rsid w:val="68F03922"/>
    <w:rsid w:val="69010CD7"/>
    <w:rsid w:val="69064579"/>
    <w:rsid w:val="6908C275"/>
    <w:rsid w:val="690DE0DE"/>
    <w:rsid w:val="691D262D"/>
    <w:rsid w:val="69253026"/>
    <w:rsid w:val="692833D1"/>
    <w:rsid w:val="69291D6C"/>
    <w:rsid w:val="694038AD"/>
    <w:rsid w:val="69588CA4"/>
    <w:rsid w:val="695B37F6"/>
    <w:rsid w:val="69632359"/>
    <w:rsid w:val="696FBAB3"/>
    <w:rsid w:val="6970AD58"/>
    <w:rsid w:val="69891875"/>
    <w:rsid w:val="6998A610"/>
    <w:rsid w:val="69A1AD74"/>
    <w:rsid w:val="69C769C6"/>
    <w:rsid w:val="69C79862"/>
    <w:rsid w:val="69D246CA"/>
    <w:rsid w:val="69EB937C"/>
    <w:rsid w:val="69F1A5BB"/>
    <w:rsid w:val="69F52CD5"/>
    <w:rsid w:val="69FE5A90"/>
    <w:rsid w:val="6A0DB3CD"/>
    <w:rsid w:val="6A10763D"/>
    <w:rsid w:val="6A137F91"/>
    <w:rsid w:val="6A139ADE"/>
    <w:rsid w:val="6A385D04"/>
    <w:rsid w:val="6A4FEF9A"/>
    <w:rsid w:val="6A5824D2"/>
    <w:rsid w:val="6A64752A"/>
    <w:rsid w:val="6A6F7AF8"/>
    <w:rsid w:val="6A739C78"/>
    <w:rsid w:val="6A8BE2EC"/>
    <w:rsid w:val="6AAF35BB"/>
    <w:rsid w:val="6AC1BA59"/>
    <w:rsid w:val="6AC57780"/>
    <w:rsid w:val="6AC8777E"/>
    <w:rsid w:val="6AD0F775"/>
    <w:rsid w:val="6B04C760"/>
    <w:rsid w:val="6B06BC92"/>
    <w:rsid w:val="6B279050"/>
    <w:rsid w:val="6B2DD3B6"/>
    <w:rsid w:val="6B37F310"/>
    <w:rsid w:val="6B3B68E5"/>
    <w:rsid w:val="6B5C4C22"/>
    <w:rsid w:val="6B6249BE"/>
    <w:rsid w:val="6B6D9950"/>
    <w:rsid w:val="6B7AD15C"/>
    <w:rsid w:val="6B7DDE81"/>
    <w:rsid w:val="6B9F065E"/>
    <w:rsid w:val="6BA2FF0C"/>
    <w:rsid w:val="6BE6857B"/>
    <w:rsid w:val="6BF0FC24"/>
    <w:rsid w:val="6C00D6E8"/>
    <w:rsid w:val="6C0AA896"/>
    <w:rsid w:val="6C1FBFF5"/>
    <w:rsid w:val="6C33FF0B"/>
    <w:rsid w:val="6C37F396"/>
    <w:rsid w:val="6C385097"/>
    <w:rsid w:val="6C3D4E1E"/>
    <w:rsid w:val="6C434E38"/>
    <w:rsid w:val="6C4DFF82"/>
    <w:rsid w:val="6C58B8B9"/>
    <w:rsid w:val="6C5AA351"/>
    <w:rsid w:val="6C7236F2"/>
    <w:rsid w:val="6C8456F9"/>
    <w:rsid w:val="6CA7E6CE"/>
    <w:rsid w:val="6CA837C8"/>
    <w:rsid w:val="6CABA4DC"/>
    <w:rsid w:val="6CABDE38"/>
    <w:rsid w:val="6CAC81FE"/>
    <w:rsid w:val="6CB5ABFC"/>
    <w:rsid w:val="6CC9B90E"/>
    <w:rsid w:val="6CE1366A"/>
    <w:rsid w:val="6CEA1021"/>
    <w:rsid w:val="6D07277F"/>
    <w:rsid w:val="6D0D5CC9"/>
    <w:rsid w:val="6D0FAF53"/>
    <w:rsid w:val="6D1825E4"/>
    <w:rsid w:val="6D206185"/>
    <w:rsid w:val="6D2674DA"/>
    <w:rsid w:val="6D322700"/>
    <w:rsid w:val="6D342A3A"/>
    <w:rsid w:val="6D3B1FAD"/>
    <w:rsid w:val="6D4B85E4"/>
    <w:rsid w:val="6D5EBEF8"/>
    <w:rsid w:val="6D63FA01"/>
    <w:rsid w:val="6D6B9BAD"/>
    <w:rsid w:val="6D6E7558"/>
    <w:rsid w:val="6D77CA90"/>
    <w:rsid w:val="6DA09DC6"/>
    <w:rsid w:val="6DC93896"/>
    <w:rsid w:val="6DCE3527"/>
    <w:rsid w:val="6DD1F313"/>
    <w:rsid w:val="6DE438EF"/>
    <w:rsid w:val="6DE5BE62"/>
    <w:rsid w:val="6DE89078"/>
    <w:rsid w:val="6DF36ED9"/>
    <w:rsid w:val="6DF86EF1"/>
    <w:rsid w:val="6E0CE7EB"/>
    <w:rsid w:val="6E4BAE3A"/>
    <w:rsid w:val="6E56CF30"/>
    <w:rsid w:val="6E7547A1"/>
    <w:rsid w:val="6E76A53D"/>
    <w:rsid w:val="6E8259C4"/>
    <w:rsid w:val="6E84521B"/>
    <w:rsid w:val="6E8EAB29"/>
    <w:rsid w:val="6E8ECEC2"/>
    <w:rsid w:val="6E908F24"/>
    <w:rsid w:val="6EA22BAA"/>
    <w:rsid w:val="6EA2E6E9"/>
    <w:rsid w:val="6EA88DD9"/>
    <w:rsid w:val="6EB10479"/>
    <w:rsid w:val="6EBC52F1"/>
    <w:rsid w:val="6EBF4F7B"/>
    <w:rsid w:val="6EC55DDF"/>
    <w:rsid w:val="6ED0ADD9"/>
    <w:rsid w:val="6EDAF5D6"/>
    <w:rsid w:val="6EE79257"/>
    <w:rsid w:val="6EE9DF56"/>
    <w:rsid w:val="6F084EC2"/>
    <w:rsid w:val="6F0F0341"/>
    <w:rsid w:val="6F14047D"/>
    <w:rsid w:val="6F229CD4"/>
    <w:rsid w:val="6F2EFB4C"/>
    <w:rsid w:val="6F3CBB62"/>
    <w:rsid w:val="6F4374F2"/>
    <w:rsid w:val="6F5032BB"/>
    <w:rsid w:val="6F51535D"/>
    <w:rsid w:val="6F607FF2"/>
    <w:rsid w:val="6F8AA268"/>
    <w:rsid w:val="6F91C5B9"/>
    <w:rsid w:val="6FA68493"/>
    <w:rsid w:val="6FA9BFA9"/>
    <w:rsid w:val="6FB7A2D5"/>
    <w:rsid w:val="6FB8B0D7"/>
    <w:rsid w:val="6FBC9ED1"/>
    <w:rsid w:val="6FC4FA7F"/>
    <w:rsid w:val="6FD176DC"/>
    <w:rsid w:val="6FD6D300"/>
    <w:rsid w:val="6FE0DBF8"/>
    <w:rsid w:val="6FEB54A0"/>
    <w:rsid w:val="6FF0E593"/>
    <w:rsid w:val="700933CC"/>
    <w:rsid w:val="7011745B"/>
    <w:rsid w:val="702ABB07"/>
    <w:rsid w:val="704A7DBA"/>
    <w:rsid w:val="704D713B"/>
    <w:rsid w:val="7058CEF8"/>
    <w:rsid w:val="7061E3B7"/>
    <w:rsid w:val="706B5B7B"/>
    <w:rsid w:val="7073A70A"/>
    <w:rsid w:val="7076AC0B"/>
    <w:rsid w:val="708F6AD7"/>
    <w:rsid w:val="7097F78D"/>
    <w:rsid w:val="70A65BBC"/>
    <w:rsid w:val="70C0293C"/>
    <w:rsid w:val="70C0982C"/>
    <w:rsid w:val="70D568B2"/>
    <w:rsid w:val="70E6364E"/>
    <w:rsid w:val="70FB0317"/>
    <w:rsid w:val="710F5E67"/>
    <w:rsid w:val="7114B512"/>
    <w:rsid w:val="713A45AD"/>
    <w:rsid w:val="71422F09"/>
    <w:rsid w:val="71432CD2"/>
    <w:rsid w:val="715266AF"/>
    <w:rsid w:val="715D8479"/>
    <w:rsid w:val="716227D3"/>
    <w:rsid w:val="71660528"/>
    <w:rsid w:val="716B3AFE"/>
    <w:rsid w:val="71759163"/>
    <w:rsid w:val="71955B8E"/>
    <w:rsid w:val="719B9729"/>
    <w:rsid w:val="71A33F54"/>
    <w:rsid w:val="71BBC529"/>
    <w:rsid w:val="71CBDF61"/>
    <w:rsid w:val="71E5B0B9"/>
    <w:rsid w:val="71ECB933"/>
    <w:rsid w:val="71F049E4"/>
    <w:rsid w:val="721D7D2E"/>
    <w:rsid w:val="722B712E"/>
    <w:rsid w:val="72392B5C"/>
    <w:rsid w:val="723E968C"/>
    <w:rsid w:val="7245D234"/>
    <w:rsid w:val="724E6782"/>
    <w:rsid w:val="72506086"/>
    <w:rsid w:val="7250BFE4"/>
    <w:rsid w:val="72588360"/>
    <w:rsid w:val="725B14A9"/>
    <w:rsid w:val="725BD53C"/>
    <w:rsid w:val="726191EE"/>
    <w:rsid w:val="726B9058"/>
    <w:rsid w:val="727ABB9F"/>
    <w:rsid w:val="727CE2B5"/>
    <w:rsid w:val="727EA69A"/>
    <w:rsid w:val="72833E0B"/>
    <w:rsid w:val="72888CBD"/>
    <w:rsid w:val="729D7242"/>
    <w:rsid w:val="72A9A135"/>
    <w:rsid w:val="72C6ABEF"/>
    <w:rsid w:val="72CB0050"/>
    <w:rsid w:val="72F10E36"/>
    <w:rsid w:val="72F4BF7B"/>
    <w:rsid w:val="730B9BEC"/>
    <w:rsid w:val="73427FC1"/>
    <w:rsid w:val="735202B2"/>
    <w:rsid w:val="73625B8F"/>
    <w:rsid w:val="7364D5FE"/>
    <w:rsid w:val="7379E70B"/>
    <w:rsid w:val="73808289"/>
    <w:rsid w:val="73883C45"/>
    <w:rsid w:val="73A52F50"/>
    <w:rsid w:val="73A91F5C"/>
    <w:rsid w:val="73B813B8"/>
    <w:rsid w:val="73C0431A"/>
    <w:rsid w:val="73C2BDEA"/>
    <w:rsid w:val="73CC34BA"/>
    <w:rsid w:val="73CC6C94"/>
    <w:rsid w:val="73D30106"/>
    <w:rsid w:val="73D92F22"/>
    <w:rsid w:val="73E6FFD1"/>
    <w:rsid w:val="73F3534E"/>
    <w:rsid w:val="740DA503"/>
    <w:rsid w:val="7411D0EF"/>
    <w:rsid w:val="741BC91B"/>
    <w:rsid w:val="7422128F"/>
    <w:rsid w:val="74221B9C"/>
    <w:rsid w:val="74251931"/>
    <w:rsid w:val="74332A95"/>
    <w:rsid w:val="743D5395"/>
    <w:rsid w:val="745033E2"/>
    <w:rsid w:val="74572249"/>
    <w:rsid w:val="745FD0CC"/>
    <w:rsid w:val="74645A0B"/>
    <w:rsid w:val="747B7508"/>
    <w:rsid w:val="748D1F97"/>
    <w:rsid w:val="748EF814"/>
    <w:rsid w:val="749B4ACB"/>
    <w:rsid w:val="74A2D123"/>
    <w:rsid w:val="74AEAD07"/>
    <w:rsid w:val="74BDF1A1"/>
    <w:rsid w:val="74C29D08"/>
    <w:rsid w:val="74D618BE"/>
    <w:rsid w:val="74D868D4"/>
    <w:rsid w:val="74D9861F"/>
    <w:rsid w:val="74DEEFDD"/>
    <w:rsid w:val="74DF5EEC"/>
    <w:rsid w:val="750BBC8D"/>
    <w:rsid w:val="75259C68"/>
    <w:rsid w:val="7526E061"/>
    <w:rsid w:val="752A9B74"/>
    <w:rsid w:val="753ADA3A"/>
    <w:rsid w:val="7543E16F"/>
    <w:rsid w:val="7557C7CA"/>
    <w:rsid w:val="755814BA"/>
    <w:rsid w:val="755F3559"/>
    <w:rsid w:val="75630557"/>
    <w:rsid w:val="7566A7B7"/>
    <w:rsid w:val="7584D3E5"/>
    <w:rsid w:val="75860BCE"/>
    <w:rsid w:val="7586E7D6"/>
    <w:rsid w:val="7592C55E"/>
    <w:rsid w:val="75AE721E"/>
    <w:rsid w:val="75D2E64F"/>
    <w:rsid w:val="75D8E63C"/>
    <w:rsid w:val="75F1F7C8"/>
    <w:rsid w:val="75FE790D"/>
    <w:rsid w:val="761BCD15"/>
    <w:rsid w:val="765F59C1"/>
    <w:rsid w:val="76620CDD"/>
    <w:rsid w:val="76623014"/>
    <w:rsid w:val="76699909"/>
    <w:rsid w:val="766F47CC"/>
    <w:rsid w:val="7684CCC8"/>
    <w:rsid w:val="7689BC15"/>
    <w:rsid w:val="768A4C5D"/>
    <w:rsid w:val="76A52A41"/>
    <w:rsid w:val="76BFAF66"/>
    <w:rsid w:val="76CD3BC0"/>
    <w:rsid w:val="76E9DDF0"/>
    <w:rsid w:val="77001D0A"/>
    <w:rsid w:val="770789E2"/>
    <w:rsid w:val="7712A29C"/>
    <w:rsid w:val="7722CECF"/>
    <w:rsid w:val="77289DDF"/>
    <w:rsid w:val="77359D15"/>
    <w:rsid w:val="77439AF0"/>
    <w:rsid w:val="774AB49B"/>
    <w:rsid w:val="774C3938"/>
    <w:rsid w:val="77963EA8"/>
    <w:rsid w:val="779A47E1"/>
    <w:rsid w:val="77A08FD7"/>
    <w:rsid w:val="77C6CCBE"/>
    <w:rsid w:val="77E5B676"/>
    <w:rsid w:val="77F43AD9"/>
    <w:rsid w:val="77F4BB73"/>
    <w:rsid w:val="77F8186D"/>
    <w:rsid w:val="77FC6708"/>
    <w:rsid w:val="78181A32"/>
    <w:rsid w:val="781C6704"/>
    <w:rsid w:val="782A79F8"/>
    <w:rsid w:val="783FBD45"/>
    <w:rsid w:val="7869180C"/>
    <w:rsid w:val="786CF03C"/>
    <w:rsid w:val="787E3E49"/>
    <w:rsid w:val="787E9278"/>
    <w:rsid w:val="78D1C3D2"/>
    <w:rsid w:val="78E4B9AA"/>
    <w:rsid w:val="78ECE463"/>
    <w:rsid w:val="78FFF1E7"/>
    <w:rsid w:val="790D0018"/>
    <w:rsid w:val="792E5346"/>
    <w:rsid w:val="7932F4FC"/>
    <w:rsid w:val="794BFCE1"/>
    <w:rsid w:val="7954506B"/>
    <w:rsid w:val="796E49D7"/>
    <w:rsid w:val="797507CF"/>
    <w:rsid w:val="7976D913"/>
    <w:rsid w:val="7984F439"/>
    <w:rsid w:val="7987A339"/>
    <w:rsid w:val="7987DE81"/>
    <w:rsid w:val="799C1F97"/>
    <w:rsid w:val="799EE5A9"/>
    <w:rsid w:val="79A2DC8C"/>
    <w:rsid w:val="79AAE9E1"/>
    <w:rsid w:val="79C183F9"/>
    <w:rsid w:val="79C900F7"/>
    <w:rsid w:val="79CFFE11"/>
    <w:rsid w:val="79D187BE"/>
    <w:rsid w:val="79D28F51"/>
    <w:rsid w:val="79D54D56"/>
    <w:rsid w:val="79D77340"/>
    <w:rsid w:val="79E1947D"/>
    <w:rsid w:val="7A0D759F"/>
    <w:rsid w:val="7A1674DF"/>
    <w:rsid w:val="7A1D26FA"/>
    <w:rsid w:val="7A2AE957"/>
    <w:rsid w:val="7A3697A6"/>
    <w:rsid w:val="7A3752DC"/>
    <w:rsid w:val="7A43227C"/>
    <w:rsid w:val="7A6072E0"/>
    <w:rsid w:val="7A6438B5"/>
    <w:rsid w:val="7A8773A4"/>
    <w:rsid w:val="7A8A1D73"/>
    <w:rsid w:val="7A93C727"/>
    <w:rsid w:val="7A956F76"/>
    <w:rsid w:val="7A99CE04"/>
    <w:rsid w:val="7AA9A795"/>
    <w:rsid w:val="7AB1356D"/>
    <w:rsid w:val="7ABB2719"/>
    <w:rsid w:val="7ABDC99E"/>
    <w:rsid w:val="7AC96D71"/>
    <w:rsid w:val="7AC9AAF6"/>
    <w:rsid w:val="7AE03445"/>
    <w:rsid w:val="7AE8E013"/>
    <w:rsid w:val="7AEC55C3"/>
    <w:rsid w:val="7B06A4E4"/>
    <w:rsid w:val="7B1144E2"/>
    <w:rsid w:val="7B29CB19"/>
    <w:rsid w:val="7B29F1EF"/>
    <w:rsid w:val="7B2E2F1B"/>
    <w:rsid w:val="7B32539C"/>
    <w:rsid w:val="7B373351"/>
    <w:rsid w:val="7B573C00"/>
    <w:rsid w:val="7B65769C"/>
    <w:rsid w:val="7B753D76"/>
    <w:rsid w:val="7B78E7EA"/>
    <w:rsid w:val="7B7D948D"/>
    <w:rsid w:val="7B82280C"/>
    <w:rsid w:val="7B8BDB9B"/>
    <w:rsid w:val="7B9B14BF"/>
    <w:rsid w:val="7B9B9F7B"/>
    <w:rsid w:val="7B9C2E8F"/>
    <w:rsid w:val="7BA2BD2E"/>
    <w:rsid w:val="7BAA0FA8"/>
    <w:rsid w:val="7BAB62EA"/>
    <w:rsid w:val="7BBC3BFB"/>
    <w:rsid w:val="7BBD1480"/>
    <w:rsid w:val="7BD5C2A6"/>
    <w:rsid w:val="7BDD8D44"/>
    <w:rsid w:val="7BE19B6E"/>
    <w:rsid w:val="7BE9E6F2"/>
    <w:rsid w:val="7BEE61D2"/>
    <w:rsid w:val="7BF73337"/>
    <w:rsid w:val="7BF73AD8"/>
    <w:rsid w:val="7C1C0451"/>
    <w:rsid w:val="7C2E5042"/>
    <w:rsid w:val="7C34B8B3"/>
    <w:rsid w:val="7C368291"/>
    <w:rsid w:val="7C3971B2"/>
    <w:rsid w:val="7C42E228"/>
    <w:rsid w:val="7C4C26F2"/>
    <w:rsid w:val="7C5CF9D2"/>
    <w:rsid w:val="7C61FD0D"/>
    <w:rsid w:val="7C663A27"/>
    <w:rsid w:val="7C6D6F73"/>
    <w:rsid w:val="7C874515"/>
    <w:rsid w:val="7C8BB55A"/>
    <w:rsid w:val="7CAC90B1"/>
    <w:rsid w:val="7CAC9703"/>
    <w:rsid w:val="7CB46C2E"/>
    <w:rsid w:val="7CBBD9A9"/>
    <w:rsid w:val="7CBF1E7B"/>
    <w:rsid w:val="7CD37B62"/>
    <w:rsid w:val="7CDB6960"/>
    <w:rsid w:val="7CECEA88"/>
    <w:rsid w:val="7CF7AEE5"/>
    <w:rsid w:val="7CFF85C0"/>
    <w:rsid w:val="7D009A9B"/>
    <w:rsid w:val="7D0416F7"/>
    <w:rsid w:val="7D0C89B2"/>
    <w:rsid w:val="7D0DDFC4"/>
    <w:rsid w:val="7D1FDDD8"/>
    <w:rsid w:val="7D2C2E71"/>
    <w:rsid w:val="7D2C57F8"/>
    <w:rsid w:val="7D2C5965"/>
    <w:rsid w:val="7D3B97FD"/>
    <w:rsid w:val="7D3C7006"/>
    <w:rsid w:val="7D4EC551"/>
    <w:rsid w:val="7D5478D0"/>
    <w:rsid w:val="7D557CC2"/>
    <w:rsid w:val="7D7D1D35"/>
    <w:rsid w:val="7D87B231"/>
    <w:rsid w:val="7D87CEDE"/>
    <w:rsid w:val="7DA183DC"/>
    <w:rsid w:val="7DC5704D"/>
    <w:rsid w:val="7DCD2499"/>
    <w:rsid w:val="7DCFC1DD"/>
    <w:rsid w:val="7DD5D2AD"/>
    <w:rsid w:val="7DD9D59D"/>
    <w:rsid w:val="7DE336FD"/>
    <w:rsid w:val="7DE59D10"/>
    <w:rsid w:val="7DF023DE"/>
    <w:rsid w:val="7DF7453D"/>
    <w:rsid w:val="7DF808DD"/>
    <w:rsid w:val="7DF9BCF7"/>
    <w:rsid w:val="7E1B5C66"/>
    <w:rsid w:val="7E371758"/>
    <w:rsid w:val="7E43D577"/>
    <w:rsid w:val="7E5CC98E"/>
    <w:rsid w:val="7E68A2C2"/>
    <w:rsid w:val="7E6A4A7F"/>
    <w:rsid w:val="7E6F9AC0"/>
    <w:rsid w:val="7E8156F7"/>
    <w:rsid w:val="7E824666"/>
    <w:rsid w:val="7E860DE7"/>
    <w:rsid w:val="7E9887F3"/>
    <w:rsid w:val="7EA09555"/>
    <w:rsid w:val="7EA25C0F"/>
    <w:rsid w:val="7EB88668"/>
    <w:rsid w:val="7EBCD5AB"/>
    <w:rsid w:val="7EC9A9A7"/>
    <w:rsid w:val="7EDF9A75"/>
    <w:rsid w:val="7EF9AF00"/>
    <w:rsid w:val="7F056A3F"/>
    <w:rsid w:val="7F182325"/>
    <w:rsid w:val="7F21981D"/>
    <w:rsid w:val="7F235ED5"/>
    <w:rsid w:val="7F37FD54"/>
    <w:rsid w:val="7F38B7C0"/>
    <w:rsid w:val="7F3E383C"/>
    <w:rsid w:val="7F4707A6"/>
    <w:rsid w:val="7F559C98"/>
    <w:rsid w:val="7F63E2FD"/>
    <w:rsid w:val="7F688F1B"/>
    <w:rsid w:val="7F77C6D8"/>
    <w:rsid w:val="7F795C09"/>
    <w:rsid w:val="7F8AFEA9"/>
    <w:rsid w:val="7FA4263F"/>
    <w:rsid w:val="7FA4ADA5"/>
    <w:rsid w:val="7FADA178"/>
    <w:rsid w:val="7FB389A2"/>
    <w:rsid w:val="7FB75534"/>
    <w:rsid w:val="7FBD8378"/>
    <w:rsid w:val="7FC4062E"/>
    <w:rsid w:val="7FD24A83"/>
    <w:rsid w:val="7FDCBE8A"/>
    <w:rsid w:val="7FE11A34"/>
    <w:rsid w:val="7FEFB12F"/>
    <w:rsid w:val="7FF4CDE9"/>
    <w:rsid w:val="7FFD6217"/>
    <w:rsid w:val="7FFE80F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58CB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91D"/>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F4491D"/>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F4491D"/>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F4491D"/>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F4491D"/>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F4491D"/>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F4491D"/>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491D"/>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F4491D"/>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F4491D"/>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F4491D"/>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F4491D"/>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F4491D"/>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F4491D"/>
    <w:pPr>
      <w:keepNext/>
      <w:spacing w:before="0" w:after="0"/>
      <w:jc w:val="center"/>
    </w:pPr>
    <w:rPr>
      <w:color w:val="004A7F"/>
      <w:sz w:val="20"/>
    </w:rPr>
  </w:style>
  <w:style w:type="paragraph" w:customStyle="1" w:styleId="AlphaParagraph">
    <w:name w:val="Alpha Paragraph"/>
    <w:basedOn w:val="Normal"/>
    <w:qFormat/>
    <w:rsid w:val="00F4491D"/>
    <w:pPr>
      <w:numPr>
        <w:ilvl w:val="1"/>
        <w:numId w:val="7"/>
      </w:numPr>
      <w:spacing w:before="0"/>
    </w:pPr>
  </w:style>
  <w:style w:type="character" w:customStyle="1" w:styleId="DashChar">
    <w:name w:val="Dash Char"/>
    <w:basedOn w:val="DefaultParagraphFont"/>
    <w:link w:val="Dash"/>
    <w:uiPriority w:val="99"/>
    <w:locked/>
    <w:rsid w:val="00F4491D"/>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uiPriority w:val="99"/>
    <w:locked/>
    <w:rsid w:val="00F4491D"/>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F4491D"/>
    <w:rPr>
      <w:rFonts w:ascii="Calibri Light" w:eastAsia="Times New Roman" w:hAnsi="Calibri Light" w:cs="Times New Roman"/>
      <w:szCs w:val="20"/>
      <w:lang w:eastAsia="en-AU"/>
    </w:rPr>
  </w:style>
  <w:style w:type="paragraph" w:customStyle="1" w:styleId="BoxHeading">
    <w:name w:val="Box Heading"/>
    <w:basedOn w:val="Normal"/>
    <w:next w:val="Normal"/>
    <w:rsid w:val="00F4491D"/>
    <w:pPr>
      <w:keepNext/>
      <w:spacing w:before="240"/>
    </w:pPr>
    <w:rPr>
      <w:b/>
      <w:color w:val="2C384A" w:themeColor="accent1"/>
      <w:sz w:val="26"/>
      <w:szCs w:val="26"/>
    </w:rPr>
  </w:style>
  <w:style w:type="paragraph" w:customStyle="1" w:styleId="BoxText">
    <w:name w:val="Box Text"/>
    <w:basedOn w:val="Normal"/>
    <w:link w:val="BoxTextChar"/>
    <w:rsid w:val="00F4491D"/>
  </w:style>
  <w:style w:type="paragraph" w:customStyle="1" w:styleId="Bullet">
    <w:name w:val="Bullet"/>
    <w:basedOn w:val="Normal"/>
    <w:link w:val="BulletChar"/>
    <w:qFormat/>
    <w:rsid w:val="00F4491D"/>
    <w:pPr>
      <w:numPr>
        <w:numId w:val="9"/>
      </w:numPr>
      <w:tabs>
        <w:tab w:val="left" w:pos="720"/>
      </w:tabs>
      <w:spacing w:before="0" w:line="276" w:lineRule="auto"/>
    </w:pPr>
  </w:style>
  <w:style w:type="paragraph" w:customStyle="1" w:styleId="ChartandTableFootnoteAlpha">
    <w:name w:val="Chart and Table Footnote Alpha"/>
    <w:rsid w:val="00F4491D"/>
    <w:pPr>
      <w:numPr>
        <w:numId w:val="8"/>
      </w:numPr>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F4491D"/>
    <w:pPr>
      <w:jc w:val="center"/>
    </w:pPr>
  </w:style>
  <w:style w:type="paragraph" w:customStyle="1" w:styleId="ChartorTableNote">
    <w:name w:val="Chart or Table Note"/>
    <w:next w:val="Normal"/>
    <w:rsid w:val="00F4491D"/>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F4491D"/>
    <w:pPr>
      <w:jc w:val="center"/>
    </w:pPr>
    <w:rPr>
      <w:b w:val="0"/>
      <w:bCs/>
    </w:rPr>
  </w:style>
  <w:style w:type="paragraph" w:customStyle="1" w:styleId="ReportDate">
    <w:name w:val="Report Date"/>
    <w:basedOn w:val="Normal"/>
    <w:link w:val="ReportDateChar"/>
    <w:rsid w:val="00F4491D"/>
    <w:pPr>
      <w:keepNext/>
      <w:spacing w:before="0" w:after="360"/>
    </w:pPr>
    <w:rPr>
      <w:color w:val="90B6F0"/>
      <w:sz w:val="32"/>
    </w:rPr>
  </w:style>
  <w:style w:type="paragraph" w:customStyle="1" w:styleId="Dash">
    <w:name w:val="Dash"/>
    <w:basedOn w:val="Normal"/>
    <w:link w:val="DashChar"/>
    <w:uiPriority w:val="99"/>
    <w:qFormat/>
    <w:rsid w:val="00F4491D"/>
    <w:pPr>
      <w:numPr>
        <w:ilvl w:val="1"/>
        <w:numId w:val="9"/>
      </w:numPr>
      <w:spacing w:before="0"/>
    </w:pPr>
  </w:style>
  <w:style w:type="paragraph" w:customStyle="1" w:styleId="DoubleDot">
    <w:name w:val="Double Dot"/>
    <w:basedOn w:val="Normal"/>
    <w:link w:val="DoubleDotChar"/>
    <w:uiPriority w:val="99"/>
    <w:qFormat/>
    <w:rsid w:val="00F4491D"/>
    <w:pPr>
      <w:numPr>
        <w:ilvl w:val="2"/>
        <w:numId w:val="9"/>
      </w:numPr>
      <w:spacing w:before="0"/>
    </w:pPr>
  </w:style>
  <w:style w:type="paragraph" w:customStyle="1" w:styleId="TableMainHeading">
    <w:name w:val="Table Main Heading"/>
    <w:basedOn w:val="Heading3"/>
    <w:next w:val="Normal"/>
    <w:rsid w:val="00F4491D"/>
    <w:pPr>
      <w:spacing w:before="120"/>
    </w:pPr>
    <w:rPr>
      <w:b w:val="0"/>
      <w:sz w:val="26"/>
    </w:rPr>
  </w:style>
  <w:style w:type="paragraph" w:customStyle="1" w:styleId="FooterEven">
    <w:name w:val="Footer Even"/>
    <w:basedOn w:val="Footer"/>
    <w:rsid w:val="00F4491D"/>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F4491D"/>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F4491D"/>
    <w:rPr>
      <w:color w:val="3A6FAF"/>
      <w:u w:val="none"/>
    </w:rPr>
  </w:style>
  <w:style w:type="paragraph" w:customStyle="1" w:styleId="OutlineNumbered1">
    <w:name w:val="Outline Numbered 1"/>
    <w:basedOn w:val="Normal"/>
    <w:link w:val="OutlineNumbered1Char"/>
    <w:rsid w:val="00F4491D"/>
    <w:pPr>
      <w:numPr>
        <w:numId w:val="5"/>
      </w:numPr>
      <w:spacing w:before="0"/>
    </w:pPr>
  </w:style>
  <w:style w:type="paragraph" w:customStyle="1" w:styleId="OutlineNumbered2">
    <w:name w:val="Outline Numbered 2"/>
    <w:basedOn w:val="Normal"/>
    <w:rsid w:val="00F4491D"/>
    <w:pPr>
      <w:numPr>
        <w:ilvl w:val="1"/>
        <w:numId w:val="5"/>
      </w:numPr>
      <w:spacing w:before="0"/>
    </w:pPr>
  </w:style>
  <w:style w:type="paragraph" w:customStyle="1" w:styleId="OutlineNumbered3">
    <w:name w:val="Outline Numbered 3"/>
    <w:basedOn w:val="Normal"/>
    <w:rsid w:val="00F4491D"/>
    <w:pPr>
      <w:numPr>
        <w:ilvl w:val="2"/>
        <w:numId w:val="5"/>
      </w:numPr>
      <w:spacing w:before="0"/>
    </w:pPr>
  </w:style>
  <w:style w:type="paragraph" w:customStyle="1" w:styleId="SingleParagraph">
    <w:name w:val="Single Paragraph"/>
    <w:basedOn w:val="Normal"/>
    <w:next w:val="Normal"/>
    <w:link w:val="SingleParagraphChar"/>
    <w:rsid w:val="00F4491D"/>
    <w:pPr>
      <w:spacing w:before="0" w:after="0"/>
    </w:pPr>
  </w:style>
  <w:style w:type="paragraph" w:customStyle="1" w:styleId="TableSecondHeading">
    <w:name w:val="Table Second Heading"/>
    <w:basedOn w:val="Normal"/>
    <w:next w:val="Normal"/>
    <w:rsid w:val="00F4491D"/>
    <w:pPr>
      <w:keepNext/>
      <w:spacing w:before="0" w:after="20"/>
    </w:pPr>
    <w:rPr>
      <w:b/>
      <w:color w:val="004A7F"/>
    </w:rPr>
  </w:style>
  <w:style w:type="paragraph" w:customStyle="1" w:styleId="TableColumnHeadingCentred">
    <w:name w:val="Table Column Heading Centred"/>
    <w:basedOn w:val="TableTextLeft"/>
    <w:rsid w:val="00F4491D"/>
    <w:pPr>
      <w:jc w:val="center"/>
    </w:pPr>
    <w:rPr>
      <w:b/>
      <w:color w:val="2C384A" w:themeColor="accent1"/>
      <w:sz w:val="20"/>
    </w:rPr>
  </w:style>
  <w:style w:type="paragraph" w:customStyle="1" w:styleId="TableColumnHeadingLeft">
    <w:name w:val="Table Column Heading Left"/>
    <w:basedOn w:val="TableTextLeft"/>
    <w:rsid w:val="00F4491D"/>
    <w:rPr>
      <w:b/>
      <w:color w:val="2C384A" w:themeColor="accent1"/>
      <w:sz w:val="20"/>
    </w:rPr>
  </w:style>
  <w:style w:type="paragraph" w:customStyle="1" w:styleId="TableColumnHeadingRight">
    <w:name w:val="Table Column Heading Right"/>
    <w:basedOn w:val="TableTextLeft"/>
    <w:rsid w:val="00F4491D"/>
    <w:pPr>
      <w:jc w:val="right"/>
    </w:pPr>
    <w:rPr>
      <w:b/>
      <w:color w:val="2C384A" w:themeColor="accent1"/>
      <w:sz w:val="20"/>
    </w:rPr>
  </w:style>
  <w:style w:type="table" w:styleId="TableGrid">
    <w:name w:val="Table Grid"/>
    <w:basedOn w:val="TableNormal"/>
    <w:rsid w:val="00F4491D"/>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F4491D"/>
    <w:pPr>
      <w:jc w:val="center"/>
    </w:pPr>
  </w:style>
  <w:style w:type="paragraph" w:customStyle="1" w:styleId="TableTextLeft">
    <w:name w:val="Table Text Left"/>
    <w:basedOn w:val="TableTextRight"/>
    <w:link w:val="TableTextLeftChar"/>
    <w:rsid w:val="00F4491D"/>
    <w:pPr>
      <w:jc w:val="left"/>
    </w:pPr>
  </w:style>
  <w:style w:type="paragraph" w:customStyle="1" w:styleId="TableTextRight">
    <w:name w:val="Table Text Right"/>
    <w:basedOn w:val="Normal"/>
    <w:rsid w:val="00F4491D"/>
    <w:pPr>
      <w:spacing w:before="40" w:after="40"/>
      <w:jc w:val="right"/>
    </w:pPr>
    <w:rPr>
      <w:color w:val="000000"/>
      <w:sz w:val="18"/>
    </w:rPr>
  </w:style>
  <w:style w:type="paragraph" w:styleId="TOC1">
    <w:name w:val="toc 1"/>
    <w:basedOn w:val="Normal"/>
    <w:next w:val="Normal"/>
    <w:uiPriority w:val="39"/>
    <w:rsid w:val="00F4491D"/>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F4491D"/>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F4491D"/>
    <w:pPr>
      <w:tabs>
        <w:tab w:val="right" w:leader="dot" w:pos="9072"/>
      </w:tabs>
      <w:spacing w:before="20" w:after="0"/>
      <w:ind w:left="284" w:right="-2"/>
    </w:pPr>
    <w:rPr>
      <w:rFonts w:cs="Calibri"/>
      <w:noProof/>
    </w:rPr>
  </w:style>
  <w:style w:type="numbering" w:customStyle="1" w:styleId="OutlineList">
    <w:name w:val="OutlineList"/>
    <w:uiPriority w:val="99"/>
    <w:rsid w:val="00F4491D"/>
    <w:pPr>
      <w:numPr>
        <w:numId w:val="4"/>
      </w:numPr>
    </w:pPr>
  </w:style>
  <w:style w:type="numbering" w:customStyle="1" w:styleId="BulletedList">
    <w:name w:val="Bulleted List"/>
    <w:uiPriority w:val="99"/>
    <w:rsid w:val="00F4491D"/>
    <w:pPr>
      <w:numPr>
        <w:numId w:val="1"/>
      </w:numPr>
    </w:pPr>
  </w:style>
  <w:style w:type="numbering" w:customStyle="1" w:styleId="BoxBulletedList">
    <w:name w:val="Box Bulleted List"/>
    <w:uiPriority w:val="99"/>
    <w:rsid w:val="00F4491D"/>
    <w:pPr>
      <w:numPr>
        <w:numId w:val="2"/>
      </w:numPr>
    </w:pPr>
  </w:style>
  <w:style w:type="numbering" w:customStyle="1" w:styleId="OneLevelList">
    <w:name w:val="OneLevelList"/>
    <w:uiPriority w:val="99"/>
    <w:rsid w:val="00F4491D"/>
    <w:pPr>
      <w:numPr>
        <w:numId w:val="3"/>
      </w:numPr>
    </w:pPr>
  </w:style>
  <w:style w:type="numbering" w:customStyle="1" w:styleId="ChartandTableFootnoteAlphaList">
    <w:name w:val="ChartandTableFootnoteAlphaList"/>
    <w:uiPriority w:val="99"/>
    <w:rsid w:val="00F4491D"/>
    <w:pPr>
      <w:numPr>
        <w:numId w:val="8"/>
      </w:numPr>
    </w:pPr>
  </w:style>
  <w:style w:type="paragraph" w:customStyle="1" w:styleId="Heading1Numbered">
    <w:name w:val="Heading 1 Numbered"/>
    <w:basedOn w:val="Heading1"/>
    <w:next w:val="Normal"/>
    <w:rsid w:val="00F4491D"/>
    <w:pPr>
      <w:numPr>
        <w:numId w:val="6"/>
      </w:numPr>
    </w:pPr>
  </w:style>
  <w:style w:type="character" w:customStyle="1" w:styleId="SingleParagraphChar">
    <w:name w:val="Single Paragraph Char"/>
    <w:basedOn w:val="DefaultParagraphFont"/>
    <w:link w:val="SingleParagraph"/>
    <w:rsid w:val="00F4491D"/>
    <w:rPr>
      <w:rFonts w:ascii="Calibri Light" w:eastAsia="Times New Roman" w:hAnsi="Calibri Light" w:cs="Times New Roman"/>
      <w:szCs w:val="20"/>
      <w:lang w:eastAsia="en-AU"/>
    </w:rPr>
  </w:style>
  <w:style w:type="paragraph" w:customStyle="1" w:styleId="Heading2Numbered">
    <w:name w:val="Heading 2 Numbered"/>
    <w:basedOn w:val="Heading2"/>
    <w:next w:val="Normal"/>
    <w:rsid w:val="00F4491D"/>
    <w:pPr>
      <w:numPr>
        <w:ilvl w:val="1"/>
        <w:numId w:val="6"/>
      </w:numPr>
      <w:ind w:left="284" w:hanging="284"/>
    </w:pPr>
  </w:style>
  <w:style w:type="paragraph" w:customStyle="1" w:styleId="Heading3Numbered">
    <w:name w:val="Heading 3 Numbered"/>
    <w:basedOn w:val="Heading3"/>
    <w:rsid w:val="00F4491D"/>
    <w:pPr>
      <w:numPr>
        <w:ilvl w:val="2"/>
        <w:numId w:val="6"/>
      </w:numPr>
      <w:ind w:left="284" w:hanging="284"/>
    </w:pPr>
  </w:style>
  <w:style w:type="paragraph" w:styleId="Title">
    <w:name w:val="Title"/>
    <w:basedOn w:val="Normal"/>
    <w:next w:val="Normal"/>
    <w:link w:val="TitleChar"/>
    <w:uiPriority w:val="10"/>
    <w:rsid w:val="00F4491D"/>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F4491D"/>
    <w:rPr>
      <w:rFonts w:ascii="Calibri Light" w:eastAsiaTheme="majorEastAsia" w:hAnsi="Calibri Light"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rsid w:val="00F4491D"/>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F4491D"/>
    <w:rPr>
      <w:rFonts w:ascii="Calibri Light" w:eastAsiaTheme="majorEastAsia" w:hAnsi="Calibri Light" w:cstheme="majorBidi"/>
      <w:iCs/>
      <w:color w:val="EEEEEE"/>
      <w:sz w:val="44"/>
      <w:szCs w:val="44"/>
      <w:lang w:eastAsia="en-AU"/>
    </w:rPr>
  </w:style>
  <w:style w:type="character" w:styleId="SubtleEmphasis">
    <w:name w:val="Subtle Emphasis"/>
    <w:basedOn w:val="DefaultParagraphFont"/>
    <w:uiPriority w:val="19"/>
    <w:rsid w:val="00F4491D"/>
    <w:rPr>
      <w:i/>
      <w:iCs/>
      <w:color w:val="808080" w:themeColor="text1" w:themeTint="7F"/>
    </w:rPr>
  </w:style>
  <w:style w:type="paragraph" w:styleId="Footer">
    <w:name w:val="footer"/>
    <w:basedOn w:val="Normal"/>
    <w:link w:val="FooterChar"/>
    <w:unhideWhenUsed/>
    <w:rsid w:val="00F4491D"/>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F4491D"/>
    <w:rPr>
      <w:rFonts w:ascii="Calibri Light" w:eastAsia="Times New Roman" w:hAnsi="Calibri Light" w:cs="Times New Roman"/>
      <w:color w:val="002C47"/>
      <w:sz w:val="20"/>
      <w:szCs w:val="20"/>
      <w:lang w:eastAsia="en-AU"/>
    </w:rPr>
  </w:style>
  <w:style w:type="paragraph" w:styleId="Header">
    <w:name w:val="header"/>
    <w:basedOn w:val="Normal"/>
    <w:link w:val="HeaderChar"/>
    <w:uiPriority w:val="99"/>
    <w:unhideWhenUsed/>
    <w:rsid w:val="00F4491D"/>
    <w:pPr>
      <w:keepNext/>
      <w:spacing w:before="0" w:after="0"/>
      <w:jc w:val="right"/>
    </w:pPr>
    <w:rPr>
      <w:color w:val="004A7F"/>
      <w:sz w:val="20"/>
    </w:rPr>
  </w:style>
  <w:style w:type="character" w:customStyle="1" w:styleId="HeaderChar">
    <w:name w:val="Header Char"/>
    <w:basedOn w:val="DefaultParagraphFont"/>
    <w:link w:val="Header"/>
    <w:uiPriority w:val="99"/>
    <w:rsid w:val="00F4491D"/>
    <w:rPr>
      <w:rFonts w:ascii="Calibri Light" w:eastAsia="Times New Roman" w:hAnsi="Calibri Light" w:cs="Times New Roman"/>
      <w:color w:val="004A7F"/>
      <w:sz w:val="20"/>
      <w:szCs w:val="20"/>
      <w:lang w:eastAsia="en-AU"/>
    </w:rPr>
  </w:style>
  <w:style w:type="character" w:styleId="PlaceholderText">
    <w:name w:val="Placeholder Text"/>
    <w:basedOn w:val="DefaultParagraphFont"/>
    <w:uiPriority w:val="99"/>
    <w:semiHidden/>
    <w:rsid w:val="00F4491D"/>
    <w:rPr>
      <w:color w:val="808080"/>
    </w:rPr>
  </w:style>
  <w:style w:type="paragraph" w:customStyle="1" w:styleId="AppendixHeading">
    <w:name w:val="Appendix Heading"/>
    <w:basedOn w:val="Heading1"/>
    <w:next w:val="Normal"/>
    <w:rsid w:val="00F4491D"/>
  </w:style>
  <w:style w:type="paragraph" w:customStyle="1" w:styleId="HeadingBase">
    <w:name w:val="Heading Base"/>
    <w:rsid w:val="00F4491D"/>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F4491D"/>
    <w:rPr>
      <w:rFonts w:ascii="Calibri Light" w:eastAsia="Times New Roman" w:hAnsi="Calibri Light" w:cs="Times New Roman"/>
      <w:color w:val="90B6F0"/>
      <w:sz w:val="32"/>
      <w:szCs w:val="20"/>
      <w:lang w:eastAsia="en-AU"/>
    </w:rPr>
  </w:style>
  <w:style w:type="paragraph" w:customStyle="1" w:styleId="NotesHeading">
    <w:name w:val="Notes Heading"/>
    <w:basedOn w:val="Normal"/>
    <w:rsid w:val="00F4491D"/>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uiPriority w:val="34"/>
    <w:rsid w:val="00F4491D"/>
    <w:pPr>
      <w:ind w:left="720"/>
      <w:contextualSpacing/>
    </w:pPr>
  </w:style>
  <w:style w:type="paragraph" w:customStyle="1" w:styleId="TableTextIndented">
    <w:name w:val="Table Text Indented"/>
    <w:basedOn w:val="TableTextLeft"/>
    <w:rsid w:val="00F4491D"/>
    <w:pPr>
      <w:ind w:left="284"/>
    </w:pPr>
  </w:style>
  <w:style w:type="paragraph" w:customStyle="1" w:styleId="TableHeadingContinued">
    <w:name w:val="Table Heading Continued"/>
    <w:basedOn w:val="TableMainHeading"/>
    <w:next w:val="TableGraphic"/>
    <w:rsid w:val="00F4491D"/>
  </w:style>
  <w:style w:type="paragraph" w:customStyle="1" w:styleId="TableGraphic">
    <w:name w:val="Table Graphic"/>
    <w:basedOn w:val="HeadingBase"/>
    <w:next w:val="Normal"/>
    <w:rsid w:val="00F4491D"/>
    <w:pPr>
      <w:spacing w:after="0"/>
    </w:pPr>
  </w:style>
  <w:style w:type="paragraph" w:customStyle="1" w:styleId="HeaderEven">
    <w:name w:val="Header Even"/>
    <w:basedOn w:val="Header"/>
    <w:qFormat/>
    <w:rsid w:val="00F4491D"/>
    <w:pPr>
      <w:jc w:val="left"/>
    </w:pPr>
    <w:rPr>
      <w:color w:val="002C47"/>
    </w:rPr>
  </w:style>
  <w:style w:type="paragraph" w:customStyle="1" w:styleId="HeaderOdd">
    <w:name w:val="Header Odd"/>
    <w:basedOn w:val="Header"/>
    <w:qFormat/>
    <w:rsid w:val="00F4491D"/>
    <w:rPr>
      <w:color w:val="002C47"/>
    </w:rPr>
  </w:style>
  <w:style w:type="paragraph" w:styleId="FootnoteText">
    <w:name w:val="footnote text"/>
    <w:basedOn w:val="Normal"/>
    <w:link w:val="FootnoteTextChar"/>
    <w:uiPriority w:val="99"/>
    <w:rsid w:val="00F4491D"/>
    <w:pPr>
      <w:spacing w:before="0" w:after="0"/>
      <w:ind w:left="397" w:hanging="397"/>
    </w:pPr>
    <w:rPr>
      <w:sz w:val="20"/>
    </w:rPr>
  </w:style>
  <w:style w:type="character" w:customStyle="1" w:styleId="FootnoteTextChar">
    <w:name w:val="Footnote Text Char"/>
    <w:basedOn w:val="DefaultParagraphFont"/>
    <w:link w:val="FootnoteText"/>
    <w:uiPriority w:val="99"/>
    <w:rsid w:val="00F4491D"/>
    <w:rPr>
      <w:rFonts w:ascii="Calibri Light" w:eastAsia="Times New Roman" w:hAnsi="Calibri Light" w:cs="Times New Roman"/>
      <w:sz w:val="20"/>
      <w:szCs w:val="20"/>
      <w:lang w:eastAsia="en-AU"/>
    </w:rPr>
  </w:style>
  <w:style w:type="character" w:styleId="FootnoteReference">
    <w:name w:val="footnote reference"/>
    <w:basedOn w:val="DefaultParagraphFont"/>
    <w:uiPriority w:val="99"/>
    <w:rsid w:val="00F4491D"/>
    <w:rPr>
      <w:sz w:val="18"/>
    </w:rPr>
  </w:style>
  <w:style w:type="paragraph" w:styleId="BalloonText">
    <w:name w:val="Balloon Text"/>
    <w:basedOn w:val="Normal"/>
    <w:link w:val="BalloonTextChar"/>
    <w:uiPriority w:val="99"/>
    <w:semiHidden/>
    <w:unhideWhenUsed/>
    <w:rsid w:val="00F4491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91D"/>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F4491D"/>
    <w:rPr>
      <w:rFonts w:ascii="Calibri Light" w:eastAsia="Times New Roman" w:hAnsi="Calibri Light" w:cs="Times New Roman"/>
      <w:szCs w:val="20"/>
      <w:lang w:eastAsia="en-AU"/>
    </w:rPr>
  </w:style>
  <w:style w:type="paragraph" w:customStyle="1" w:styleId="Boxbullet">
    <w:name w:val="Box bullet"/>
    <w:basedOn w:val="Bullet"/>
    <w:rsid w:val="00F4491D"/>
    <w:pPr>
      <w:numPr>
        <w:numId w:val="11"/>
      </w:numPr>
      <w:tabs>
        <w:tab w:val="clear" w:pos="283"/>
        <w:tab w:val="num" w:pos="284"/>
        <w:tab w:val="num" w:pos="520"/>
      </w:tabs>
      <w:spacing w:before="60"/>
    </w:pPr>
    <w:rPr>
      <w:color w:val="0D0D0D" w:themeColor="text1" w:themeTint="F2"/>
    </w:rPr>
  </w:style>
  <w:style w:type="paragraph" w:customStyle="1" w:styleId="Boxdash">
    <w:name w:val="Box dash"/>
    <w:basedOn w:val="Dash"/>
    <w:rsid w:val="00F4491D"/>
    <w:pPr>
      <w:numPr>
        <w:numId w:val="11"/>
      </w:numPr>
      <w:tabs>
        <w:tab w:val="clear" w:pos="567"/>
        <w:tab w:val="num" w:pos="1040"/>
      </w:tabs>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F4491D"/>
    <w:pPr>
      <w:numPr>
        <w:numId w:val="11"/>
      </w:numPr>
      <w:tabs>
        <w:tab w:val="clear" w:pos="851"/>
        <w:tab w:val="left" w:pos="567"/>
        <w:tab w:val="num" w:pos="1560"/>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F4491D"/>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F4491D"/>
    <w:rPr>
      <w:sz w:val="16"/>
      <w:szCs w:val="16"/>
    </w:rPr>
  </w:style>
  <w:style w:type="paragraph" w:styleId="CommentText">
    <w:name w:val="annotation text"/>
    <w:basedOn w:val="Normal"/>
    <w:link w:val="CommentTextChar"/>
    <w:uiPriority w:val="99"/>
    <w:unhideWhenUsed/>
    <w:rsid w:val="00F4491D"/>
    <w:rPr>
      <w:rFonts w:ascii="Calibri" w:hAnsi="Calibri"/>
      <w:sz w:val="20"/>
    </w:rPr>
  </w:style>
  <w:style w:type="character" w:customStyle="1" w:styleId="CommentTextChar">
    <w:name w:val="Comment Text Char"/>
    <w:basedOn w:val="DefaultParagraphFont"/>
    <w:link w:val="CommentText"/>
    <w:uiPriority w:val="99"/>
    <w:rsid w:val="00F4491D"/>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F4491D"/>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F4491D"/>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F4491D"/>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F4491D"/>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F4491D"/>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F4491D"/>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F4491D"/>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F4491D"/>
    <w:rPr>
      <w:rFonts w:ascii="Calibri" w:eastAsia="Times New Roman" w:hAnsi="Calibri" w:cs="Calibri"/>
      <w:b/>
      <w:color w:val="FF0000"/>
      <w:sz w:val="24"/>
      <w:szCs w:val="20"/>
      <w:lang w:eastAsia="en-AU"/>
    </w:rPr>
  </w:style>
  <w:style w:type="paragraph" w:customStyle="1" w:styleId="CreativeCommons">
    <w:name w:val="Creative Commons"/>
    <w:qFormat/>
    <w:rsid w:val="00571A20"/>
    <w:pPr>
      <w:spacing w:before="120" w:after="120" w:line="240" w:lineRule="auto"/>
    </w:pPr>
    <w:rPr>
      <w:rFonts w:ascii="Calibri Light" w:eastAsia="Times New Roman" w:hAnsi="Calibri Light" w:cs="Times New Roman"/>
      <w:sz w:val="17"/>
      <w:szCs w:val="16"/>
      <w:lang w:eastAsia="en-AU"/>
    </w:rPr>
  </w:style>
  <w:style w:type="character" w:styleId="Strong">
    <w:name w:val="Strong"/>
    <w:basedOn w:val="DefaultParagraphFont"/>
    <w:qFormat/>
    <w:rsid w:val="003D486F"/>
    <w:rPr>
      <w:b/>
      <w:bCs/>
    </w:rPr>
  </w:style>
  <w:style w:type="paragraph" w:styleId="CommentSubject">
    <w:name w:val="annotation subject"/>
    <w:basedOn w:val="CommentText"/>
    <w:next w:val="CommentText"/>
    <w:link w:val="CommentSubjectChar"/>
    <w:uiPriority w:val="99"/>
    <w:semiHidden/>
    <w:unhideWhenUsed/>
    <w:rsid w:val="000033C8"/>
    <w:rPr>
      <w:b/>
      <w:bCs/>
    </w:rPr>
  </w:style>
  <w:style w:type="character" w:customStyle="1" w:styleId="CommentSubjectChar">
    <w:name w:val="Comment Subject Char"/>
    <w:basedOn w:val="CommentTextChar"/>
    <w:link w:val="CommentSubject"/>
    <w:uiPriority w:val="99"/>
    <w:semiHidden/>
    <w:rsid w:val="000033C8"/>
    <w:rPr>
      <w:rFonts w:ascii="Calibri" w:eastAsia="Times New Roman" w:hAnsi="Calibri" w:cs="Times New Roman"/>
      <w:b/>
      <w:bCs/>
      <w:sz w:val="20"/>
      <w:szCs w:val="20"/>
      <w:lang w:eastAsia="en-AU"/>
    </w:rPr>
  </w:style>
  <w:style w:type="character" w:styleId="FollowedHyperlink">
    <w:name w:val="FollowedHyperlink"/>
    <w:basedOn w:val="DefaultParagraphFont"/>
    <w:uiPriority w:val="99"/>
    <w:semiHidden/>
    <w:unhideWhenUsed/>
    <w:rsid w:val="00E34DAB"/>
    <w:rPr>
      <w:color w:val="844D9E" w:themeColor="followedHyperlink"/>
      <w:u w:val="single"/>
    </w:rPr>
  </w:style>
  <w:style w:type="character" w:styleId="UnresolvedMention">
    <w:name w:val="Unresolved Mention"/>
    <w:basedOn w:val="DefaultParagraphFont"/>
    <w:uiPriority w:val="99"/>
    <w:unhideWhenUsed/>
    <w:rsid w:val="000033C8"/>
    <w:rPr>
      <w:color w:val="605E5C"/>
      <w:shd w:val="clear" w:color="auto" w:fill="E1DFDD"/>
    </w:rPr>
  </w:style>
  <w:style w:type="paragraph" w:styleId="Revision">
    <w:name w:val="Revision"/>
    <w:hidden/>
    <w:uiPriority w:val="99"/>
    <w:semiHidden/>
    <w:rsid w:val="00E34DAB"/>
    <w:pPr>
      <w:spacing w:after="0" w:line="240" w:lineRule="auto"/>
    </w:pPr>
    <w:rPr>
      <w:rFonts w:ascii="Calibri Light" w:eastAsia="Times New Roman" w:hAnsi="Calibri Light" w:cs="Times New Roman"/>
      <w:szCs w:val="20"/>
      <w:lang w:eastAsia="en-AU"/>
    </w:rPr>
  </w:style>
  <w:style w:type="table" w:customStyle="1" w:styleId="TableGrid1">
    <w:name w:val="Table Grid1"/>
    <w:basedOn w:val="TableNormal"/>
    <w:next w:val="TableGrid"/>
    <w:uiPriority w:val="39"/>
    <w:rsid w:val="00E34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utlineNumbered1Char">
    <w:name w:val="Outline Numbered 1 Char"/>
    <w:basedOn w:val="DefaultParagraphFont"/>
    <w:link w:val="OutlineNumbered1"/>
    <w:rsid w:val="00BC6BE2"/>
    <w:rPr>
      <w:rFonts w:ascii="Calibri Light" w:eastAsia="Times New Roman" w:hAnsi="Calibri Light" w:cs="Times New Roman"/>
      <w:szCs w:val="20"/>
      <w:lang w:eastAsia="en-AU"/>
    </w:rPr>
  </w:style>
  <w:style w:type="table" w:customStyle="1" w:styleId="TableGrid2">
    <w:name w:val="Table Grid2"/>
    <w:basedOn w:val="TableNormal"/>
    <w:next w:val="TableGrid"/>
    <w:uiPriority w:val="39"/>
    <w:rsid w:val="00E34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34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34DAB"/>
    <w:pPr>
      <w:keepLines/>
      <w:spacing w:before="240" w:after="0" w:line="259" w:lineRule="auto"/>
      <w:outlineLvl w:val="9"/>
    </w:pPr>
    <w:rPr>
      <w:rFonts w:eastAsiaTheme="majorEastAsia" w:cstheme="majorBidi"/>
      <w:b w:val="0"/>
      <w:color w:val="212937" w:themeColor="accent1" w:themeShade="BF"/>
      <w:kern w:val="0"/>
      <w:sz w:val="32"/>
      <w:szCs w:val="32"/>
      <w:lang w:val="en-US" w:eastAsia="en-US"/>
    </w:rPr>
  </w:style>
  <w:style w:type="table" w:styleId="GridTable5Dark-Accent4">
    <w:name w:val="Grid Table 5 Dark Accent 4"/>
    <w:basedOn w:val="TableNormal"/>
    <w:uiPriority w:val="50"/>
    <w:rsid w:val="001434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CF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F0C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F0C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F0C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F0CF" w:themeFill="accent4"/>
      </w:tcPr>
    </w:tblStylePr>
    <w:tblStylePr w:type="band1Vert">
      <w:tblPr/>
      <w:tcPr>
        <w:shd w:val="clear" w:color="auto" w:fill="DFF9EB" w:themeFill="accent4" w:themeFillTint="66"/>
      </w:tcPr>
    </w:tblStylePr>
    <w:tblStylePr w:type="band1Horz">
      <w:tblPr/>
      <w:tcPr>
        <w:shd w:val="clear" w:color="auto" w:fill="DFF9EB" w:themeFill="accent4" w:themeFillTint="66"/>
      </w:tcPr>
    </w:tblStylePr>
  </w:style>
  <w:style w:type="paragraph" w:customStyle="1" w:styleId="GhostLine">
    <w:name w:val="Ghost Line"/>
    <w:qFormat/>
    <w:rsid w:val="00923DF6"/>
    <w:pPr>
      <w:spacing w:after="0" w:line="240" w:lineRule="auto"/>
    </w:pPr>
    <w:rPr>
      <w:rFonts w:ascii="Calibri Light" w:eastAsia="Times New Roman" w:hAnsi="Calibri Light" w:cs="Times New Roman"/>
      <w:sz w:val="2"/>
      <w:szCs w:val="20"/>
      <w:lang w:eastAsia="en-AU"/>
    </w:rPr>
  </w:style>
  <w:style w:type="table" w:styleId="GridTable1Light-Accent2">
    <w:name w:val="Grid Table 1 Light Accent 2"/>
    <w:basedOn w:val="TableNormal"/>
    <w:uiPriority w:val="46"/>
    <w:rsid w:val="00B54CF6"/>
    <w:pPr>
      <w:spacing w:after="0" w:line="240" w:lineRule="auto"/>
    </w:pPr>
    <w:rPr>
      <w:rFonts w:eastAsiaTheme="minorEastAsia"/>
      <w:sz w:val="24"/>
      <w:szCs w:val="24"/>
      <w:lang w:val="en-US" w:eastAsia="ja-JP"/>
    </w:rPr>
    <w:tblPr>
      <w:tblStyleRowBandSize w:val="1"/>
      <w:tblStyleColBandSize w:val="1"/>
      <w:tblBorders>
        <w:top w:val="single" w:sz="4" w:space="0" w:color="B2CEBF" w:themeColor="accent2" w:themeTint="66"/>
        <w:left w:val="single" w:sz="4" w:space="0" w:color="B2CEBF" w:themeColor="accent2" w:themeTint="66"/>
        <w:bottom w:val="single" w:sz="4" w:space="0" w:color="B2CEBF" w:themeColor="accent2" w:themeTint="66"/>
        <w:right w:val="single" w:sz="4" w:space="0" w:color="B2CEBF" w:themeColor="accent2" w:themeTint="66"/>
        <w:insideH w:val="single" w:sz="4" w:space="0" w:color="B2CEBF" w:themeColor="accent2" w:themeTint="66"/>
        <w:insideV w:val="single" w:sz="4" w:space="0" w:color="B2CEBF" w:themeColor="accent2" w:themeTint="66"/>
      </w:tblBorders>
    </w:tblPr>
    <w:tblStylePr w:type="firstRow">
      <w:rPr>
        <w:b/>
        <w:bCs/>
      </w:rPr>
      <w:tblPr/>
      <w:tcPr>
        <w:tcBorders>
          <w:bottom w:val="single" w:sz="12" w:space="0" w:color="8CB59F" w:themeColor="accent2" w:themeTint="99"/>
        </w:tcBorders>
      </w:tcPr>
    </w:tblStylePr>
    <w:tblStylePr w:type="lastRow">
      <w:rPr>
        <w:b/>
        <w:bCs/>
      </w:rPr>
      <w:tblPr/>
      <w:tcPr>
        <w:tcBorders>
          <w:top w:val="double" w:sz="2" w:space="0" w:color="8CB59F"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7B1691"/>
    <w:rPr>
      <w:rFonts w:ascii="Times New Roman" w:hAnsi="Times New Roman"/>
      <w:sz w:val="24"/>
      <w:szCs w:val="24"/>
    </w:rPr>
  </w:style>
  <w:style w:type="character" w:styleId="Mention">
    <w:name w:val="Mention"/>
    <w:basedOn w:val="DefaultParagraphFont"/>
    <w:uiPriority w:val="99"/>
    <w:unhideWhenUsed/>
    <w:rsid w:val="00150B3B"/>
    <w:rPr>
      <w:color w:val="2B579A"/>
      <w:shd w:val="clear" w:color="auto" w:fill="E1DFDD"/>
    </w:rPr>
  </w:style>
  <w:style w:type="paragraph" w:customStyle="1" w:styleId="TableLink">
    <w:name w:val="Table Link"/>
    <w:basedOn w:val="TableTextLeft"/>
    <w:qFormat/>
    <w:rsid w:val="00F31CD4"/>
    <w:rPr>
      <w:b/>
      <w:color w:val="5D779D" w:themeColor="accent3"/>
      <w:u w:val="single"/>
      <w:lang w:val="en-US"/>
    </w:rPr>
  </w:style>
  <w:style w:type="paragraph" w:customStyle="1" w:styleId="TableLeadAgency">
    <w:name w:val="Table Lead Agency"/>
    <w:basedOn w:val="TableTextLeft"/>
    <w:qFormat/>
    <w:rsid w:val="00FA2B7F"/>
    <w:rPr>
      <w:b/>
      <w:bCs/>
      <w:color w:val="000000" w:themeColor="text1"/>
    </w:rPr>
  </w:style>
  <w:style w:type="paragraph" w:customStyle="1" w:styleId="TableSecondaryAgency">
    <w:name w:val="Table Secondary Agency"/>
    <w:basedOn w:val="TableTextLeft"/>
    <w:qFormat/>
    <w:rsid w:val="00791A91"/>
    <w:rPr>
      <w:bCs/>
      <w:i/>
      <w:iCs/>
      <w:color w:val="000000" w:themeColor="text1"/>
    </w:rPr>
  </w:style>
  <w:style w:type="character" w:styleId="SmartLink">
    <w:name w:val="Smart Link"/>
    <w:basedOn w:val="DefaultParagraphFont"/>
    <w:uiPriority w:val="99"/>
    <w:semiHidden/>
    <w:unhideWhenUsed/>
    <w:rsid w:val="0026209C"/>
    <w:rPr>
      <w:color w:val="0000FF"/>
      <w:u w:val="single"/>
      <w:shd w:val="clear" w:color="auto" w:fill="F3F2F1"/>
    </w:rPr>
  </w:style>
  <w:style w:type="character" w:styleId="Emphasis">
    <w:name w:val="Emphasis"/>
    <w:basedOn w:val="DefaultParagraphFont"/>
    <w:uiPriority w:val="20"/>
    <w:rsid w:val="003D486F"/>
    <w:rPr>
      <w:i/>
      <w:iCs/>
    </w:rPr>
  </w:style>
  <w:style w:type="table" w:customStyle="1" w:styleId="BlueBox">
    <w:name w:val="Blue Box"/>
    <w:basedOn w:val="TableNormal"/>
    <w:uiPriority w:val="99"/>
    <w:rsid w:val="00CE6139"/>
    <w:pPr>
      <w:spacing w:after="0" w:line="240" w:lineRule="auto"/>
    </w:pPr>
    <w:rPr>
      <w:rFonts w:ascii="Calibri" w:hAnsi="Calibri" w:cs="Times New Roman"/>
      <w:sz w:val="20"/>
      <w:szCs w:val="20"/>
    </w:rPr>
    <w:tblPr>
      <w:tblCellMar>
        <w:top w:w="227" w:type="dxa"/>
        <w:left w:w="227" w:type="dxa"/>
        <w:bottom w:w="227" w:type="dxa"/>
        <w:right w:w="227" w:type="dxa"/>
      </w:tblCellMar>
    </w:tblPr>
    <w:tcPr>
      <w:shd w:val="clear" w:color="auto" w:fill="F2F9FC"/>
    </w:tcPr>
  </w:style>
  <w:style w:type="paragraph" w:customStyle="1" w:styleId="TableNoHyerlink">
    <w:name w:val="Table No Hyerlink"/>
    <w:basedOn w:val="TableTextLeft"/>
    <w:link w:val="TableNoHyerlinkChar"/>
    <w:rsid w:val="005726BE"/>
    <w:rPr>
      <w:b/>
      <w:bCs/>
      <w:color w:val="000000" w:themeColor="text1"/>
      <w:lang w:val="en-US"/>
    </w:rPr>
  </w:style>
  <w:style w:type="character" w:customStyle="1" w:styleId="TableTextLeftChar">
    <w:name w:val="Table Text Left Char"/>
    <w:basedOn w:val="DefaultParagraphFont"/>
    <w:link w:val="TableTextLeft"/>
    <w:rsid w:val="00283753"/>
    <w:rPr>
      <w:rFonts w:ascii="Calibri Light" w:eastAsia="Times New Roman" w:hAnsi="Calibri Light" w:cs="Times New Roman"/>
      <w:color w:val="000000"/>
      <w:sz w:val="18"/>
      <w:szCs w:val="20"/>
      <w:lang w:eastAsia="en-AU"/>
    </w:rPr>
  </w:style>
  <w:style w:type="character" w:customStyle="1" w:styleId="TableNoHyerlinkChar">
    <w:name w:val="Table No Hyerlink Char"/>
    <w:basedOn w:val="TableTextLeftChar"/>
    <w:link w:val="TableNoHyerlink"/>
    <w:rsid w:val="005726BE"/>
    <w:rPr>
      <w:rFonts w:ascii="Calibri Light" w:eastAsia="Times New Roman" w:hAnsi="Calibri Light" w:cs="Times New Roman"/>
      <w:b/>
      <w:bCs/>
      <w:color w:val="000000" w:themeColor="text1"/>
      <w:sz w:val="18"/>
      <w:szCs w:val="20"/>
      <w:lang w:val="en-US" w:eastAsia="en-AU"/>
    </w:rPr>
  </w:style>
  <w:style w:type="paragraph" w:styleId="NoSpacing">
    <w:name w:val="No Spacing"/>
    <w:uiPriority w:val="1"/>
    <w:rsid w:val="00ED09F1"/>
    <w:pPr>
      <w:spacing w:after="0" w:line="240" w:lineRule="auto"/>
    </w:pPr>
    <w:rPr>
      <w:rFonts w:ascii="Calibri Light" w:eastAsia="Times New Roman" w:hAnsi="Calibri Light" w:cs="Times New Roman"/>
      <w:szCs w:val="20"/>
      <w:lang w:eastAsia="en-AU"/>
    </w:rPr>
  </w:style>
  <w:style w:type="table" w:customStyle="1" w:styleId="SidebySideChartTable">
    <w:name w:val="Side by Side Chart Table"/>
    <w:basedOn w:val="TableNormal"/>
    <w:uiPriority w:val="99"/>
    <w:rsid w:val="000033C8"/>
    <w:pPr>
      <w:spacing w:after="0" w:line="240" w:lineRule="auto"/>
    </w:pPr>
    <w:tblPr>
      <w:tblStyleRowBandSize w:val="1"/>
      <w:tblStyleColBandSize w:val="1"/>
      <w:tblCellMar>
        <w:left w:w="0" w:type="dxa"/>
        <w:right w:w="0" w:type="dxa"/>
      </w:tblCellMar>
    </w:tblPr>
    <w:trPr>
      <w:cantSplit/>
    </w:trPr>
    <w:tblStylePr w:type="firstRow">
      <w:tblPr/>
      <w:trPr>
        <w:cantSplit/>
        <w:tblHeader/>
      </w:trPr>
    </w:tblStylePr>
  </w:style>
  <w:style w:type="table" w:customStyle="1" w:styleId="BoxStyle">
    <w:name w:val="Box Style"/>
    <w:basedOn w:val="TableNormal"/>
    <w:uiPriority w:val="99"/>
    <w:rsid w:val="000033C8"/>
    <w:pPr>
      <w:spacing w:after="0" w:line="240" w:lineRule="auto"/>
    </w:pPr>
    <w:rPr>
      <w:sz w:val="20"/>
    </w:rPr>
    <w:tblPr>
      <w:tblCellMar>
        <w:top w:w="284" w:type="dxa"/>
        <w:left w:w="284" w:type="dxa"/>
        <w:bottom w:w="284" w:type="dxa"/>
        <w:right w:w="284" w:type="dxa"/>
      </w:tblCellMar>
    </w:tblPr>
    <w:tcPr>
      <w:shd w:val="clear" w:color="auto" w:fill="EEEEEE" w:themeFill="background2"/>
    </w:tcPr>
  </w:style>
  <w:style w:type="table" w:styleId="PlainTable4">
    <w:name w:val="Plain Table 4"/>
    <w:basedOn w:val="TableNormal"/>
    <w:uiPriority w:val="44"/>
    <w:rsid w:val="004C7F6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ewInitiative">
    <w:name w:val="New Initiative"/>
    <w:basedOn w:val="Normal"/>
    <w:link w:val="NewInitiativeChar"/>
    <w:qFormat/>
    <w:rsid w:val="0042770D"/>
    <w:pPr>
      <w:spacing w:after="0"/>
    </w:pPr>
    <w:rPr>
      <w:b/>
      <w:color w:val="4D7861" w:themeColor="accent2"/>
      <w:sz w:val="20"/>
    </w:rPr>
  </w:style>
  <w:style w:type="character" w:customStyle="1" w:styleId="NewInitiativeChar">
    <w:name w:val="New Initiative Char"/>
    <w:basedOn w:val="DefaultParagraphFont"/>
    <w:link w:val="NewInitiative"/>
    <w:rsid w:val="0042770D"/>
    <w:rPr>
      <w:rFonts w:ascii="Calibri Light" w:eastAsia="Times New Roman" w:hAnsi="Calibri Light" w:cs="Times New Roman"/>
      <w:b/>
      <w:color w:val="4D7861" w:themeColor="accent2"/>
      <w:sz w:val="20"/>
      <w:szCs w:val="20"/>
      <w:lang w:eastAsia="en-AU"/>
    </w:rPr>
  </w:style>
  <w:style w:type="character" w:customStyle="1" w:styleId="normaltextrun">
    <w:name w:val="normaltextrun"/>
    <w:basedOn w:val="DefaultParagraphFont"/>
    <w:rsid w:val="00761977"/>
  </w:style>
  <w:style w:type="character" w:customStyle="1" w:styleId="eop">
    <w:name w:val="eop"/>
    <w:basedOn w:val="DefaultParagraphFont"/>
    <w:rsid w:val="00761977"/>
  </w:style>
  <w:style w:type="character" w:customStyle="1" w:styleId="cf01">
    <w:name w:val="cf01"/>
    <w:basedOn w:val="DefaultParagraphFont"/>
    <w:rsid w:val="00761977"/>
    <w:rPr>
      <w:rFonts w:ascii="Segoe UI" w:hAnsi="Segoe UI" w:cs="Segoe UI" w:hint="default"/>
      <w:i/>
      <w:iCs/>
      <w:sz w:val="18"/>
      <w:szCs w:val="18"/>
    </w:rPr>
  </w:style>
  <w:style w:type="character" w:customStyle="1" w:styleId="cf11">
    <w:name w:val="cf11"/>
    <w:basedOn w:val="DefaultParagraphFont"/>
    <w:rsid w:val="0076197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7376">
      <w:bodyDiv w:val="1"/>
      <w:marLeft w:val="0"/>
      <w:marRight w:val="0"/>
      <w:marTop w:val="0"/>
      <w:marBottom w:val="0"/>
      <w:divBdr>
        <w:top w:val="none" w:sz="0" w:space="0" w:color="auto"/>
        <w:left w:val="none" w:sz="0" w:space="0" w:color="auto"/>
        <w:bottom w:val="none" w:sz="0" w:space="0" w:color="auto"/>
        <w:right w:val="none" w:sz="0" w:space="0" w:color="auto"/>
      </w:divBdr>
    </w:div>
    <w:div w:id="12583807">
      <w:bodyDiv w:val="1"/>
      <w:marLeft w:val="0"/>
      <w:marRight w:val="0"/>
      <w:marTop w:val="0"/>
      <w:marBottom w:val="0"/>
      <w:divBdr>
        <w:top w:val="none" w:sz="0" w:space="0" w:color="auto"/>
        <w:left w:val="none" w:sz="0" w:space="0" w:color="auto"/>
        <w:bottom w:val="none" w:sz="0" w:space="0" w:color="auto"/>
        <w:right w:val="none" w:sz="0" w:space="0" w:color="auto"/>
      </w:divBdr>
    </w:div>
    <w:div w:id="15541807">
      <w:bodyDiv w:val="1"/>
      <w:marLeft w:val="0"/>
      <w:marRight w:val="0"/>
      <w:marTop w:val="0"/>
      <w:marBottom w:val="0"/>
      <w:divBdr>
        <w:top w:val="none" w:sz="0" w:space="0" w:color="auto"/>
        <w:left w:val="none" w:sz="0" w:space="0" w:color="auto"/>
        <w:bottom w:val="none" w:sz="0" w:space="0" w:color="auto"/>
        <w:right w:val="none" w:sz="0" w:space="0" w:color="auto"/>
      </w:divBdr>
    </w:div>
    <w:div w:id="22168240">
      <w:bodyDiv w:val="1"/>
      <w:marLeft w:val="0"/>
      <w:marRight w:val="0"/>
      <w:marTop w:val="0"/>
      <w:marBottom w:val="0"/>
      <w:divBdr>
        <w:top w:val="none" w:sz="0" w:space="0" w:color="auto"/>
        <w:left w:val="none" w:sz="0" w:space="0" w:color="auto"/>
        <w:bottom w:val="none" w:sz="0" w:space="0" w:color="auto"/>
        <w:right w:val="none" w:sz="0" w:space="0" w:color="auto"/>
      </w:divBdr>
    </w:div>
    <w:div w:id="147598561">
      <w:bodyDiv w:val="1"/>
      <w:marLeft w:val="0"/>
      <w:marRight w:val="0"/>
      <w:marTop w:val="0"/>
      <w:marBottom w:val="0"/>
      <w:divBdr>
        <w:top w:val="none" w:sz="0" w:space="0" w:color="auto"/>
        <w:left w:val="none" w:sz="0" w:space="0" w:color="auto"/>
        <w:bottom w:val="none" w:sz="0" w:space="0" w:color="auto"/>
        <w:right w:val="none" w:sz="0" w:space="0" w:color="auto"/>
      </w:divBdr>
    </w:div>
    <w:div w:id="189729958">
      <w:bodyDiv w:val="1"/>
      <w:marLeft w:val="0"/>
      <w:marRight w:val="0"/>
      <w:marTop w:val="0"/>
      <w:marBottom w:val="0"/>
      <w:divBdr>
        <w:top w:val="none" w:sz="0" w:space="0" w:color="auto"/>
        <w:left w:val="none" w:sz="0" w:space="0" w:color="auto"/>
        <w:bottom w:val="none" w:sz="0" w:space="0" w:color="auto"/>
        <w:right w:val="none" w:sz="0" w:space="0" w:color="auto"/>
      </w:divBdr>
    </w:div>
    <w:div w:id="258803939">
      <w:bodyDiv w:val="1"/>
      <w:marLeft w:val="0"/>
      <w:marRight w:val="0"/>
      <w:marTop w:val="0"/>
      <w:marBottom w:val="0"/>
      <w:divBdr>
        <w:top w:val="none" w:sz="0" w:space="0" w:color="auto"/>
        <w:left w:val="none" w:sz="0" w:space="0" w:color="auto"/>
        <w:bottom w:val="none" w:sz="0" w:space="0" w:color="auto"/>
        <w:right w:val="none" w:sz="0" w:space="0" w:color="auto"/>
      </w:divBdr>
    </w:div>
    <w:div w:id="292904664">
      <w:bodyDiv w:val="1"/>
      <w:marLeft w:val="0"/>
      <w:marRight w:val="0"/>
      <w:marTop w:val="0"/>
      <w:marBottom w:val="0"/>
      <w:divBdr>
        <w:top w:val="none" w:sz="0" w:space="0" w:color="auto"/>
        <w:left w:val="none" w:sz="0" w:space="0" w:color="auto"/>
        <w:bottom w:val="none" w:sz="0" w:space="0" w:color="auto"/>
        <w:right w:val="none" w:sz="0" w:space="0" w:color="auto"/>
      </w:divBdr>
      <w:divsChild>
        <w:div w:id="215052717">
          <w:marLeft w:val="0"/>
          <w:marRight w:val="0"/>
          <w:marTop w:val="0"/>
          <w:marBottom w:val="0"/>
          <w:divBdr>
            <w:top w:val="none" w:sz="0" w:space="0" w:color="auto"/>
            <w:left w:val="none" w:sz="0" w:space="0" w:color="auto"/>
            <w:bottom w:val="none" w:sz="0" w:space="0" w:color="auto"/>
            <w:right w:val="none" w:sz="0" w:space="0" w:color="auto"/>
          </w:divBdr>
        </w:div>
      </w:divsChild>
    </w:div>
    <w:div w:id="293024975">
      <w:bodyDiv w:val="1"/>
      <w:marLeft w:val="0"/>
      <w:marRight w:val="0"/>
      <w:marTop w:val="0"/>
      <w:marBottom w:val="0"/>
      <w:divBdr>
        <w:top w:val="none" w:sz="0" w:space="0" w:color="auto"/>
        <w:left w:val="none" w:sz="0" w:space="0" w:color="auto"/>
        <w:bottom w:val="none" w:sz="0" w:space="0" w:color="auto"/>
        <w:right w:val="none" w:sz="0" w:space="0" w:color="auto"/>
      </w:divBdr>
    </w:div>
    <w:div w:id="304817549">
      <w:bodyDiv w:val="1"/>
      <w:marLeft w:val="0"/>
      <w:marRight w:val="0"/>
      <w:marTop w:val="0"/>
      <w:marBottom w:val="0"/>
      <w:divBdr>
        <w:top w:val="none" w:sz="0" w:space="0" w:color="auto"/>
        <w:left w:val="none" w:sz="0" w:space="0" w:color="auto"/>
        <w:bottom w:val="none" w:sz="0" w:space="0" w:color="auto"/>
        <w:right w:val="none" w:sz="0" w:space="0" w:color="auto"/>
      </w:divBdr>
    </w:div>
    <w:div w:id="324013216">
      <w:bodyDiv w:val="1"/>
      <w:marLeft w:val="0"/>
      <w:marRight w:val="0"/>
      <w:marTop w:val="0"/>
      <w:marBottom w:val="0"/>
      <w:divBdr>
        <w:top w:val="none" w:sz="0" w:space="0" w:color="auto"/>
        <w:left w:val="none" w:sz="0" w:space="0" w:color="auto"/>
        <w:bottom w:val="none" w:sz="0" w:space="0" w:color="auto"/>
        <w:right w:val="none" w:sz="0" w:space="0" w:color="auto"/>
      </w:divBdr>
    </w:div>
    <w:div w:id="324095186">
      <w:bodyDiv w:val="1"/>
      <w:marLeft w:val="0"/>
      <w:marRight w:val="0"/>
      <w:marTop w:val="0"/>
      <w:marBottom w:val="0"/>
      <w:divBdr>
        <w:top w:val="none" w:sz="0" w:space="0" w:color="auto"/>
        <w:left w:val="none" w:sz="0" w:space="0" w:color="auto"/>
        <w:bottom w:val="none" w:sz="0" w:space="0" w:color="auto"/>
        <w:right w:val="none" w:sz="0" w:space="0" w:color="auto"/>
      </w:divBdr>
    </w:div>
    <w:div w:id="344597527">
      <w:bodyDiv w:val="1"/>
      <w:marLeft w:val="0"/>
      <w:marRight w:val="0"/>
      <w:marTop w:val="0"/>
      <w:marBottom w:val="0"/>
      <w:divBdr>
        <w:top w:val="none" w:sz="0" w:space="0" w:color="auto"/>
        <w:left w:val="none" w:sz="0" w:space="0" w:color="auto"/>
        <w:bottom w:val="none" w:sz="0" w:space="0" w:color="auto"/>
        <w:right w:val="none" w:sz="0" w:space="0" w:color="auto"/>
      </w:divBdr>
    </w:div>
    <w:div w:id="366609725">
      <w:bodyDiv w:val="1"/>
      <w:marLeft w:val="0"/>
      <w:marRight w:val="0"/>
      <w:marTop w:val="0"/>
      <w:marBottom w:val="0"/>
      <w:divBdr>
        <w:top w:val="none" w:sz="0" w:space="0" w:color="auto"/>
        <w:left w:val="none" w:sz="0" w:space="0" w:color="auto"/>
        <w:bottom w:val="none" w:sz="0" w:space="0" w:color="auto"/>
        <w:right w:val="none" w:sz="0" w:space="0" w:color="auto"/>
      </w:divBdr>
      <w:divsChild>
        <w:div w:id="502353406">
          <w:marLeft w:val="0"/>
          <w:marRight w:val="0"/>
          <w:marTop w:val="0"/>
          <w:marBottom w:val="0"/>
          <w:divBdr>
            <w:top w:val="none" w:sz="0" w:space="0" w:color="auto"/>
            <w:left w:val="none" w:sz="0" w:space="0" w:color="auto"/>
            <w:bottom w:val="none" w:sz="0" w:space="0" w:color="auto"/>
            <w:right w:val="none" w:sz="0" w:space="0" w:color="auto"/>
          </w:divBdr>
        </w:div>
      </w:divsChild>
    </w:div>
    <w:div w:id="380443237">
      <w:bodyDiv w:val="1"/>
      <w:marLeft w:val="0"/>
      <w:marRight w:val="0"/>
      <w:marTop w:val="0"/>
      <w:marBottom w:val="0"/>
      <w:divBdr>
        <w:top w:val="none" w:sz="0" w:space="0" w:color="auto"/>
        <w:left w:val="none" w:sz="0" w:space="0" w:color="auto"/>
        <w:bottom w:val="none" w:sz="0" w:space="0" w:color="auto"/>
        <w:right w:val="none" w:sz="0" w:space="0" w:color="auto"/>
      </w:divBdr>
      <w:divsChild>
        <w:div w:id="769130973">
          <w:marLeft w:val="0"/>
          <w:marRight w:val="0"/>
          <w:marTop w:val="0"/>
          <w:marBottom w:val="0"/>
          <w:divBdr>
            <w:top w:val="none" w:sz="0" w:space="0" w:color="auto"/>
            <w:left w:val="none" w:sz="0" w:space="0" w:color="auto"/>
            <w:bottom w:val="none" w:sz="0" w:space="0" w:color="auto"/>
            <w:right w:val="none" w:sz="0" w:space="0" w:color="auto"/>
          </w:divBdr>
        </w:div>
      </w:divsChild>
    </w:div>
    <w:div w:id="394357681">
      <w:bodyDiv w:val="1"/>
      <w:marLeft w:val="0"/>
      <w:marRight w:val="0"/>
      <w:marTop w:val="0"/>
      <w:marBottom w:val="0"/>
      <w:divBdr>
        <w:top w:val="none" w:sz="0" w:space="0" w:color="auto"/>
        <w:left w:val="none" w:sz="0" w:space="0" w:color="auto"/>
        <w:bottom w:val="none" w:sz="0" w:space="0" w:color="auto"/>
        <w:right w:val="none" w:sz="0" w:space="0" w:color="auto"/>
      </w:divBdr>
    </w:div>
    <w:div w:id="398594926">
      <w:bodyDiv w:val="1"/>
      <w:marLeft w:val="0"/>
      <w:marRight w:val="0"/>
      <w:marTop w:val="0"/>
      <w:marBottom w:val="0"/>
      <w:divBdr>
        <w:top w:val="none" w:sz="0" w:space="0" w:color="auto"/>
        <w:left w:val="none" w:sz="0" w:space="0" w:color="auto"/>
        <w:bottom w:val="none" w:sz="0" w:space="0" w:color="auto"/>
        <w:right w:val="none" w:sz="0" w:space="0" w:color="auto"/>
      </w:divBdr>
      <w:divsChild>
        <w:div w:id="341517649">
          <w:marLeft w:val="0"/>
          <w:marRight w:val="0"/>
          <w:marTop w:val="0"/>
          <w:marBottom w:val="0"/>
          <w:divBdr>
            <w:top w:val="none" w:sz="0" w:space="0" w:color="auto"/>
            <w:left w:val="none" w:sz="0" w:space="0" w:color="auto"/>
            <w:bottom w:val="none" w:sz="0" w:space="0" w:color="auto"/>
            <w:right w:val="none" w:sz="0" w:space="0" w:color="auto"/>
          </w:divBdr>
        </w:div>
      </w:divsChild>
    </w:div>
    <w:div w:id="446507413">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70707414">
      <w:bodyDiv w:val="1"/>
      <w:marLeft w:val="0"/>
      <w:marRight w:val="0"/>
      <w:marTop w:val="0"/>
      <w:marBottom w:val="0"/>
      <w:divBdr>
        <w:top w:val="none" w:sz="0" w:space="0" w:color="auto"/>
        <w:left w:val="none" w:sz="0" w:space="0" w:color="auto"/>
        <w:bottom w:val="none" w:sz="0" w:space="0" w:color="auto"/>
        <w:right w:val="none" w:sz="0" w:space="0" w:color="auto"/>
      </w:divBdr>
    </w:div>
    <w:div w:id="476849342">
      <w:bodyDiv w:val="1"/>
      <w:marLeft w:val="0"/>
      <w:marRight w:val="0"/>
      <w:marTop w:val="0"/>
      <w:marBottom w:val="0"/>
      <w:divBdr>
        <w:top w:val="none" w:sz="0" w:space="0" w:color="auto"/>
        <w:left w:val="none" w:sz="0" w:space="0" w:color="auto"/>
        <w:bottom w:val="none" w:sz="0" w:space="0" w:color="auto"/>
        <w:right w:val="none" w:sz="0" w:space="0" w:color="auto"/>
      </w:divBdr>
      <w:divsChild>
        <w:div w:id="765736629">
          <w:marLeft w:val="0"/>
          <w:marRight w:val="0"/>
          <w:marTop w:val="0"/>
          <w:marBottom w:val="0"/>
          <w:divBdr>
            <w:top w:val="none" w:sz="0" w:space="0" w:color="auto"/>
            <w:left w:val="none" w:sz="0" w:space="0" w:color="auto"/>
            <w:bottom w:val="none" w:sz="0" w:space="0" w:color="auto"/>
            <w:right w:val="none" w:sz="0" w:space="0" w:color="auto"/>
          </w:divBdr>
        </w:div>
        <w:div w:id="1131635212">
          <w:marLeft w:val="0"/>
          <w:marRight w:val="0"/>
          <w:marTop w:val="0"/>
          <w:marBottom w:val="0"/>
          <w:divBdr>
            <w:top w:val="none" w:sz="0" w:space="0" w:color="auto"/>
            <w:left w:val="none" w:sz="0" w:space="0" w:color="auto"/>
            <w:bottom w:val="none" w:sz="0" w:space="0" w:color="auto"/>
            <w:right w:val="none" w:sz="0" w:space="0" w:color="auto"/>
          </w:divBdr>
        </w:div>
        <w:div w:id="1562213144">
          <w:marLeft w:val="0"/>
          <w:marRight w:val="0"/>
          <w:marTop w:val="0"/>
          <w:marBottom w:val="0"/>
          <w:divBdr>
            <w:top w:val="none" w:sz="0" w:space="0" w:color="auto"/>
            <w:left w:val="none" w:sz="0" w:space="0" w:color="auto"/>
            <w:bottom w:val="none" w:sz="0" w:space="0" w:color="auto"/>
            <w:right w:val="none" w:sz="0" w:space="0" w:color="auto"/>
          </w:divBdr>
        </w:div>
        <w:div w:id="1731415269">
          <w:marLeft w:val="0"/>
          <w:marRight w:val="0"/>
          <w:marTop w:val="0"/>
          <w:marBottom w:val="0"/>
          <w:divBdr>
            <w:top w:val="none" w:sz="0" w:space="0" w:color="auto"/>
            <w:left w:val="none" w:sz="0" w:space="0" w:color="auto"/>
            <w:bottom w:val="none" w:sz="0" w:space="0" w:color="auto"/>
            <w:right w:val="none" w:sz="0" w:space="0" w:color="auto"/>
          </w:divBdr>
        </w:div>
      </w:divsChild>
    </w:div>
    <w:div w:id="497767034">
      <w:bodyDiv w:val="1"/>
      <w:marLeft w:val="0"/>
      <w:marRight w:val="0"/>
      <w:marTop w:val="0"/>
      <w:marBottom w:val="0"/>
      <w:divBdr>
        <w:top w:val="none" w:sz="0" w:space="0" w:color="auto"/>
        <w:left w:val="none" w:sz="0" w:space="0" w:color="auto"/>
        <w:bottom w:val="none" w:sz="0" w:space="0" w:color="auto"/>
        <w:right w:val="none" w:sz="0" w:space="0" w:color="auto"/>
      </w:divBdr>
    </w:div>
    <w:div w:id="648949132">
      <w:bodyDiv w:val="1"/>
      <w:marLeft w:val="0"/>
      <w:marRight w:val="0"/>
      <w:marTop w:val="0"/>
      <w:marBottom w:val="0"/>
      <w:divBdr>
        <w:top w:val="none" w:sz="0" w:space="0" w:color="auto"/>
        <w:left w:val="none" w:sz="0" w:space="0" w:color="auto"/>
        <w:bottom w:val="none" w:sz="0" w:space="0" w:color="auto"/>
        <w:right w:val="none" w:sz="0" w:space="0" w:color="auto"/>
      </w:divBdr>
    </w:div>
    <w:div w:id="685139084">
      <w:bodyDiv w:val="1"/>
      <w:marLeft w:val="0"/>
      <w:marRight w:val="0"/>
      <w:marTop w:val="0"/>
      <w:marBottom w:val="0"/>
      <w:divBdr>
        <w:top w:val="none" w:sz="0" w:space="0" w:color="auto"/>
        <w:left w:val="none" w:sz="0" w:space="0" w:color="auto"/>
        <w:bottom w:val="none" w:sz="0" w:space="0" w:color="auto"/>
        <w:right w:val="none" w:sz="0" w:space="0" w:color="auto"/>
      </w:divBdr>
    </w:div>
    <w:div w:id="718209180">
      <w:bodyDiv w:val="1"/>
      <w:marLeft w:val="0"/>
      <w:marRight w:val="0"/>
      <w:marTop w:val="0"/>
      <w:marBottom w:val="0"/>
      <w:divBdr>
        <w:top w:val="none" w:sz="0" w:space="0" w:color="auto"/>
        <w:left w:val="none" w:sz="0" w:space="0" w:color="auto"/>
        <w:bottom w:val="none" w:sz="0" w:space="0" w:color="auto"/>
        <w:right w:val="none" w:sz="0" w:space="0" w:color="auto"/>
      </w:divBdr>
    </w:div>
    <w:div w:id="730883495">
      <w:bodyDiv w:val="1"/>
      <w:marLeft w:val="0"/>
      <w:marRight w:val="0"/>
      <w:marTop w:val="0"/>
      <w:marBottom w:val="0"/>
      <w:divBdr>
        <w:top w:val="none" w:sz="0" w:space="0" w:color="auto"/>
        <w:left w:val="none" w:sz="0" w:space="0" w:color="auto"/>
        <w:bottom w:val="none" w:sz="0" w:space="0" w:color="auto"/>
        <w:right w:val="none" w:sz="0" w:space="0" w:color="auto"/>
      </w:divBdr>
    </w:div>
    <w:div w:id="738745502">
      <w:bodyDiv w:val="1"/>
      <w:marLeft w:val="0"/>
      <w:marRight w:val="0"/>
      <w:marTop w:val="0"/>
      <w:marBottom w:val="0"/>
      <w:divBdr>
        <w:top w:val="none" w:sz="0" w:space="0" w:color="auto"/>
        <w:left w:val="none" w:sz="0" w:space="0" w:color="auto"/>
        <w:bottom w:val="none" w:sz="0" w:space="0" w:color="auto"/>
        <w:right w:val="none" w:sz="0" w:space="0" w:color="auto"/>
      </w:divBdr>
    </w:div>
    <w:div w:id="761994578">
      <w:bodyDiv w:val="1"/>
      <w:marLeft w:val="0"/>
      <w:marRight w:val="0"/>
      <w:marTop w:val="0"/>
      <w:marBottom w:val="0"/>
      <w:divBdr>
        <w:top w:val="none" w:sz="0" w:space="0" w:color="auto"/>
        <w:left w:val="none" w:sz="0" w:space="0" w:color="auto"/>
        <w:bottom w:val="none" w:sz="0" w:space="0" w:color="auto"/>
        <w:right w:val="none" w:sz="0" w:space="0" w:color="auto"/>
      </w:divBdr>
    </w:div>
    <w:div w:id="788163026">
      <w:bodyDiv w:val="1"/>
      <w:marLeft w:val="0"/>
      <w:marRight w:val="0"/>
      <w:marTop w:val="0"/>
      <w:marBottom w:val="0"/>
      <w:divBdr>
        <w:top w:val="none" w:sz="0" w:space="0" w:color="auto"/>
        <w:left w:val="none" w:sz="0" w:space="0" w:color="auto"/>
        <w:bottom w:val="none" w:sz="0" w:space="0" w:color="auto"/>
        <w:right w:val="none" w:sz="0" w:space="0" w:color="auto"/>
      </w:divBdr>
    </w:div>
    <w:div w:id="808205160">
      <w:bodyDiv w:val="1"/>
      <w:marLeft w:val="0"/>
      <w:marRight w:val="0"/>
      <w:marTop w:val="0"/>
      <w:marBottom w:val="0"/>
      <w:divBdr>
        <w:top w:val="none" w:sz="0" w:space="0" w:color="auto"/>
        <w:left w:val="none" w:sz="0" w:space="0" w:color="auto"/>
        <w:bottom w:val="none" w:sz="0" w:space="0" w:color="auto"/>
        <w:right w:val="none" w:sz="0" w:space="0" w:color="auto"/>
      </w:divBdr>
      <w:divsChild>
        <w:div w:id="2118479294">
          <w:marLeft w:val="0"/>
          <w:marRight w:val="0"/>
          <w:marTop w:val="0"/>
          <w:marBottom w:val="0"/>
          <w:divBdr>
            <w:top w:val="none" w:sz="0" w:space="0" w:color="auto"/>
            <w:left w:val="none" w:sz="0" w:space="0" w:color="auto"/>
            <w:bottom w:val="none" w:sz="0" w:space="0" w:color="auto"/>
            <w:right w:val="none" w:sz="0" w:space="0" w:color="auto"/>
          </w:divBdr>
        </w:div>
      </w:divsChild>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29179080">
      <w:bodyDiv w:val="1"/>
      <w:marLeft w:val="0"/>
      <w:marRight w:val="0"/>
      <w:marTop w:val="0"/>
      <w:marBottom w:val="0"/>
      <w:divBdr>
        <w:top w:val="none" w:sz="0" w:space="0" w:color="auto"/>
        <w:left w:val="none" w:sz="0" w:space="0" w:color="auto"/>
        <w:bottom w:val="none" w:sz="0" w:space="0" w:color="auto"/>
        <w:right w:val="none" w:sz="0" w:space="0" w:color="auto"/>
      </w:divBdr>
    </w:div>
    <w:div w:id="83017401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54">
          <w:marLeft w:val="0"/>
          <w:marRight w:val="0"/>
          <w:marTop w:val="0"/>
          <w:marBottom w:val="0"/>
          <w:divBdr>
            <w:top w:val="none" w:sz="0" w:space="0" w:color="auto"/>
            <w:left w:val="none" w:sz="0" w:space="0" w:color="auto"/>
            <w:bottom w:val="none" w:sz="0" w:space="0" w:color="auto"/>
            <w:right w:val="none" w:sz="0" w:space="0" w:color="auto"/>
          </w:divBdr>
        </w:div>
      </w:divsChild>
    </w:div>
    <w:div w:id="836531017">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886457192">
      <w:bodyDiv w:val="1"/>
      <w:marLeft w:val="0"/>
      <w:marRight w:val="0"/>
      <w:marTop w:val="0"/>
      <w:marBottom w:val="0"/>
      <w:divBdr>
        <w:top w:val="none" w:sz="0" w:space="0" w:color="auto"/>
        <w:left w:val="none" w:sz="0" w:space="0" w:color="auto"/>
        <w:bottom w:val="none" w:sz="0" w:space="0" w:color="auto"/>
        <w:right w:val="none" w:sz="0" w:space="0" w:color="auto"/>
      </w:divBdr>
    </w:div>
    <w:div w:id="899636742">
      <w:bodyDiv w:val="1"/>
      <w:marLeft w:val="0"/>
      <w:marRight w:val="0"/>
      <w:marTop w:val="0"/>
      <w:marBottom w:val="0"/>
      <w:divBdr>
        <w:top w:val="none" w:sz="0" w:space="0" w:color="auto"/>
        <w:left w:val="none" w:sz="0" w:space="0" w:color="auto"/>
        <w:bottom w:val="none" w:sz="0" w:space="0" w:color="auto"/>
        <w:right w:val="none" w:sz="0" w:space="0" w:color="auto"/>
      </w:divBdr>
      <w:divsChild>
        <w:div w:id="287470798">
          <w:marLeft w:val="0"/>
          <w:marRight w:val="0"/>
          <w:marTop w:val="0"/>
          <w:marBottom w:val="0"/>
          <w:divBdr>
            <w:top w:val="none" w:sz="0" w:space="0" w:color="auto"/>
            <w:left w:val="none" w:sz="0" w:space="0" w:color="auto"/>
            <w:bottom w:val="none" w:sz="0" w:space="0" w:color="auto"/>
            <w:right w:val="none" w:sz="0" w:space="0" w:color="auto"/>
          </w:divBdr>
        </w:div>
        <w:div w:id="662469138">
          <w:marLeft w:val="0"/>
          <w:marRight w:val="0"/>
          <w:marTop w:val="0"/>
          <w:marBottom w:val="0"/>
          <w:divBdr>
            <w:top w:val="none" w:sz="0" w:space="0" w:color="auto"/>
            <w:left w:val="none" w:sz="0" w:space="0" w:color="auto"/>
            <w:bottom w:val="none" w:sz="0" w:space="0" w:color="auto"/>
            <w:right w:val="none" w:sz="0" w:space="0" w:color="auto"/>
          </w:divBdr>
        </w:div>
        <w:div w:id="847987286">
          <w:marLeft w:val="0"/>
          <w:marRight w:val="0"/>
          <w:marTop w:val="0"/>
          <w:marBottom w:val="0"/>
          <w:divBdr>
            <w:top w:val="none" w:sz="0" w:space="0" w:color="auto"/>
            <w:left w:val="none" w:sz="0" w:space="0" w:color="auto"/>
            <w:bottom w:val="none" w:sz="0" w:space="0" w:color="auto"/>
            <w:right w:val="none" w:sz="0" w:space="0" w:color="auto"/>
          </w:divBdr>
        </w:div>
        <w:div w:id="1400904158">
          <w:marLeft w:val="0"/>
          <w:marRight w:val="0"/>
          <w:marTop w:val="0"/>
          <w:marBottom w:val="0"/>
          <w:divBdr>
            <w:top w:val="none" w:sz="0" w:space="0" w:color="auto"/>
            <w:left w:val="none" w:sz="0" w:space="0" w:color="auto"/>
            <w:bottom w:val="none" w:sz="0" w:space="0" w:color="auto"/>
            <w:right w:val="none" w:sz="0" w:space="0" w:color="auto"/>
          </w:divBdr>
        </w:div>
      </w:divsChild>
    </w:div>
    <w:div w:id="916669925">
      <w:bodyDiv w:val="1"/>
      <w:marLeft w:val="0"/>
      <w:marRight w:val="0"/>
      <w:marTop w:val="0"/>
      <w:marBottom w:val="0"/>
      <w:divBdr>
        <w:top w:val="none" w:sz="0" w:space="0" w:color="auto"/>
        <w:left w:val="none" w:sz="0" w:space="0" w:color="auto"/>
        <w:bottom w:val="none" w:sz="0" w:space="0" w:color="auto"/>
        <w:right w:val="none" w:sz="0" w:space="0" w:color="auto"/>
      </w:divBdr>
      <w:divsChild>
        <w:div w:id="1252280126">
          <w:marLeft w:val="0"/>
          <w:marRight w:val="0"/>
          <w:marTop w:val="0"/>
          <w:marBottom w:val="0"/>
          <w:divBdr>
            <w:top w:val="none" w:sz="0" w:space="0" w:color="auto"/>
            <w:left w:val="none" w:sz="0" w:space="0" w:color="auto"/>
            <w:bottom w:val="none" w:sz="0" w:space="0" w:color="auto"/>
            <w:right w:val="none" w:sz="0" w:space="0" w:color="auto"/>
          </w:divBdr>
        </w:div>
      </w:divsChild>
    </w:div>
    <w:div w:id="955646287">
      <w:bodyDiv w:val="1"/>
      <w:marLeft w:val="0"/>
      <w:marRight w:val="0"/>
      <w:marTop w:val="0"/>
      <w:marBottom w:val="0"/>
      <w:divBdr>
        <w:top w:val="none" w:sz="0" w:space="0" w:color="auto"/>
        <w:left w:val="none" w:sz="0" w:space="0" w:color="auto"/>
        <w:bottom w:val="none" w:sz="0" w:space="0" w:color="auto"/>
        <w:right w:val="none" w:sz="0" w:space="0" w:color="auto"/>
      </w:divBdr>
    </w:div>
    <w:div w:id="956180921">
      <w:bodyDiv w:val="1"/>
      <w:marLeft w:val="0"/>
      <w:marRight w:val="0"/>
      <w:marTop w:val="0"/>
      <w:marBottom w:val="0"/>
      <w:divBdr>
        <w:top w:val="none" w:sz="0" w:space="0" w:color="auto"/>
        <w:left w:val="none" w:sz="0" w:space="0" w:color="auto"/>
        <w:bottom w:val="none" w:sz="0" w:space="0" w:color="auto"/>
        <w:right w:val="none" w:sz="0" w:space="0" w:color="auto"/>
      </w:divBdr>
    </w:div>
    <w:div w:id="962270262">
      <w:bodyDiv w:val="1"/>
      <w:marLeft w:val="0"/>
      <w:marRight w:val="0"/>
      <w:marTop w:val="0"/>
      <w:marBottom w:val="0"/>
      <w:divBdr>
        <w:top w:val="none" w:sz="0" w:space="0" w:color="auto"/>
        <w:left w:val="none" w:sz="0" w:space="0" w:color="auto"/>
        <w:bottom w:val="none" w:sz="0" w:space="0" w:color="auto"/>
        <w:right w:val="none" w:sz="0" w:space="0" w:color="auto"/>
      </w:divBdr>
    </w:div>
    <w:div w:id="992216551">
      <w:bodyDiv w:val="1"/>
      <w:marLeft w:val="0"/>
      <w:marRight w:val="0"/>
      <w:marTop w:val="0"/>
      <w:marBottom w:val="0"/>
      <w:divBdr>
        <w:top w:val="none" w:sz="0" w:space="0" w:color="auto"/>
        <w:left w:val="none" w:sz="0" w:space="0" w:color="auto"/>
        <w:bottom w:val="none" w:sz="0" w:space="0" w:color="auto"/>
        <w:right w:val="none" w:sz="0" w:space="0" w:color="auto"/>
      </w:divBdr>
    </w:div>
    <w:div w:id="994646535">
      <w:bodyDiv w:val="1"/>
      <w:marLeft w:val="0"/>
      <w:marRight w:val="0"/>
      <w:marTop w:val="0"/>
      <w:marBottom w:val="0"/>
      <w:divBdr>
        <w:top w:val="none" w:sz="0" w:space="0" w:color="auto"/>
        <w:left w:val="none" w:sz="0" w:space="0" w:color="auto"/>
        <w:bottom w:val="none" w:sz="0" w:space="0" w:color="auto"/>
        <w:right w:val="none" w:sz="0" w:space="0" w:color="auto"/>
      </w:divBdr>
    </w:div>
    <w:div w:id="1041170661">
      <w:bodyDiv w:val="1"/>
      <w:marLeft w:val="0"/>
      <w:marRight w:val="0"/>
      <w:marTop w:val="0"/>
      <w:marBottom w:val="0"/>
      <w:divBdr>
        <w:top w:val="none" w:sz="0" w:space="0" w:color="auto"/>
        <w:left w:val="none" w:sz="0" w:space="0" w:color="auto"/>
        <w:bottom w:val="none" w:sz="0" w:space="0" w:color="auto"/>
        <w:right w:val="none" w:sz="0" w:space="0" w:color="auto"/>
      </w:divBdr>
      <w:divsChild>
        <w:div w:id="1429472398">
          <w:marLeft w:val="0"/>
          <w:marRight w:val="0"/>
          <w:marTop w:val="0"/>
          <w:marBottom w:val="0"/>
          <w:divBdr>
            <w:top w:val="none" w:sz="0" w:space="0" w:color="auto"/>
            <w:left w:val="none" w:sz="0" w:space="0" w:color="auto"/>
            <w:bottom w:val="none" w:sz="0" w:space="0" w:color="auto"/>
            <w:right w:val="none" w:sz="0" w:space="0" w:color="auto"/>
          </w:divBdr>
        </w:div>
      </w:divsChild>
    </w:div>
    <w:div w:id="1076779682">
      <w:bodyDiv w:val="1"/>
      <w:marLeft w:val="0"/>
      <w:marRight w:val="0"/>
      <w:marTop w:val="0"/>
      <w:marBottom w:val="0"/>
      <w:divBdr>
        <w:top w:val="none" w:sz="0" w:space="0" w:color="auto"/>
        <w:left w:val="none" w:sz="0" w:space="0" w:color="auto"/>
        <w:bottom w:val="none" w:sz="0" w:space="0" w:color="auto"/>
        <w:right w:val="none" w:sz="0" w:space="0" w:color="auto"/>
      </w:divBdr>
    </w:div>
    <w:div w:id="1157116942">
      <w:bodyDiv w:val="1"/>
      <w:marLeft w:val="0"/>
      <w:marRight w:val="0"/>
      <w:marTop w:val="0"/>
      <w:marBottom w:val="0"/>
      <w:divBdr>
        <w:top w:val="none" w:sz="0" w:space="0" w:color="auto"/>
        <w:left w:val="none" w:sz="0" w:space="0" w:color="auto"/>
        <w:bottom w:val="none" w:sz="0" w:space="0" w:color="auto"/>
        <w:right w:val="none" w:sz="0" w:space="0" w:color="auto"/>
      </w:divBdr>
      <w:divsChild>
        <w:div w:id="1725135345">
          <w:marLeft w:val="0"/>
          <w:marRight w:val="0"/>
          <w:marTop w:val="0"/>
          <w:marBottom w:val="0"/>
          <w:divBdr>
            <w:top w:val="none" w:sz="0" w:space="0" w:color="auto"/>
            <w:left w:val="none" w:sz="0" w:space="0" w:color="auto"/>
            <w:bottom w:val="none" w:sz="0" w:space="0" w:color="auto"/>
            <w:right w:val="none" w:sz="0" w:space="0" w:color="auto"/>
          </w:divBdr>
        </w:div>
      </w:divsChild>
    </w:div>
    <w:div w:id="1165708459">
      <w:bodyDiv w:val="1"/>
      <w:marLeft w:val="0"/>
      <w:marRight w:val="0"/>
      <w:marTop w:val="0"/>
      <w:marBottom w:val="0"/>
      <w:divBdr>
        <w:top w:val="none" w:sz="0" w:space="0" w:color="auto"/>
        <w:left w:val="none" w:sz="0" w:space="0" w:color="auto"/>
        <w:bottom w:val="none" w:sz="0" w:space="0" w:color="auto"/>
        <w:right w:val="none" w:sz="0" w:space="0" w:color="auto"/>
      </w:divBdr>
    </w:div>
    <w:div w:id="1212957612">
      <w:bodyDiv w:val="1"/>
      <w:marLeft w:val="0"/>
      <w:marRight w:val="0"/>
      <w:marTop w:val="0"/>
      <w:marBottom w:val="0"/>
      <w:divBdr>
        <w:top w:val="none" w:sz="0" w:space="0" w:color="auto"/>
        <w:left w:val="none" w:sz="0" w:space="0" w:color="auto"/>
        <w:bottom w:val="none" w:sz="0" w:space="0" w:color="auto"/>
        <w:right w:val="none" w:sz="0" w:space="0" w:color="auto"/>
      </w:divBdr>
    </w:div>
    <w:div w:id="1237781909">
      <w:bodyDiv w:val="1"/>
      <w:marLeft w:val="0"/>
      <w:marRight w:val="0"/>
      <w:marTop w:val="0"/>
      <w:marBottom w:val="0"/>
      <w:divBdr>
        <w:top w:val="none" w:sz="0" w:space="0" w:color="auto"/>
        <w:left w:val="none" w:sz="0" w:space="0" w:color="auto"/>
        <w:bottom w:val="none" w:sz="0" w:space="0" w:color="auto"/>
        <w:right w:val="none" w:sz="0" w:space="0" w:color="auto"/>
      </w:divBdr>
    </w:div>
    <w:div w:id="1248492232">
      <w:bodyDiv w:val="1"/>
      <w:marLeft w:val="0"/>
      <w:marRight w:val="0"/>
      <w:marTop w:val="0"/>
      <w:marBottom w:val="0"/>
      <w:divBdr>
        <w:top w:val="none" w:sz="0" w:space="0" w:color="auto"/>
        <w:left w:val="none" w:sz="0" w:space="0" w:color="auto"/>
        <w:bottom w:val="none" w:sz="0" w:space="0" w:color="auto"/>
        <w:right w:val="none" w:sz="0" w:space="0" w:color="auto"/>
      </w:divBdr>
      <w:divsChild>
        <w:div w:id="258492289">
          <w:marLeft w:val="0"/>
          <w:marRight w:val="0"/>
          <w:marTop w:val="0"/>
          <w:marBottom w:val="0"/>
          <w:divBdr>
            <w:top w:val="none" w:sz="0" w:space="0" w:color="auto"/>
            <w:left w:val="none" w:sz="0" w:space="0" w:color="auto"/>
            <w:bottom w:val="none" w:sz="0" w:space="0" w:color="auto"/>
            <w:right w:val="none" w:sz="0" w:space="0" w:color="auto"/>
          </w:divBdr>
        </w:div>
        <w:div w:id="659768550">
          <w:marLeft w:val="0"/>
          <w:marRight w:val="0"/>
          <w:marTop w:val="0"/>
          <w:marBottom w:val="0"/>
          <w:divBdr>
            <w:top w:val="none" w:sz="0" w:space="0" w:color="auto"/>
            <w:left w:val="none" w:sz="0" w:space="0" w:color="auto"/>
            <w:bottom w:val="none" w:sz="0" w:space="0" w:color="auto"/>
            <w:right w:val="none" w:sz="0" w:space="0" w:color="auto"/>
          </w:divBdr>
        </w:div>
        <w:div w:id="1824080122">
          <w:marLeft w:val="0"/>
          <w:marRight w:val="0"/>
          <w:marTop w:val="0"/>
          <w:marBottom w:val="0"/>
          <w:divBdr>
            <w:top w:val="none" w:sz="0" w:space="0" w:color="auto"/>
            <w:left w:val="none" w:sz="0" w:space="0" w:color="auto"/>
            <w:bottom w:val="none" w:sz="0" w:space="0" w:color="auto"/>
            <w:right w:val="none" w:sz="0" w:space="0" w:color="auto"/>
          </w:divBdr>
        </w:div>
        <w:div w:id="1927881443">
          <w:marLeft w:val="0"/>
          <w:marRight w:val="0"/>
          <w:marTop w:val="0"/>
          <w:marBottom w:val="0"/>
          <w:divBdr>
            <w:top w:val="none" w:sz="0" w:space="0" w:color="auto"/>
            <w:left w:val="none" w:sz="0" w:space="0" w:color="auto"/>
            <w:bottom w:val="none" w:sz="0" w:space="0" w:color="auto"/>
            <w:right w:val="none" w:sz="0" w:space="0" w:color="auto"/>
          </w:divBdr>
        </w:div>
      </w:divsChild>
    </w:div>
    <w:div w:id="1248730171">
      <w:bodyDiv w:val="1"/>
      <w:marLeft w:val="0"/>
      <w:marRight w:val="0"/>
      <w:marTop w:val="0"/>
      <w:marBottom w:val="0"/>
      <w:divBdr>
        <w:top w:val="none" w:sz="0" w:space="0" w:color="auto"/>
        <w:left w:val="none" w:sz="0" w:space="0" w:color="auto"/>
        <w:bottom w:val="none" w:sz="0" w:space="0" w:color="auto"/>
        <w:right w:val="none" w:sz="0" w:space="0" w:color="auto"/>
      </w:divBdr>
    </w:div>
    <w:div w:id="1338729061">
      <w:bodyDiv w:val="1"/>
      <w:marLeft w:val="0"/>
      <w:marRight w:val="0"/>
      <w:marTop w:val="0"/>
      <w:marBottom w:val="0"/>
      <w:divBdr>
        <w:top w:val="none" w:sz="0" w:space="0" w:color="auto"/>
        <w:left w:val="none" w:sz="0" w:space="0" w:color="auto"/>
        <w:bottom w:val="none" w:sz="0" w:space="0" w:color="auto"/>
        <w:right w:val="none" w:sz="0" w:space="0" w:color="auto"/>
      </w:divBdr>
    </w:div>
    <w:div w:id="1374621609">
      <w:bodyDiv w:val="1"/>
      <w:marLeft w:val="0"/>
      <w:marRight w:val="0"/>
      <w:marTop w:val="0"/>
      <w:marBottom w:val="0"/>
      <w:divBdr>
        <w:top w:val="none" w:sz="0" w:space="0" w:color="auto"/>
        <w:left w:val="none" w:sz="0" w:space="0" w:color="auto"/>
        <w:bottom w:val="none" w:sz="0" w:space="0" w:color="auto"/>
        <w:right w:val="none" w:sz="0" w:space="0" w:color="auto"/>
      </w:divBdr>
      <w:divsChild>
        <w:div w:id="1189564991">
          <w:marLeft w:val="0"/>
          <w:marRight w:val="0"/>
          <w:marTop w:val="0"/>
          <w:marBottom w:val="0"/>
          <w:divBdr>
            <w:top w:val="none" w:sz="0" w:space="0" w:color="auto"/>
            <w:left w:val="none" w:sz="0" w:space="0" w:color="auto"/>
            <w:bottom w:val="none" w:sz="0" w:space="0" w:color="auto"/>
            <w:right w:val="none" w:sz="0" w:space="0" w:color="auto"/>
          </w:divBdr>
        </w:div>
      </w:divsChild>
    </w:div>
    <w:div w:id="1392073480">
      <w:bodyDiv w:val="1"/>
      <w:marLeft w:val="0"/>
      <w:marRight w:val="0"/>
      <w:marTop w:val="0"/>
      <w:marBottom w:val="0"/>
      <w:divBdr>
        <w:top w:val="none" w:sz="0" w:space="0" w:color="auto"/>
        <w:left w:val="none" w:sz="0" w:space="0" w:color="auto"/>
        <w:bottom w:val="none" w:sz="0" w:space="0" w:color="auto"/>
        <w:right w:val="none" w:sz="0" w:space="0" w:color="auto"/>
      </w:divBdr>
    </w:div>
    <w:div w:id="1407189826">
      <w:bodyDiv w:val="1"/>
      <w:marLeft w:val="0"/>
      <w:marRight w:val="0"/>
      <w:marTop w:val="0"/>
      <w:marBottom w:val="0"/>
      <w:divBdr>
        <w:top w:val="none" w:sz="0" w:space="0" w:color="auto"/>
        <w:left w:val="none" w:sz="0" w:space="0" w:color="auto"/>
        <w:bottom w:val="none" w:sz="0" w:space="0" w:color="auto"/>
        <w:right w:val="none" w:sz="0" w:space="0" w:color="auto"/>
      </w:divBdr>
    </w:div>
    <w:div w:id="1443652288">
      <w:bodyDiv w:val="1"/>
      <w:marLeft w:val="0"/>
      <w:marRight w:val="0"/>
      <w:marTop w:val="0"/>
      <w:marBottom w:val="0"/>
      <w:divBdr>
        <w:top w:val="none" w:sz="0" w:space="0" w:color="auto"/>
        <w:left w:val="none" w:sz="0" w:space="0" w:color="auto"/>
        <w:bottom w:val="none" w:sz="0" w:space="0" w:color="auto"/>
        <w:right w:val="none" w:sz="0" w:space="0" w:color="auto"/>
      </w:divBdr>
      <w:divsChild>
        <w:div w:id="1768188814">
          <w:marLeft w:val="0"/>
          <w:marRight w:val="0"/>
          <w:marTop w:val="0"/>
          <w:marBottom w:val="0"/>
          <w:divBdr>
            <w:top w:val="none" w:sz="0" w:space="0" w:color="auto"/>
            <w:left w:val="none" w:sz="0" w:space="0" w:color="auto"/>
            <w:bottom w:val="none" w:sz="0" w:space="0" w:color="auto"/>
            <w:right w:val="none" w:sz="0" w:space="0" w:color="auto"/>
          </w:divBdr>
        </w:div>
      </w:divsChild>
    </w:div>
    <w:div w:id="1445879601">
      <w:bodyDiv w:val="1"/>
      <w:marLeft w:val="0"/>
      <w:marRight w:val="0"/>
      <w:marTop w:val="0"/>
      <w:marBottom w:val="0"/>
      <w:divBdr>
        <w:top w:val="none" w:sz="0" w:space="0" w:color="auto"/>
        <w:left w:val="none" w:sz="0" w:space="0" w:color="auto"/>
        <w:bottom w:val="none" w:sz="0" w:space="0" w:color="auto"/>
        <w:right w:val="none" w:sz="0" w:space="0" w:color="auto"/>
      </w:divBdr>
    </w:div>
    <w:div w:id="1455948859">
      <w:bodyDiv w:val="1"/>
      <w:marLeft w:val="0"/>
      <w:marRight w:val="0"/>
      <w:marTop w:val="0"/>
      <w:marBottom w:val="0"/>
      <w:divBdr>
        <w:top w:val="none" w:sz="0" w:space="0" w:color="auto"/>
        <w:left w:val="none" w:sz="0" w:space="0" w:color="auto"/>
        <w:bottom w:val="none" w:sz="0" w:space="0" w:color="auto"/>
        <w:right w:val="none" w:sz="0" w:space="0" w:color="auto"/>
      </w:divBdr>
      <w:divsChild>
        <w:div w:id="290281749">
          <w:marLeft w:val="0"/>
          <w:marRight w:val="0"/>
          <w:marTop w:val="0"/>
          <w:marBottom w:val="0"/>
          <w:divBdr>
            <w:top w:val="none" w:sz="0" w:space="0" w:color="auto"/>
            <w:left w:val="none" w:sz="0" w:space="0" w:color="auto"/>
            <w:bottom w:val="none" w:sz="0" w:space="0" w:color="auto"/>
            <w:right w:val="none" w:sz="0" w:space="0" w:color="auto"/>
          </w:divBdr>
        </w:div>
        <w:div w:id="585111552">
          <w:marLeft w:val="0"/>
          <w:marRight w:val="0"/>
          <w:marTop w:val="0"/>
          <w:marBottom w:val="0"/>
          <w:divBdr>
            <w:top w:val="none" w:sz="0" w:space="0" w:color="auto"/>
            <w:left w:val="none" w:sz="0" w:space="0" w:color="auto"/>
            <w:bottom w:val="none" w:sz="0" w:space="0" w:color="auto"/>
            <w:right w:val="none" w:sz="0" w:space="0" w:color="auto"/>
          </w:divBdr>
        </w:div>
        <w:div w:id="1502893659">
          <w:marLeft w:val="0"/>
          <w:marRight w:val="0"/>
          <w:marTop w:val="0"/>
          <w:marBottom w:val="0"/>
          <w:divBdr>
            <w:top w:val="none" w:sz="0" w:space="0" w:color="auto"/>
            <w:left w:val="none" w:sz="0" w:space="0" w:color="auto"/>
            <w:bottom w:val="none" w:sz="0" w:space="0" w:color="auto"/>
            <w:right w:val="none" w:sz="0" w:space="0" w:color="auto"/>
          </w:divBdr>
        </w:div>
        <w:div w:id="1546477939">
          <w:marLeft w:val="0"/>
          <w:marRight w:val="0"/>
          <w:marTop w:val="0"/>
          <w:marBottom w:val="0"/>
          <w:divBdr>
            <w:top w:val="none" w:sz="0" w:space="0" w:color="auto"/>
            <w:left w:val="none" w:sz="0" w:space="0" w:color="auto"/>
            <w:bottom w:val="none" w:sz="0" w:space="0" w:color="auto"/>
            <w:right w:val="none" w:sz="0" w:space="0" w:color="auto"/>
          </w:divBdr>
        </w:div>
      </w:divsChild>
    </w:div>
    <w:div w:id="1508059109">
      <w:bodyDiv w:val="1"/>
      <w:marLeft w:val="0"/>
      <w:marRight w:val="0"/>
      <w:marTop w:val="0"/>
      <w:marBottom w:val="0"/>
      <w:divBdr>
        <w:top w:val="none" w:sz="0" w:space="0" w:color="auto"/>
        <w:left w:val="none" w:sz="0" w:space="0" w:color="auto"/>
        <w:bottom w:val="none" w:sz="0" w:space="0" w:color="auto"/>
        <w:right w:val="none" w:sz="0" w:space="0" w:color="auto"/>
      </w:divBdr>
    </w:div>
    <w:div w:id="1649552507">
      <w:bodyDiv w:val="1"/>
      <w:marLeft w:val="0"/>
      <w:marRight w:val="0"/>
      <w:marTop w:val="0"/>
      <w:marBottom w:val="0"/>
      <w:divBdr>
        <w:top w:val="none" w:sz="0" w:space="0" w:color="auto"/>
        <w:left w:val="none" w:sz="0" w:space="0" w:color="auto"/>
        <w:bottom w:val="none" w:sz="0" w:space="0" w:color="auto"/>
        <w:right w:val="none" w:sz="0" w:space="0" w:color="auto"/>
      </w:divBdr>
      <w:divsChild>
        <w:div w:id="1860728583">
          <w:marLeft w:val="0"/>
          <w:marRight w:val="0"/>
          <w:marTop w:val="0"/>
          <w:marBottom w:val="0"/>
          <w:divBdr>
            <w:top w:val="none" w:sz="0" w:space="0" w:color="auto"/>
            <w:left w:val="none" w:sz="0" w:space="0" w:color="auto"/>
            <w:bottom w:val="none" w:sz="0" w:space="0" w:color="auto"/>
            <w:right w:val="none" w:sz="0" w:space="0" w:color="auto"/>
          </w:divBdr>
        </w:div>
      </w:divsChild>
    </w:div>
    <w:div w:id="1662806767">
      <w:bodyDiv w:val="1"/>
      <w:marLeft w:val="0"/>
      <w:marRight w:val="0"/>
      <w:marTop w:val="0"/>
      <w:marBottom w:val="0"/>
      <w:divBdr>
        <w:top w:val="none" w:sz="0" w:space="0" w:color="auto"/>
        <w:left w:val="none" w:sz="0" w:space="0" w:color="auto"/>
        <w:bottom w:val="none" w:sz="0" w:space="0" w:color="auto"/>
        <w:right w:val="none" w:sz="0" w:space="0" w:color="auto"/>
      </w:divBdr>
    </w:div>
    <w:div w:id="1764108519">
      <w:bodyDiv w:val="1"/>
      <w:marLeft w:val="0"/>
      <w:marRight w:val="0"/>
      <w:marTop w:val="0"/>
      <w:marBottom w:val="0"/>
      <w:divBdr>
        <w:top w:val="none" w:sz="0" w:space="0" w:color="auto"/>
        <w:left w:val="none" w:sz="0" w:space="0" w:color="auto"/>
        <w:bottom w:val="none" w:sz="0" w:space="0" w:color="auto"/>
        <w:right w:val="none" w:sz="0" w:space="0" w:color="auto"/>
      </w:divBdr>
    </w:div>
    <w:div w:id="1798177293">
      <w:bodyDiv w:val="1"/>
      <w:marLeft w:val="0"/>
      <w:marRight w:val="0"/>
      <w:marTop w:val="0"/>
      <w:marBottom w:val="0"/>
      <w:divBdr>
        <w:top w:val="none" w:sz="0" w:space="0" w:color="auto"/>
        <w:left w:val="none" w:sz="0" w:space="0" w:color="auto"/>
        <w:bottom w:val="none" w:sz="0" w:space="0" w:color="auto"/>
        <w:right w:val="none" w:sz="0" w:space="0" w:color="auto"/>
      </w:divBdr>
      <w:divsChild>
        <w:div w:id="1108546354">
          <w:marLeft w:val="0"/>
          <w:marRight w:val="0"/>
          <w:marTop w:val="0"/>
          <w:marBottom w:val="0"/>
          <w:divBdr>
            <w:top w:val="none" w:sz="0" w:space="0" w:color="auto"/>
            <w:left w:val="none" w:sz="0" w:space="0" w:color="auto"/>
            <w:bottom w:val="none" w:sz="0" w:space="0" w:color="auto"/>
            <w:right w:val="none" w:sz="0" w:space="0" w:color="auto"/>
          </w:divBdr>
        </w:div>
      </w:divsChild>
    </w:div>
    <w:div w:id="1799716625">
      <w:bodyDiv w:val="1"/>
      <w:marLeft w:val="0"/>
      <w:marRight w:val="0"/>
      <w:marTop w:val="0"/>
      <w:marBottom w:val="0"/>
      <w:divBdr>
        <w:top w:val="none" w:sz="0" w:space="0" w:color="auto"/>
        <w:left w:val="none" w:sz="0" w:space="0" w:color="auto"/>
        <w:bottom w:val="none" w:sz="0" w:space="0" w:color="auto"/>
        <w:right w:val="none" w:sz="0" w:space="0" w:color="auto"/>
      </w:divBdr>
    </w:div>
    <w:div w:id="1812362524">
      <w:bodyDiv w:val="1"/>
      <w:marLeft w:val="0"/>
      <w:marRight w:val="0"/>
      <w:marTop w:val="0"/>
      <w:marBottom w:val="0"/>
      <w:divBdr>
        <w:top w:val="none" w:sz="0" w:space="0" w:color="auto"/>
        <w:left w:val="none" w:sz="0" w:space="0" w:color="auto"/>
        <w:bottom w:val="none" w:sz="0" w:space="0" w:color="auto"/>
        <w:right w:val="none" w:sz="0" w:space="0" w:color="auto"/>
      </w:divBdr>
    </w:div>
    <w:div w:id="1819836275">
      <w:bodyDiv w:val="1"/>
      <w:marLeft w:val="0"/>
      <w:marRight w:val="0"/>
      <w:marTop w:val="0"/>
      <w:marBottom w:val="0"/>
      <w:divBdr>
        <w:top w:val="none" w:sz="0" w:space="0" w:color="auto"/>
        <w:left w:val="none" w:sz="0" w:space="0" w:color="auto"/>
        <w:bottom w:val="none" w:sz="0" w:space="0" w:color="auto"/>
        <w:right w:val="none" w:sz="0" w:space="0" w:color="auto"/>
      </w:divBdr>
    </w:div>
    <w:div w:id="1824546372">
      <w:bodyDiv w:val="1"/>
      <w:marLeft w:val="0"/>
      <w:marRight w:val="0"/>
      <w:marTop w:val="0"/>
      <w:marBottom w:val="0"/>
      <w:divBdr>
        <w:top w:val="none" w:sz="0" w:space="0" w:color="auto"/>
        <w:left w:val="none" w:sz="0" w:space="0" w:color="auto"/>
        <w:bottom w:val="none" w:sz="0" w:space="0" w:color="auto"/>
        <w:right w:val="none" w:sz="0" w:space="0" w:color="auto"/>
      </w:divBdr>
    </w:div>
    <w:div w:id="1847355770">
      <w:bodyDiv w:val="1"/>
      <w:marLeft w:val="0"/>
      <w:marRight w:val="0"/>
      <w:marTop w:val="0"/>
      <w:marBottom w:val="0"/>
      <w:divBdr>
        <w:top w:val="none" w:sz="0" w:space="0" w:color="auto"/>
        <w:left w:val="none" w:sz="0" w:space="0" w:color="auto"/>
        <w:bottom w:val="none" w:sz="0" w:space="0" w:color="auto"/>
        <w:right w:val="none" w:sz="0" w:space="0" w:color="auto"/>
      </w:divBdr>
      <w:divsChild>
        <w:div w:id="801730254">
          <w:marLeft w:val="0"/>
          <w:marRight w:val="0"/>
          <w:marTop w:val="0"/>
          <w:marBottom w:val="0"/>
          <w:divBdr>
            <w:top w:val="none" w:sz="0" w:space="0" w:color="auto"/>
            <w:left w:val="none" w:sz="0" w:space="0" w:color="auto"/>
            <w:bottom w:val="none" w:sz="0" w:space="0" w:color="auto"/>
            <w:right w:val="none" w:sz="0" w:space="0" w:color="auto"/>
          </w:divBdr>
        </w:div>
      </w:divsChild>
    </w:div>
    <w:div w:id="1849252600">
      <w:bodyDiv w:val="1"/>
      <w:marLeft w:val="0"/>
      <w:marRight w:val="0"/>
      <w:marTop w:val="0"/>
      <w:marBottom w:val="0"/>
      <w:divBdr>
        <w:top w:val="none" w:sz="0" w:space="0" w:color="auto"/>
        <w:left w:val="none" w:sz="0" w:space="0" w:color="auto"/>
        <w:bottom w:val="none" w:sz="0" w:space="0" w:color="auto"/>
        <w:right w:val="none" w:sz="0" w:space="0" w:color="auto"/>
      </w:divBdr>
    </w:div>
    <w:div w:id="1864322578">
      <w:bodyDiv w:val="1"/>
      <w:marLeft w:val="0"/>
      <w:marRight w:val="0"/>
      <w:marTop w:val="0"/>
      <w:marBottom w:val="0"/>
      <w:divBdr>
        <w:top w:val="none" w:sz="0" w:space="0" w:color="auto"/>
        <w:left w:val="none" w:sz="0" w:space="0" w:color="auto"/>
        <w:bottom w:val="none" w:sz="0" w:space="0" w:color="auto"/>
        <w:right w:val="none" w:sz="0" w:space="0" w:color="auto"/>
      </w:divBdr>
      <w:divsChild>
        <w:div w:id="1657567804">
          <w:marLeft w:val="0"/>
          <w:marRight w:val="0"/>
          <w:marTop w:val="0"/>
          <w:marBottom w:val="0"/>
          <w:divBdr>
            <w:top w:val="none" w:sz="0" w:space="0" w:color="auto"/>
            <w:left w:val="none" w:sz="0" w:space="0" w:color="auto"/>
            <w:bottom w:val="none" w:sz="0" w:space="0" w:color="auto"/>
            <w:right w:val="none" w:sz="0" w:space="0" w:color="auto"/>
          </w:divBdr>
        </w:div>
      </w:divsChild>
    </w:div>
    <w:div w:id="1871869403">
      <w:bodyDiv w:val="1"/>
      <w:marLeft w:val="0"/>
      <w:marRight w:val="0"/>
      <w:marTop w:val="0"/>
      <w:marBottom w:val="0"/>
      <w:divBdr>
        <w:top w:val="none" w:sz="0" w:space="0" w:color="auto"/>
        <w:left w:val="none" w:sz="0" w:space="0" w:color="auto"/>
        <w:bottom w:val="none" w:sz="0" w:space="0" w:color="auto"/>
        <w:right w:val="none" w:sz="0" w:space="0" w:color="auto"/>
      </w:divBdr>
    </w:div>
    <w:div w:id="1891843485">
      <w:bodyDiv w:val="1"/>
      <w:marLeft w:val="0"/>
      <w:marRight w:val="0"/>
      <w:marTop w:val="0"/>
      <w:marBottom w:val="0"/>
      <w:divBdr>
        <w:top w:val="none" w:sz="0" w:space="0" w:color="auto"/>
        <w:left w:val="none" w:sz="0" w:space="0" w:color="auto"/>
        <w:bottom w:val="none" w:sz="0" w:space="0" w:color="auto"/>
        <w:right w:val="none" w:sz="0" w:space="0" w:color="auto"/>
      </w:divBdr>
    </w:div>
    <w:div w:id="1924415763">
      <w:bodyDiv w:val="1"/>
      <w:marLeft w:val="0"/>
      <w:marRight w:val="0"/>
      <w:marTop w:val="0"/>
      <w:marBottom w:val="0"/>
      <w:divBdr>
        <w:top w:val="none" w:sz="0" w:space="0" w:color="auto"/>
        <w:left w:val="none" w:sz="0" w:space="0" w:color="auto"/>
        <w:bottom w:val="none" w:sz="0" w:space="0" w:color="auto"/>
        <w:right w:val="none" w:sz="0" w:space="0" w:color="auto"/>
      </w:divBdr>
    </w:div>
    <w:div w:id="1984771941">
      <w:bodyDiv w:val="1"/>
      <w:marLeft w:val="0"/>
      <w:marRight w:val="0"/>
      <w:marTop w:val="0"/>
      <w:marBottom w:val="0"/>
      <w:divBdr>
        <w:top w:val="none" w:sz="0" w:space="0" w:color="auto"/>
        <w:left w:val="none" w:sz="0" w:space="0" w:color="auto"/>
        <w:bottom w:val="none" w:sz="0" w:space="0" w:color="auto"/>
        <w:right w:val="none" w:sz="0" w:space="0" w:color="auto"/>
      </w:divBdr>
    </w:div>
    <w:div w:id="2050061962">
      <w:bodyDiv w:val="1"/>
      <w:marLeft w:val="0"/>
      <w:marRight w:val="0"/>
      <w:marTop w:val="0"/>
      <w:marBottom w:val="0"/>
      <w:divBdr>
        <w:top w:val="none" w:sz="0" w:space="0" w:color="auto"/>
        <w:left w:val="none" w:sz="0" w:space="0" w:color="auto"/>
        <w:bottom w:val="none" w:sz="0" w:space="0" w:color="auto"/>
        <w:right w:val="none" w:sz="0" w:space="0" w:color="auto"/>
      </w:divBdr>
    </w:div>
    <w:div w:id="2075081654">
      <w:bodyDiv w:val="1"/>
      <w:marLeft w:val="0"/>
      <w:marRight w:val="0"/>
      <w:marTop w:val="0"/>
      <w:marBottom w:val="0"/>
      <w:divBdr>
        <w:top w:val="none" w:sz="0" w:space="0" w:color="auto"/>
        <w:left w:val="none" w:sz="0" w:space="0" w:color="auto"/>
        <w:bottom w:val="none" w:sz="0" w:space="0" w:color="auto"/>
        <w:right w:val="none" w:sz="0" w:space="0" w:color="auto"/>
      </w:divBdr>
    </w:div>
    <w:div w:id="2089497832">
      <w:bodyDiv w:val="1"/>
      <w:marLeft w:val="0"/>
      <w:marRight w:val="0"/>
      <w:marTop w:val="0"/>
      <w:marBottom w:val="0"/>
      <w:divBdr>
        <w:top w:val="none" w:sz="0" w:space="0" w:color="auto"/>
        <w:left w:val="none" w:sz="0" w:space="0" w:color="auto"/>
        <w:bottom w:val="none" w:sz="0" w:space="0" w:color="auto"/>
        <w:right w:val="none" w:sz="0" w:space="0" w:color="auto"/>
      </w:divBdr>
    </w:div>
    <w:div w:id="2107338655">
      <w:bodyDiv w:val="1"/>
      <w:marLeft w:val="0"/>
      <w:marRight w:val="0"/>
      <w:marTop w:val="0"/>
      <w:marBottom w:val="0"/>
      <w:divBdr>
        <w:top w:val="none" w:sz="0" w:space="0" w:color="auto"/>
        <w:left w:val="none" w:sz="0" w:space="0" w:color="auto"/>
        <w:bottom w:val="none" w:sz="0" w:space="0" w:color="auto"/>
        <w:right w:val="none" w:sz="0" w:space="0" w:color="auto"/>
      </w:divBdr>
    </w:div>
    <w:div w:id="2125297189">
      <w:bodyDiv w:val="1"/>
      <w:marLeft w:val="0"/>
      <w:marRight w:val="0"/>
      <w:marTop w:val="0"/>
      <w:marBottom w:val="0"/>
      <w:divBdr>
        <w:top w:val="none" w:sz="0" w:space="0" w:color="auto"/>
        <w:left w:val="none" w:sz="0" w:space="0" w:color="auto"/>
        <w:bottom w:val="none" w:sz="0" w:space="0" w:color="auto"/>
        <w:right w:val="none" w:sz="0" w:space="0" w:color="auto"/>
      </w:divBdr>
      <w:divsChild>
        <w:div w:id="9110829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yperlink" Target="https://www.aph.gov.au/Parliamentary_Business/Bills_Legislation/Bills_Search_Results/Result?bId=r7176" TargetMode="External"/><Relationship Id="rId21" Type="http://schemas.openxmlformats.org/officeDocument/2006/relationships/header" Target="header7.xml"/><Relationship Id="rId42" Type="http://schemas.openxmlformats.org/officeDocument/2006/relationships/footer" Target="footer11.xml"/><Relationship Id="rId47" Type="http://schemas.openxmlformats.org/officeDocument/2006/relationships/footer" Target="footer13.xml"/><Relationship Id="rId63" Type="http://schemas.openxmlformats.org/officeDocument/2006/relationships/hyperlink" Target="https://www.aph.gov.au/Parliamentary_Business/Bills_Legislation/Bills_Search_Results/Result?bId=r7199" TargetMode="External"/><Relationship Id="rId68" Type="http://schemas.openxmlformats.org/officeDocument/2006/relationships/hyperlink" Target="https://treasury.gov.au/consultation/c2023-427004" TargetMode="External"/><Relationship Id="rId84" Type="http://schemas.openxmlformats.org/officeDocument/2006/relationships/hyperlink" Target="https://www.austrac.gov.au/reforms/amlctf-transitional-rules-update" TargetMode="External"/><Relationship Id="rId89" Type="http://schemas.openxmlformats.org/officeDocument/2006/relationships/hyperlink" Target="https://ministers.treasury.gov.au/ministers/jim-chalmers-2022/transcripts/press-conference-canberra-26" TargetMode="External"/><Relationship Id="rId112" Type="http://schemas.openxmlformats.org/officeDocument/2006/relationships/hyperlink" Target="https://www.rba.gov.au/media-releases/2024/mr-24-16.html" TargetMode="External"/><Relationship Id="rId16" Type="http://schemas.openxmlformats.org/officeDocument/2006/relationships/footer" Target="footer4.xml"/><Relationship Id="rId107" Type="http://schemas.openxmlformats.org/officeDocument/2006/relationships/hyperlink" Target="https://aus01.safelinks.protection.outlook.com/?url=https%3A%2F%2Fwww.iosco.org%2Flibrary%2Fpubdocs%2Fpdf%2FIOSCOPD805.pdf&amp;data=05%7C02%7CRamana.Paheerathan%40TREASURY.GOV.AU%7Cc56dc3c8501f44d611d308de7f4ac010%7C214f1646202147cc8397e3d3a7ba7d9d%7C0%7C0%7C639088156522744219%7CUnknown%7CTWFpbGZsb3d8eyJFbXB0eU1hcGkiOnRydWUsIlYiOiIwLjAuMDAwMCIsIlAiOiJXaW4zMiIsIkFOIjoiTWFpbCIsIldUIjoyfQ%3D%3D%7C0%7C%7C%7C&amp;sdata=bIYl1B%2FYqcV0SDYL2PfhfS5Yd39dgArcE%2FczO4KmA3E%3D&amp;reserved=0" TargetMode="External"/><Relationship Id="rId11" Type="http://schemas.openxmlformats.org/officeDocument/2006/relationships/header" Target="header2.xml"/><Relationship Id="rId32" Type="http://schemas.openxmlformats.org/officeDocument/2006/relationships/hyperlink" Target="http://www.treasury.gov.au/RIG" TargetMode="External"/><Relationship Id="rId37" Type="http://schemas.openxmlformats.org/officeDocument/2006/relationships/hyperlink" Target="http://www.treasury.gov.au/RIG" TargetMode="External"/><Relationship Id="rId53" Type="http://schemas.openxmlformats.org/officeDocument/2006/relationships/hyperlink" Target="https://ministers.treasury.gov.au/ministers/stephen-jones-2022/media-releases/albanese-government-creating-better-pathway-financial" TargetMode="External"/><Relationship Id="rId58" Type="http://schemas.openxmlformats.org/officeDocument/2006/relationships/hyperlink" Target="https://ministers.treasury.gov.au/ministers/jim-chalmers-2022/media-releases/reforms-strengthen-australias-foreign-investment" TargetMode="External"/><Relationship Id="rId74" Type="http://schemas.openxmlformats.org/officeDocument/2006/relationships/hyperlink" Target="https://ministers.treasury.gov.au/ministers/stephen-jones-2022/media-releases/payday-superannuation-design-details-ensure-super-paid" TargetMode="External"/><Relationship Id="rId79" Type="http://schemas.openxmlformats.org/officeDocument/2006/relationships/hyperlink" Target="https://www.ato.gov.au/law/view/document?DocID=COD/LCR2026D4/NAT/ATO/00001&amp;PiT=99991231235958" TargetMode="External"/><Relationship Id="rId102" Type="http://schemas.openxmlformats.org/officeDocument/2006/relationships/hyperlink" Target="https://www.ato.gov.au/law/view/document?docid=DCC/LCR20169DC1/NAT/ATO/00001" TargetMode="External"/><Relationship Id="rId123" Type="http://schemas.openxmlformats.org/officeDocument/2006/relationships/hyperlink" Target="https://oia.pmc.gov.au/published-impact-analyses-and-reports/2021-foreign-investment-reforms-post-implementation-review" TargetMode="External"/><Relationship Id="rId5" Type="http://schemas.openxmlformats.org/officeDocument/2006/relationships/footnotes" Target="footnotes.xml"/><Relationship Id="rId90" Type="http://schemas.openxmlformats.org/officeDocument/2006/relationships/hyperlink" Target="https://treasury.gov.au/publication/p2024-555854" TargetMode="External"/><Relationship Id="rId95" Type="http://schemas.openxmlformats.org/officeDocument/2006/relationships/hyperlink" Target="https://www.aph.gov.au/Parliamentary_Business/Bills_Legislation/Bills_Search_Results/Result?bId=r7176" TargetMode="External"/><Relationship Id="rId22" Type="http://schemas.openxmlformats.org/officeDocument/2006/relationships/footer" Target="footer6.xml"/><Relationship Id="rId27" Type="http://schemas.openxmlformats.org/officeDocument/2006/relationships/footer" Target="footer7.xml"/><Relationship Id="rId43" Type="http://schemas.openxmlformats.org/officeDocument/2006/relationships/header" Target="header13.xml"/><Relationship Id="rId48" Type="http://schemas.openxmlformats.org/officeDocument/2006/relationships/footer" Target="footer14.xml"/><Relationship Id="rId64" Type="http://schemas.openxmlformats.org/officeDocument/2006/relationships/hyperlink" Target="https://ministers.treasury.gov.au/ministers/jim-chalmers-2022/media-releases/mandating-cash-acceptance" TargetMode="External"/><Relationship Id="rId69" Type="http://schemas.openxmlformats.org/officeDocument/2006/relationships/hyperlink" Target="https://ministers.treasury.gov.au/ministers/jim-chalmers-2022/media-releases/improving-retirement-phase-superannuation" TargetMode="External"/><Relationship Id="rId113" Type="http://schemas.openxmlformats.org/officeDocument/2006/relationships/hyperlink" Target="https://alp.org.au/news/labor-s-commitment-to-women/" TargetMode="External"/><Relationship Id="rId118" Type="http://schemas.openxmlformats.org/officeDocument/2006/relationships/hyperlink" Target="https://cslr.org.au/cslr-releases-fy2026-revised-levy-estimate/" TargetMode="External"/><Relationship Id="rId80" Type="http://schemas.openxmlformats.org/officeDocument/2006/relationships/hyperlink" Target="https://www.aph.gov.au/Parliamentary_Business/Bills_Legislation/Bills_Search_Results/Result?bId=r7412" TargetMode="External"/><Relationship Id="rId85" Type="http://schemas.openxmlformats.org/officeDocument/2006/relationships/hyperlink" Target="https://www.austrac.gov.au/second-stage-consultation-reforming-australias-amlctf-regime-now-open" TargetMode="External"/><Relationship Id="rId12" Type="http://schemas.openxmlformats.org/officeDocument/2006/relationships/header" Target="header3.xml"/><Relationship Id="rId17"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hyperlink" Target="mailto:RIG@treasury.gov.au" TargetMode="External"/><Relationship Id="rId59" Type="http://schemas.openxmlformats.org/officeDocument/2006/relationships/hyperlink" Target="https://treasury.gov.au/publication/p2024-536290" TargetMode="External"/><Relationship Id="rId103" Type="http://schemas.openxmlformats.org/officeDocument/2006/relationships/hyperlink" Target="https://www.legislation.gov.au/F2023L01162/asmade/text" TargetMode="External"/><Relationship Id="rId108" Type="http://schemas.openxmlformats.org/officeDocument/2006/relationships/hyperlink" Target="https://treasury.gov.au/review/cslr-post-implementation-review" TargetMode="External"/><Relationship Id="rId124" Type="http://schemas.openxmlformats.org/officeDocument/2006/relationships/fontTable" Target="fontTable.xml"/><Relationship Id="rId54" Type="http://schemas.openxmlformats.org/officeDocument/2006/relationships/hyperlink" Target="https://ministers.treasury.gov.au/ministers/daniel-mulino-2025/media-releases/consulting-enhancing-oversight-and-governance-managed" TargetMode="External"/><Relationship Id="rId70" Type="http://schemas.openxmlformats.org/officeDocument/2006/relationships/hyperlink" Target="https://ministers.treasury.gov.au/ministers/jim-chalmers-2022/media-releases/helping-australians-get-better-deal-banking-products" TargetMode="External"/><Relationship Id="rId75" Type="http://schemas.openxmlformats.org/officeDocument/2006/relationships/hyperlink" Target="https://www.ato.gov.au/about-ato/ato-advice-and-guidance/advice-under-development-program/advice-under-development-superannuation-issues" TargetMode="External"/><Relationship Id="rId91" Type="http://schemas.openxmlformats.org/officeDocument/2006/relationships/hyperlink" Target="https://www.rba.gov.au/payments-and-infrastructure/review-of-retail-payments-regulation/2026-03/non-tech-summary.html" TargetMode="External"/><Relationship Id="rId96" Type="http://schemas.openxmlformats.org/officeDocument/2006/relationships/hyperlink" Target="https://cslr.org.au/"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png"/><Relationship Id="rId28" Type="http://schemas.openxmlformats.org/officeDocument/2006/relationships/footer" Target="footer8.xml"/><Relationship Id="rId49" Type="http://schemas.openxmlformats.org/officeDocument/2006/relationships/header" Target="header16.xml"/><Relationship Id="rId114" Type="http://schemas.openxmlformats.org/officeDocument/2006/relationships/hyperlink" Target="https://www.rba.gov.au/media-releases/2024/mr-24-16.html" TargetMode="External"/><Relationship Id="rId119" Type="http://schemas.openxmlformats.org/officeDocument/2006/relationships/hyperlink" Target="https://www.asic.gov.au/about-asic/news-centre/find-a-media-release/2025-releases/25-250mr-updated-asic-guidance-supports-digital-asset-innovation-and-boosts-investor-protection/" TargetMode="External"/><Relationship Id="rId44" Type="http://schemas.openxmlformats.org/officeDocument/2006/relationships/footer" Target="footer12.xml"/><Relationship Id="rId60" Type="http://schemas.openxmlformats.org/officeDocument/2006/relationships/hyperlink" Target="https://archive.budget.gov.au/2023-24/myefo/download/myefo2023-24.pdf" TargetMode="External"/><Relationship Id="rId65" Type="http://schemas.openxmlformats.org/officeDocument/2006/relationships/hyperlink" Target="https://github.com/ConsumerDataStandardsAustralia/standards/issues/369" TargetMode="External"/><Relationship Id="rId81" Type="http://schemas.openxmlformats.org/officeDocument/2006/relationships/hyperlink" Target="https://treasury.gov.au/consultation/c2023-469663" TargetMode="External"/><Relationship Id="rId86" Type="http://schemas.openxmlformats.org/officeDocument/2006/relationships/hyperlink" Target="https://www.austrac.gov.au/amlctf-reform/new-amlctf-rules" TargetMode="Externa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11.xml"/><Relationship Id="rId109" Type="http://schemas.openxmlformats.org/officeDocument/2006/relationships/hyperlink" Target="https://www.cfr.gov.au/publications/consultations/2025/review-into-small-and-medium-sized-banks/" TargetMode="External"/><Relationship Id="rId34" Type="http://schemas.openxmlformats.org/officeDocument/2006/relationships/image" Target="media/image13.png"/><Relationship Id="rId50" Type="http://schemas.openxmlformats.org/officeDocument/2006/relationships/footer" Target="footer15.xml"/><Relationship Id="rId55" Type="http://schemas.openxmlformats.org/officeDocument/2006/relationships/hyperlink" Target="https://treasury.gov.au/consultation/c2024-501098" TargetMode="External"/><Relationship Id="rId76" Type="http://schemas.openxmlformats.org/officeDocument/2006/relationships/hyperlink" Target="https://www.ato.gov.au/law/view/document?DocID=COD/LCR2026D1/NAT/ATO/00001&amp;PiT=99991231235958" TargetMode="External"/><Relationship Id="rId97" Type="http://schemas.openxmlformats.org/officeDocument/2006/relationships/hyperlink" Target="https://www.ato.gov.au/about-ato/ato-advice-and-guidance/advice-under-development-program/advice-under-development-income-tax-issues" TargetMode="External"/><Relationship Id="rId104" Type="http://schemas.openxmlformats.org/officeDocument/2006/relationships/hyperlink" Target="https://www.asic.gov.au/regulatory-resources/find-a-document/consultations/cp-388-net-tangible-assets-requirement-for-responsible-entities/" TargetMode="External"/><Relationship Id="rId120" Type="http://schemas.openxmlformats.org/officeDocument/2006/relationships/hyperlink" Target="https://www.asic.gov.au/regulatory-resources/find-a-document/regulatory-guides/rg-168-product-disclosure-statements-disclosure-and-other-obligations/" TargetMode="External"/><Relationship Id="rId125"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s://www.aph.gov.au/Parliamentary_Business/Bills_Legislation/Bills_Search_Results/Result?bId=r7133" TargetMode="External"/><Relationship Id="rId92" Type="http://schemas.openxmlformats.org/officeDocument/2006/relationships/hyperlink" Target="https://www.ato.gov.au/about-ato/ato-advice-and-guidance/advice-under-development-program/advice-under-development-superannuation-issues" TargetMode="External"/><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image" Target="media/image10.png"/><Relationship Id="rId40" Type="http://schemas.openxmlformats.org/officeDocument/2006/relationships/header" Target="header12.xml"/><Relationship Id="rId45" Type="http://schemas.openxmlformats.org/officeDocument/2006/relationships/header" Target="header14.xml"/><Relationship Id="rId66" Type="http://schemas.openxmlformats.org/officeDocument/2006/relationships/hyperlink" Target="https://consult.treasury.gov.au/c2025-717712" TargetMode="External"/><Relationship Id="rId87" Type="http://schemas.openxmlformats.org/officeDocument/2006/relationships/hyperlink" Target="https://consult.treasury.gov.au/c2025-672325" TargetMode="External"/><Relationship Id="rId110" Type="http://schemas.openxmlformats.org/officeDocument/2006/relationships/hyperlink" Target="https://fraa.gov.au/" TargetMode="External"/><Relationship Id="rId115" Type="http://schemas.openxmlformats.org/officeDocument/2006/relationships/hyperlink" Target="https://treasury.gov.au/consultation/c2024-569081" TargetMode="External"/><Relationship Id="rId61" Type="http://schemas.openxmlformats.org/officeDocument/2006/relationships/hyperlink" Target="https://ministers.treasury.gov.au/ministers/stephen-jones-2022/media-releases/total-ban-use-adverse-genetic-testing-results-life" TargetMode="External"/><Relationship Id="rId82" Type="http://schemas.openxmlformats.org/officeDocument/2006/relationships/hyperlink" Target="https://consult.treasury.gov.au/c2023-682313-personal-insolvency" TargetMode="Externa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9.xml"/><Relationship Id="rId35" Type="http://schemas.openxmlformats.org/officeDocument/2006/relationships/image" Target="media/image14.png"/><Relationship Id="rId56" Type="http://schemas.openxmlformats.org/officeDocument/2006/relationships/hyperlink" Target="https://consult.treasury.gov.au/c2024-682313-personal-insolvency" TargetMode="External"/><Relationship Id="rId77" Type="http://schemas.openxmlformats.org/officeDocument/2006/relationships/hyperlink" Target="https://www.ato.gov.au/law/view/document?DocID=COD/LCR2026D2/NAT/ATO/00001&amp;PiT=99991231235958" TargetMode="External"/><Relationship Id="rId100" Type="http://schemas.openxmlformats.org/officeDocument/2006/relationships/hyperlink" Target="https://treasury.gov.au/consultation/c2024-569081" TargetMode="External"/><Relationship Id="rId105" Type="http://schemas.openxmlformats.org/officeDocument/2006/relationships/hyperlink" Target="https://www.asic.gov.au/about-asic/news-centre/find-a-media-release/2025-releases/25-164mr-asic-to-review-superannuation-investment-requirements/" TargetMode="External"/><Relationship Id="rId8" Type="http://schemas.openxmlformats.org/officeDocument/2006/relationships/header" Target="header1.xml"/><Relationship Id="rId51" Type="http://schemas.openxmlformats.org/officeDocument/2006/relationships/hyperlink" Target="https://treasury.gov.au/publication/p2026-743986" TargetMode="External"/><Relationship Id="rId72" Type="http://schemas.openxmlformats.org/officeDocument/2006/relationships/hyperlink" Target="https://ministers.treasury.gov.au/ministers/stephen-jones-2022/media-releases/mandatory-service-standards-superannuation-industry" TargetMode="External"/><Relationship Id="rId93" Type="http://schemas.openxmlformats.org/officeDocument/2006/relationships/hyperlink" Target="https://www.ato.gov.au/law/view/document?docid=DPS/PSD20261/NAT/ATO/00001" TargetMode="External"/><Relationship Id="rId98" Type="http://schemas.openxmlformats.org/officeDocument/2006/relationships/hyperlink" Target="https://www.pm.gov.au/media/paying-superannuation-paid-parental-leave" TargetMode="External"/><Relationship Id="rId121" Type="http://schemas.openxmlformats.org/officeDocument/2006/relationships/hyperlink" Target="https://www.asic.gov.au/regulatory-resources/find-a-document/regulatory-guides/rg-181-afs-licensing-managing-conflicts-of-interest/" TargetMode="External"/><Relationship Id="rId3" Type="http://schemas.openxmlformats.org/officeDocument/2006/relationships/settings" Target="settings.xml"/><Relationship Id="rId25" Type="http://schemas.openxmlformats.org/officeDocument/2006/relationships/header" Target="header8.xml"/><Relationship Id="rId46" Type="http://schemas.openxmlformats.org/officeDocument/2006/relationships/header" Target="header15.xml"/><Relationship Id="rId67" Type="http://schemas.openxmlformats.org/officeDocument/2006/relationships/hyperlink" Target="https://treasury.gov.au/publication/p2023-471470" TargetMode="External"/><Relationship Id="rId116" Type="http://schemas.openxmlformats.org/officeDocument/2006/relationships/hyperlink" Target="https://www.aph.gov.au/Parliamentary_Business/Bills_Legislation/Bills_Search_Results/Result?bId=r7133" TargetMode="External"/><Relationship Id="rId20" Type="http://schemas.openxmlformats.org/officeDocument/2006/relationships/footer" Target="footer5.xml"/><Relationship Id="rId41" Type="http://schemas.openxmlformats.org/officeDocument/2006/relationships/footer" Target="footer10.xml"/><Relationship Id="rId62" Type="http://schemas.openxmlformats.org/officeDocument/2006/relationships/hyperlink" Target="https://www.aph.gov.au/Parliamentary_Business/Bills_Legislation/Bills_Search_Results/Result?bId=r7133" TargetMode="External"/><Relationship Id="rId83" Type="http://schemas.openxmlformats.org/officeDocument/2006/relationships/hyperlink" Target="https://consult.treasury.gov.au/c2023-682313-govt-response" TargetMode="External"/><Relationship Id="rId88" Type="http://schemas.openxmlformats.org/officeDocument/2006/relationships/hyperlink" Target="https://ministers.treasury.gov.au/ministers/stephen-jones-2022/transcripts/interview-patricia-karvelas-rn-breakfast-abc" TargetMode="External"/><Relationship Id="rId111" Type="http://schemas.openxmlformats.org/officeDocument/2006/relationships/hyperlink" Target="https://www.accc.gov.au/by-industry/insurance/insurance-monitoring" TargetMode="External"/><Relationship Id="rId15" Type="http://schemas.openxmlformats.org/officeDocument/2006/relationships/header" Target="header4.xml"/><Relationship Id="rId36" Type="http://schemas.openxmlformats.org/officeDocument/2006/relationships/image" Target="media/image15.png"/><Relationship Id="rId57" Type="http://schemas.openxmlformats.org/officeDocument/2006/relationships/hyperlink" Target="https://alp.org.au/news/labor-s-commitment-to-women/" TargetMode="External"/><Relationship Id="rId106" Type="http://schemas.openxmlformats.org/officeDocument/2006/relationships/hyperlink" Target="https://aus01.safelinks.protection.outlook.com/?url=https%3A%2F%2Fwww.asic.gov.au%2Fabout-asic%2Fnews-centre%2Fnews-items%2Fasic-s-guidance-for-market-intermediaries-on-pre-hedging%2F&amp;data=05%7C02%7CRamana.Paheerathan%40TREASURY.GOV.AU%7Cc56dc3c8501f44d611d308de7f4ac010%7C214f1646202147cc8397e3d3a7ba7d9d%7C0%7C0%7C639088156522706662%7CUnknown%7CTWFpbGZsb3d8eyJFbXB0eU1hcGkiOnRydWUsIlYiOiIwLjAuMDAwMCIsIlAiOiJXaW4zMiIsIkFOIjoiTWFpbCIsIldUIjoyfQ%3D%3D%7C0%7C%7C%7C&amp;sdata=wU7qoWrnHyTc%2Bw0rAKO%2Blf204Ysk5ukoEm30fFGT4ZI%3D&amp;reserved=0" TargetMode="External"/><Relationship Id="rId10" Type="http://schemas.openxmlformats.org/officeDocument/2006/relationships/image" Target="media/image3.wmf"/><Relationship Id="rId31" Type="http://schemas.openxmlformats.org/officeDocument/2006/relationships/image" Target="media/image11.jpg"/><Relationship Id="rId52" Type="http://schemas.openxmlformats.org/officeDocument/2006/relationships/hyperlink" Target="https://www.cfr.gov.au/news/2025/mr-25-04.html" TargetMode="External"/><Relationship Id="rId73" Type="http://schemas.openxmlformats.org/officeDocument/2006/relationships/hyperlink" Target="https://treasury.gov.au/review/competition-review-2023/mergers" TargetMode="External"/><Relationship Id="rId78" Type="http://schemas.openxmlformats.org/officeDocument/2006/relationships/hyperlink" Target="https://www.ato.gov.au/law/view/document?DocID=COD/LCR2026D3/NAT/ATO/00001&amp;PiT=99991231235958" TargetMode="External"/><Relationship Id="rId94" Type="http://schemas.openxmlformats.org/officeDocument/2006/relationships/hyperlink" Target="https://www.ato.gov.au/law/view/document?docid=DPS/PSD20262/NAT/ATO/00001" TargetMode="External"/><Relationship Id="rId99" Type="http://schemas.openxmlformats.org/officeDocument/2006/relationships/hyperlink" Target="https://asic.gov.au/regulatory-resources/find-a-document/regulatory-document-updates/regulatory-developments-timetable/" TargetMode="External"/><Relationship Id="rId101" Type="http://schemas.openxmlformats.org/officeDocument/2006/relationships/hyperlink" Target="https://www.ato.gov.au/about-ato/ato-advice-and-guidance/advice-under-development-program/advice-under-development-superannuation-issues" TargetMode="External"/><Relationship Id="rId122" Type="http://schemas.openxmlformats.org/officeDocument/2006/relationships/hyperlink" Target="https://www.asic.gov.au/regulatory-resources/find-a-document/regulatory-guides/rg-183-codes-of-conduct-for-the-financial-services-and-credit-sectors/" TargetMode="Externa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214f1646-2021-47cc-8397-e3d3a7ba7d9d}" enabled="0" method="" siteId="{214f1646-2021-47cc-8397-e3d3a7ba7d9d}"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63</Pages>
  <Words>11830</Words>
  <Characters>67432</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Regulatory Initiatives Grid Report</vt:lpstr>
    </vt:vector>
  </TitlesOfParts>
  <Manager/>
  <Company/>
  <LinksUpToDate>false</LinksUpToDate>
  <CharactersWithSpaces>79104</CharactersWithSpaces>
  <SharedDoc>false</SharedDoc>
  <HLinks>
    <vt:vector size="570" baseType="variant">
      <vt:variant>
        <vt:i4>3670061</vt:i4>
      </vt:variant>
      <vt:variant>
        <vt:i4>333</vt:i4>
      </vt:variant>
      <vt:variant>
        <vt:i4>0</vt:i4>
      </vt:variant>
      <vt:variant>
        <vt:i4>5</vt:i4>
      </vt:variant>
      <vt:variant>
        <vt:lpwstr>https://oia.pmc.gov.au/published-impact-analyses-and-reports/2021-foreign-investment-reforms-post-implementation-review</vt:lpwstr>
      </vt:variant>
      <vt:variant>
        <vt:lpwstr/>
      </vt:variant>
      <vt:variant>
        <vt:i4>5963847</vt:i4>
      </vt:variant>
      <vt:variant>
        <vt:i4>330</vt:i4>
      </vt:variant>
      <vt:variant>
        <vt:i4>0</vt:i4>
      </vt:variant>
      <vt:variant>
        <vt:i4>5</vt:i4>
      </vt:variant>
      <vt:variant>
        <vt:lpwstr>https://www.asic.gov.au/regulatory-resources/find-a-document/regulatory-guides/rg-183-codes-of-conduct-for-the-financial-services-and-credit-sectors/</vt:lpwstr>
      </vt:variant>
      <vt:variant>
        <vt:lpwstr/>
      </vt:variant>
      <vt:variant>
        <vt:i4>2949160</vt:i4>
      </vt:variant>
      <vt:variant>
        <vt:i4>327</vt:i4>
      </vt:variant>
      <vt:variant>
        <vt:i4>0</vt:i4>
      </vt:variant>
      <vt:variant>
        <vt:i4>5</vt:i4>
      </vt:variant>
      <vt:variant>
        <vt:lpwstr>https://www.asic.gov.au/regulatory-resources/find-a-document/regulatory-guides/rg-181-afs-licensing-managing-conflicts-of-interest/</vt:lpwstr>
      </vt:variant>
      <vt:variant>
        <vt:lpwstr/>
      </vt:variant>
      <vt:variant>
        <vt:i4>1835076</vt:i4>
      </vt:variant>
      <vt:variant>
        <vt:i4>324</vt:i4>
      </vt:variant>
      <vt:variant>
        <vt:i4>0</vt:i4>
      </vt:variant>
      <vt:variant>
        <vt:i4>5</vt:i4>
      </vt:variant>
      <vt:variant>
        <vt:lpwstr>https://www.asic.gov.au/regulatory-resources/find-a-document/regulatory-guides/rg-168-product-disclosure-statements-disclosure-and-other-obligations/</vt:lpwstr>
      </vt:variant>
      <vt:variant>
        <vt:lpwstr/>
      </vt:variant>
      <vt:variant>
        <vt:i4>6553638</vt:i4>
      </vt:variant>
      <vt:variant>
        <vt:i4>321</vt:i4>
      </vt:variant>
      <vt:variant>
        <vt:i4>0</vt:i4>
      </vt:variant>
      <vt:variant>
        <vt:i4>5</vt:i4>
      </vt:variant>
      <vt:variant>
        <vt:lpwstr>https://www.asic.gov.au/about-asic/news-centre/find-a-media-release/2025-releases/25-250mr-updated-asic-guidance-supports-digital-asset-innovation-and-boosts-investor-protection/</vt:lpwstr>
      </vt:variant>
      <vt:variant>
        <vt:lpwstr/>
      </vt:variant>
      <vt:variant>
        <vt:i4>2424945</vt:i4>
      </vt:variant>
      <vt:variant>
        <vt:i4>318</vt:i4>
      </vt:variant>
      <vt:variant>
        <vt:i4>0</vt:i4>
      </vt:variant>
      <vt:variant>
        <vt:i4>5</vt:i4>
      </vt:variant>
      <vt:variant>
        <vt:lpwstr>https://cslr.org.au/cslr-releases-fy2026-revised-levy-estimate/</vt:lpwstr>
      </vt:variant>
      <vt:variant>
        <vt:lpwstr/>
      </vt:variant>
      <vt:variant>
        <vt:i4>4325398</vt:i4>
      </vt:variant>
      <vt:variant>
        <vt:i4>315</vt:i4>
      </vt:variant>
      <vt:variant>
        <vt:i4>0</vt:i4>
      </vt:variant>
      <vt:variant>
        <vt:i4>5</vt:i4>
      </vt:variant>
      <vt:variant>
        <vt:lpwstr>https://www.aph.gov.au/Parliamentary_Business/Bills_Legislation/Bills_Search_Results/Result?bId=r7176</vt:lpwstr>
      </vt:variant>
      <vt:variant>
        <vt:lpwstr/>
      </vt:variant>
      <vt:variant>
        <vt:i4>4587542</vt:i4>
      </vt:variant>
      <vt:variant>
        <vt:i4>312</vt:i4>
      </vt:variant>
      <vt:variant>
        <vt:i4>0</vt:i4>
      </vt:variant>
      <vt:variant>
        <vt:i4>5</vt:i4>
      </vt:variant>
      <vt:variant>
        <vt:lpwstr>https://www.aph.gov.au/Parliamentary_Business/Bills_Legislation/Bills_Search_Results/Result?bId=r7133</vt:lpwstr>
      </vt:variant>
      <vt:variant>
        <vt:lpwstr/>
      </vt:variant>
      <vt:variant>
        <vt:i4>1310809</vt:i4>
      </vt:variant>
      <vt:variant>
        <vt:i4>309</vt:i4>
      </vt:variant>
      <vt:variant>
        <vt:i4>0</vt:i4>
      </vt:variant>
      <vt:variant>
        <vt:i4>5</vt:i4>
      </vt:variant>
      <vt:variant>
        <vt:lpwstr>https://treasury.gov.au/consultation/c2024-569081</vt:lpwstr>
      </vt:variant>
      <vt:variant>
        <vt:lpwstr/>
      </vt:variant>
      <vt:variant>
        <vt:i4>1704028</vt:i4>
      </vt:variant>
      <vt:variant>
        <vt:i4>306</vt:i4>
      </vt:variant>
      <vt:variant>
        <vt:i4>0</vt:i4>
      </vt:variant>
      <vt:variant>
        <vt:i4>5</vt:i4>
      </vt:variant>
      <vt:variant>
        <vt:lpwstr>https://www.rba.gov.au/media-releases/2024/mr-24-16.html</vt:lpwstr>
      </vt:variant>
      <vt:variant>
        <vt:lpwstr/>
      </vt:variant>
      <vt:variant>
        <vt:i4>5832796</vt:i4>
      </vt:variant>
      <vt:variant>
        <vt:i4>303</vt:i4>
      </vt:variant>
      <vt:variant>
        <vt:i4>0</vt:i4>
      </vt:variant>
      <vt:variant>
        <vt:i4>5</vt:i4>
      </vt:variant>
      <vt:variant>
        <vt:lpwstr>https://alp.org.au/news/labor-s-commitment-to-women/</vt:lpwstr>
      </vt:variant>
      <vt:variant>
        <vt:lpwstr/>
      </vt:variant>
      <vt:variant>
        <vt:i4>1704028</vt:i4>
      </vt:variant>
      <vt:variant>
        <vt:i4>300</vt:i4>
      </vt:variant>
      <vt:variant>
        <vt:i4>0</vt:i4>
      </vt:variant>
      <vt:variant>
        <vt:i4>5</vt:i4>
      </vt:variant>
      <vt:variant>
        <vt:lpwstr>https://www.rba.gov.au/media-releases/2024/mr-24-16.html</vt:lpwstr>
      </vt:variant>
      <vt:variant>
        <vt:lpwstr/>
      </vt:variant>
      <vt:variant>
        <vt:i4>2621546</vt:i4>
      </vt:variant>
      <vt:variant>
        <vt:i4>297</vt:i4>
      </vt:variant>
      <vt:variant>
        <vt:i4>0</vt:i4>
      </vt:variant>
      <vt:variant>
        <vt:i4>5</vt:i4>
      </vt:variant>
      <vt:variant>
        <vt:lpwstr>https://www.accc.gov.au/by-industry/insurance/insurance-monitoring</vt:lpwstr>
      </vt:variant>
      <vt:variant>
        <vt:lpwstr/>
      </vt:variant>
      <vt:variant>
        <vt:i4>6094941</vt:i4>
      </vt:variant>
      <vt:variant>
        <vt:i4>294</vt:i4>
      </vt:variant>
      <vt:variant>
        <vt:i4>0</vt:i4>
      </vt:variant>
      <vt:variant>
        <vt:i4>5</vt:i4>
      </vt:variant>
      <vt:variant>
        <vt:lpwstr>https://fraa.gov.au/</vt:lpwstr>
      </vt:variant>
      <vt:variant>
        <vt:lpwstr/>
      </vt:variant>
      <vt:variant>
        <vt:i4>5832704</vt:i4>
      </vt:variant>
      <vt:variant>
        <vt:i4>291</vt:i4>
      </vt:variant>
      <vt:variant>
        <vt:i4>0</vt:i4>
      </vt:variant>
      <vt:variant>
        <vt:i4>5</vt:i4>
      </vt:variant>
      <vt:variant>
        <vt:lpwstr>https://www.cfr.gov.au/publications/consultations/2025/review-into-small-and-medium-sized-banks/</vt:lpwstr>
      </vt:variant>
      <vt:variant>
        <vt:lpwstr/>
      </vt:variant>
      <vt:variant>
        <vt:i4>3342382</vt:i4>
      </vt:variant>
      <vt:variant>
        <vt:i4>288</vt:i4>
      </vt:variant>
      <vt:variant>
        <vt:i4>0</vt:i4>
      </vt:variant>
      <vt:variant>
        <vt:i4>5</vt:i4>
      </vt:variant>
      <vt:variant>
        <vt:lpwstr>https://treasury.gov.au/review/cslr-post-implementation-review</vt:lpwstr>
      </vt:variant>
      <vt:variant>
        <vt:lpwstr/>
      </vt:variant>
      <vt:variant>
        <vt:i4>2752564</vt:i4>
      </vt:variant>
      <vt:variant>
        <vt:i4>285</vt:i4>
      </vt:variant>
      <vt:variant>
        <vt:i4>0</vt:i4>
      </vt:variant>
      <vt:variant>
        <vt:i4>5</vt:i4>
      </vt:variant>
      <vt:variant>
        <vt:lpwstr>https://aus01.safelinks.protection.outlook.com/?url=https%3A%2F%2Fwww.iosco.org%2Flibrary%2Fpubdocs%2Fpdf%2FIOSCOPD805.pdf&amp;data=05%7C02%7CRamana.Paheerathan%40TREASURY.GOV.AU%7Cc56dc3c8501f44d611d308de7f4ac010%7C214f1646202147cc8397e3d3a7ba7d9d%7C0%7C0%7C639088156522744219%7CUnknown%7CTWFpbGZsb3d8eyJFbXB0eU1hcGkiOnRydWUsIlYiOiIwLjAuMDAwMCIsIlAiOiJXaW4zMiIsIkFOIjoiTWFpbCIsIldUIjoyfQ%3D%3D%7C0%7C%7C%7C&amp;sdata=bIYl1B%2FYqcV0SDYL2PfhfS5Yd39dgArcE%2FczO4KmA3E%3D&amp;reserved=0</vt:lpwstr>
      </vt:variant>
      <vt:variant>
        <vt:lpwstr/>
      </vt:variant>
      <vt:variant>
        <vt:i4>2687028</vt:i4>
      </vt:variant>
      <vt:variant>
        <vt:i4>282</vt:i4>
      </vt:variant>
      <vt:variant>
        <vt:i4>0</vt:i4>
      </vt:variant>
      <vt:variant>
        <vt:i4>5</vt:i4>
      </vt:variant>
      <vt:variant>
        <vt:lpwstr>https://aus01.safelinks.protection.outlook.com/?url=https%3A%2F%2Fwww.asic.gov.au%2Fabout-asic%2Fnews-centre%2Fnews-items%2Fasic-s-guidance-for-market-intermediaries-on-pre-hedging%2F&amp;data=05%7C02%7CRamana.Paheerathan%40TREASURY.GOV.AU%7Cc56dc3c8501f44d611d308de7f4ac010%7C214f1646202147cc8397e3d3a7ba7d9d%7C0%7C0%7C639088156522706662%7CUnknown%7CTWFpbGZsb3d8eyJFbXB0eU1hcGkiOnRydWUsIlYiOiIwLjAuMDAwMCIsIlAiOiJXaW4zMiIsIkFOIjoiTWFpbCIsIldUIjoyfQ%3D%3D%7C0%7C%7C%7C&amp;sdata=wU7qoWrnHyTc%2Bw0rAKO%2Blf204Ysk5ukoEm30fFGT4ZI%3D&amp;reserved=0</vt:lpwstr>
      </vt:variant>
      <vt:variant>
        <vt:lpwstr/>
      </vt:variant>
      <vt:variant>
        <vt:i4>4521997</vt:i4>
      </vt:variant>
      <vt:variant>
        <vt:i4>279</vt:i4>
      </vt:variant>
      <vt:variant>
        <vt:i4>0</vt:i4>
      </vt:variant>
      <vt:variant>
        <vt:i4>5</vt:i4>
      </vt:variant>
      <vt:variant>
        <vt:lpwstr>https://www.asic.gov.au/about-asic/news-centre/find-a-media-release/2025-releases/25-164mr-asic-to-review-superannuation-investment-requirements/</vt:lpwstr>
      </vt:variant>
      <vt:variant>
        <vt:lpwstr/>
      </vt:variant>
      <vt:variant>
        <vt:i4>7995498</vt:i4>
      </vt:variant>
      <vt:variant>
        <vt:i4>276</vt:i4>
      </vt:variant>
      <vt:variant>
        <vt:i4>0</vt:i4>
      </vt:variant>
      <vt:variant>
        <vt:i4>5</vt:i4>
      </vt:variant>
      <vt:variant>
        <vt:lpwstr>https://www.asic.gov.au/regulatory-resources/find-a-document/consultations/cp-388-net-tangible-assets-requirement-for-responsible-entities/</vt:lpwstr>
      </vt:variant>
      <vt:variant>
        <vt:lpwstr/>
      </vt:variant>
      <vt:variant>
        <vt:i4>2687038</vt:i4>
      </vt:variant>
      <vt:variant>
        <vt:i4>273</vt:i4>
      </vt:variant>
      <vt:variant>
        <vt:i4>0</vt:i4>
      </vt:variant>
      <vt:variant>
        <vt:i4>5</vt:i4>
      </vt:variant>
      <vt:variant>
        <vt:lpwstr>https://www.legislation.gov.au/F2023L01162/asmade/text</vt:lpwstr>
      </vt:variant>
      <vt:variant>
        <vt:lpwstr/>
      </vt:variant>
      <vt:variant>
        <vt:i4>393229</vt:i4>
      </vt:variant>
      <vt:variant>
        <vt:i4>270</vt:i4>
      </vt:variant>
      <vt:variant>
        <vt:i4>0</vt:i4>
      </vt:variant>
      <vt:variant>
        <vt:i4>5</vt:i4>
      </vt:variant>
      <vt:variant>
        <vt:lpwstr>https://www.ato.gov.au/law/view/document?docid=DCC/LCR20169DC1/NAT/ATO/00001</vt:lpwstr>
      </vt:variant>
      <vt:variant>
        <vt:lpwstr/>
      </vt:variant>
      <vt:variant>
        <vt:i4>6160475</vt:i4>
      </vt:variant>
      <vt:variant>
        <vt:i4>267</vt:i4>
      </vt:variant>
      <vt:variant>
        <vt:i4>0</vt:i4>
      </vt:variant>
      <vt:variant>
        <vt:i4>5</vt:i4>
      </vt:variant>
      <vt:variant>
        <vt:lpwstr>https://www.ato.gov.au/about-ato/ato-advice-and-guidance/advice-under-development-program/advice-under-development-superannuation-issues</vt:lpwstr>
      </vt:variant>
      <vt:variant>
        <vt:lpwstr>ato-4242Superannuationreformtransferbalancecapnew</vt:lpwstr>
      </vt:variant>
      <vt:variant>
        <vt:i4>1310809</vt:i4>
      </vt:variant>
      <vt:variant>
        <vt:i4>264</vt:i4>
      </vt:variant>
      <vt:variant>
        <vt:i4>0</vt:i4>
      </vt:variant>
      <vt:variant>
        <vt:i4>5</vt:i4>
      </vt:variant>
      <vt:variant>
        <vt:lpwstr>https://treasury.gov.au/consultation/c2024-569081</vt:lpwstr>
      </vt:variant>
      <vt:variant>
        <vt:lpwstr/>
      </vt:variant>
      <vt:variant>
        <vt:i4>3538996</vt:i4>
      </vt:variant>
      <vt:variant>
        <vt:i4>261</vt:i4>
      </vt:variant>
      <vt:variant>
        <vt:i4>0</vt:i4>
      </vt:variant>
      <vt:variant>
        <vt:i4>5</vt:i4>
      </vt:variant>
      <vt:variant>
        <vt:lpwstr>https://asic.gov.au/regulatory-resources/find-a-document/regulatory-document-updates/regulatory-developments-timetable/</vt:lpwstr>
      </vt:variant>
      <vt:variant>
        <vt:lpwstr/>
      </vt:variant>
      <vt:variant>
        <vt:i4>6029396</vt:i4>
      </vt:variant>
      <vt:variant>
        <vt:i4>258</vt:i4>
      </vt:variant>
      <vt:variant>
        <vt:i4>0</vt:i4>
      </vt:variant>
      <vt:variant>
        <vt:i4>5</vt:i4>
      </vt:variant>
      <vt:variant>
        <vt:lpwstr>https://www.pm.gov.au/media/paying-superannuation-paid-parental-leave</vt:lpwstr>
      </vt:variant>
      <vt:variant>
        <vt:lpwstr/>
      </vt:variant>
      <vt:variant>
        <vt:i4>6160474</vt:i4>
      </vt:variant>
      <vt:variant>
        <vt:i4>255</vt:i4>
      </vt:variant>
      <vt:variant>
        <vt:i4>0</vt:i4>
      </vt:variant>
      <vt:variant>
        <vt:i4>5</vt:i4>
      </vt:variant>
      <vt:variant>
        <vt:lpwstr>https://www.ato.gov.au/about-ato/ato-advice-and-guidance/advice-under-development-program/advice-under-development-income-tax-issues</vt:lpwstr>
      </vt:variant>
      <vt:variant>
        <vt:lpwstr/>
      </vt:variant>
      <vt:variant>
        <vt:i4>4063293</vt:i4>
      </vt:variant>
      <vt:variant>
        <vt:i4>252</vt:i4>
      </vt:variant>
      <vt:variant>
        <vt:i4>0</vt:i4>
      </vt:variant>
      <vt:variant>
        <vt:i4>5</vt:i4>
      </vt:variant>
      <vt:variant>
        <vt:lpwstr>https://www.cdr.gov.au/rollout/cdr-non-bank-lenders-sector</vt:lpwstr>
      </vt:variant>
      <vt:variant>
        <vt:lpwstr/>
      </vt:variant>
      <vt:variant>
        <vt:i4>5636168</vt:i4>
      </vt:variant>
      <vt:variant>
        <vt:i4>249</vt:i4>
      </vt:variant>
      <vt:variant>
        <vt:i4>0</vt:i4>
      </vt:variant>
      <vt:variant>
        <vt:i4>5</vt:i4>
      </vt:variant>
      <vt:variant>
        <vt:lpwstr>https://cslr.org.au/</vt:lpwstr>
      </vt:variant>
      <vt:variant>
        <vt:lpwstr/>
      </vt:variant>
      <vt:variant>
        <vt:i4>4325398</vt:i4>
      </vt:variant>
      <vt:variant>
        <vt:i4>246</vt:i4>
      </vt:variant>
      <vt:variant>
        <vt:i4>0</vt:i4>
      </vt:variant>
      <vt:variant>
        <vt:i4>5</vt:i4>
      </vt:variant>
      <vt:variant>
        <vt:lpwstr>https://www.aph.gov.au/Parliamentary_Business/Bills_Legislation/Bills_Search_Results/Result?bId=r7176</vt:lpwstr>
      </vt:variant>
      <vt:variant>
        <vt:lpwstr/>
      </vt:variant>
      <vt:variant>
        <vt:i4>1769567</vt:i4>
      </vt:variant>
      <vt:variant>
        <vt:i4>243</vt:i4>
      </vt:variant>
      <vt:variant>
        <vt:i4>0</vt:i4>
      </vt:variant>
      <vt:variant>
        <vt:i4>5</vt:i4>
      </vt:variant>
      <vt:variant>
        <vt:lpwstr>https://www.rba.gov.au/media-releases/2026/mr-26-05.html</vt:lpwstr>
      </vt:variant>
      <vt:variant>
        <vt:lpwstr/>
      </vt:variant>
      <vt:variant>
        <vt:i4>5636171</vt:i4>
      </vt:variant>
      <vt:variant>
        <vt:i4>240</vt:i4>
      </vt:variant>
      <vt:variant>
        <vt:i4>0</vt:i4>
      </vt:variant>
      <vt:variant>
        <vt:i4>5</vt:i4>
      </vt:variant>
      <vt:variant>
        <vt:lpwstr>https://www.ato.gov.au/law/view/document?docid=DPS/PSD20262/NAT/ATO/00001</vt:lpwstr>
      </vt:variant>
      <vt:variant>
        <vt:lpwstr/>
      </vt:variant>
      <vt:variant>
        <vt:i4>5636168</vt:i4>
      </vt:variant>
      <vt:variant>
        <vt:i4>237</vt:i4>
      </vt:variant>
      <vt:variant>
        <vt:i4>0</vt:i4>
      </vt:variant>
      <vt:variant>
        <vt:i4>5</vt:i4>
      </vt:variant>
      <vt:variant>
        <vt:lpwstr>https://www.ato.gov.au/law/view/document?docid=DPS/PSD20261/NAT/ATO/00001</vt:lpwstr>
      </vt:variant>
      <vt:variant>
        <vt:lpwstr/>
      </vt:variant>
      <vt:variant>
        <vt:i4>262219</vt:i4>
      </vt:variant>
      <vt:variant>
        <vt:i4>234</vt:i4>
      </vt:variant>
      <vt:variant>
        <vt:i4>0</vt:i4>
      </vt:variant>
      <vt:variant>
        <vt:i4>5</vt:i4>
      </vt:variant>
      <vt:variant>
        <vt:lpwstr>https://www.ato.gov.au/about-ato/ato-advice-and-guidance/advice-under-development-program/advice-under-development-superannuation-issues</vt:lpwstr>
      </vt:variant>
      <vt:variant>
        <vt:lpwstr/>
      </vt:variant>
      <vt:variant>
        <vt:i4>4784216</vt:i4>
      </vt:variant>
      <vt:variant>
        <vt:i4>231</vt:i4>
      </vt:variant>
      <vt:variant>
        <vt:i4>0</vt:i4>
      </vt:variant>
      <vt:variant>
        <vt:i4>5</vt:i4>
      </vt:variant>
      <vt:variant>
        <vt:lpwstr>https://www.rba.gov.au/payments-and-infrastructure/review-of-retail-payments-regulation/2026-03/non-tech-summary.html</vt:lpwstr>
      </vt:variant>
      <vt:variant>
        <vt:lpwstr/>
      </vt:variant>
      <vt:variant>
        <vt:i4>720918</vt:i4>
      </vt:variant>
      <vt:variant>
        <vt:i4>228</vt:i4>
      </vt:variant>
      <vt:variant>
        <vt:i4>0</vt:i4>
      </vt:variant>
      <vt:variant>
        <vt:i4>5</vt:i4>
      </vt:variant>
      <vt:variant>
        <vt:lpwstr>https://treasury.gov.au/publication/p2024-555854</vt:lpwstr>
      </vt:variant>
      <vt:variant>
        <vt:lpwstr/>
      </vt:variant>
      <vt:variant>
        <vt:i4>3735663</vt:i4>
      </vt:variant>
      <vt:variant>
        <vt:i4>225</vt:i4>
      </vt:variant>
      <vt:variant>
        <vt:i4>0</vt:i4>
      </vt:variant>
      <vt:variant>
        <vt:i4>5</vt:i4>
      </vt:variant>
      <vt:variant>
        <vt:lpwstr>https://ministers.treasury.gov.au/ministers/jim-chalmers-2022/transcripts/press-conference-canberra-26</vt:lpwstr>
      </vt:variant>
      <vt:variant>
        <vt:lpwstr/>
      </vt:variant>
      <vt:variant>
        <vt:i4>6815789</vt:i4>
      </vt:variant>
      <vt:variant>
        <vt:i4>222</vt:i4>
      </vt:variant>
      <vt:variant>
        <vt:i4>0</vt:i4>
      </vt:variant>
      <vt:variant>
        <vt:i4>5</vt:i4>
      </vt:variant>
      <vt:variant>
        <vt:lpwstr>https://ministers.treasury.gov.au/ministers/stephen-jones-2022/transcripts/interview-patricia-karvelas-rn-breakfast-abc</vt:lpwstr>
      </vt:variant>
      <vt:variant>
        <vt:lpwstr/>
      </vt:variant>
      <vt:variant>
        <vt:i4>1245206</vt:i4>
      </vt:variant>
      <vt:variant>
        <vt:i4>219</vt:i4>
      </vt:variant>
      <vt:variant>
        <vt:i4>0</vt:i4>
      </vt:variant>
      <vt:variant>
        <vt:i4>5</vt:i4>
      </vt:variant>
      <vt:variant>
        <vt:lpwstr>https://consult.treasury.gov.au/c2025-672325</vt:lpwstr>
      </vt:variant>
      <vt:variant>
        <vt:lpwstr/>
      </vt:variant>
      <vt:variant>
        <vt:i4>6029315</vt:i4>
      </vt:variant>
      <vt:variant>
        <vt:i4>216</vt:i4>
      </vt:variant>
      <vt:variant>
        <vt:i4>0</vt:i4>
      </vt:variant>
      <vt:variant>
        <vt:i4>5</vt:i4>
      </vt:variant>
      <vt:variant>
        <vt:lpwstr>https://www.austrac.gov.au/amlctf-reform/new-amlctf-rules</vt:lpwstr>
      </vt:variant>
      <vt:variant>
        <vt:lpwstr/>
      </vt:variant>
      <vt:variant>
        <vt:i4>79</vt:i4>
      </vt:variant>
      <vt:variant>
        <vt:i4>213</vt:i4>
      </vt:variant>
      <vt:variant>
        <vt:i4>0</vt:i4>
      </vt:variant>
      <vt:variant>
        <vt:i4>5</vt:i4>
      </vt:variant>
      <vt:variant>
        <vt:lpwstr>https://www.austrac.gov.au/second-stage-consultation-reforming-australias-amlctf-regime-now-open</vt:lpwstr>
      </vt:variant>
      <vt:variant>
        <vt:lpwstr/>
      </vt:variant>
      <vt:variant>
        <vt:i4>6619169</vt:i4>
      </vt:variant>
      <vt:variant>
        <vt:i4>210</vt:i4>
      </vt:variant>
      <vt:variant>
        <vt:i4>0</vt:i4>
      </vt:variant>
      <vt:variant>
        <vt:i4>5</vt:i4>
      </vt:variant>
      <vt:variant>
        <vt:lpwstr>https://www.austrac.gov.au/reforms/amlctf-transitional-rules-update</vt:lpwstr>
      </vt:variant>
      <vt:variant>
        <vt:lpwstr/>
      </vt:variant>
      <vt:variant>
        <vt:i4>3670072</vt:i4>
      </vt:variant>
      <vt:variant>
        <vt:i4>207</vt:i4>
      </vt:variant>
      <vt:variant>
        <vt:i4>0</vt:i4>
      </vt:variant>
      <vt:variant>
        <vt:i4>5</vt:i4>
      </vt:variant>
      <vt:variant>
        <vt:lpwstr>https://consult.treasury.gov.au/c2023-682313-govt-response</vt:lpwstr>
      </vt:variant>
      <vt:variant>
        <vt:lpwstr/>
      </vt:variant>
      <vt:variant>
        <vt:i4>5963866</vt:i4>
      </vt:variant>
      <vt:variant>
        <vt:i4>204</vt:i4>
      </vt:variant>
      <vt:variant>
        <vt:i4>0</vt:i4>
      </vt:variant>
      <vt:variant>
        <vt:i4>5</vt:i4>
      </vt:variant>
      <vt:variant>
        <vt:lpwstr>https://consult.treasury.gov.au/c2023-682313-personal-insolvency</vt:lpwstr>
      </vt:variant>
      <vt:variant>
        <vt:lpwstr/>
      </vt:variant>
      <vt:variant>
        <vt:i4>1835103</vt:i4>
      </vt:variant>
      <vt:variant>
        <vt:i4>201</vt:i4>
      </vt:variant>
      <vt:variant>
        <vt:i4>0</vt:i4>
      </vt:variant>
      <vt:variant>
        <vt:i4>5</vt:i4>
      </vt:variant>
      <vt:variant>
        <vt:lpwstr>https://treasury.gov.au/consultation/c2023-469663</vt:lpwstr>
      </vt:variant>
      <vt:variant>
        <vt:lpwstr/>
      </vt:variant>
      <vt:variant>
        <vt:i4>4456467</vt:i4>
      </vt:variant>
      <vt:variant>
        <vt:i4>198</vt:i4>
      </vt:variant>
      <vt:variant>
        <vt:i4>0</vt:i4>
      </vt:variant>
      <vt:variant>
        <vt:i4>5</vt:i4>
      </vt:variant>
      <vt:variant>
        <vt:lpwstr>https://www.aph.gov.au/Parliamentary_Business/Bills_Legislation/Bills_Search_Results/Result?bId=r7412</vt:lpwstr>
      </vt:variant>
      <vt:variant>
        <vt:lpwstr/>
      </vt:variant>
      <vt:variant>
        <vt:i4>5439559</vt:i4>
      </vt:variant>
      <vt:variant>
        <vt:i4>195</vt:i4>
      </vt:variant>
      <vt:variant>
        <vt:i4>0</vt:i4>
      </vt:variant>
      <vt:variant>
        <vt:i4>5</vt:i4>
      </vt:variant>
      <vt:variant>
        <vt:lpwstr>https://www.ato.gov.au/law/view/document?DocID=COD/LCR2026D4/NAT/ATO/00001&amp;PiT=99991231235958</vt:lpwstr>
      </vt:variant>
      <vt:variant>
        <vt:lpwstr/>
      </vt:variant>
      <vt:variant>
        <vt:i4>5505095</vt:i4>
      </vt:variant>
      <vt:variant>
        <vt:i4>192</vt:i4>
      </vt:variant>
      <vt:variant>
        <vt:i4>0</vt:i4>
      </vt:variant>
      <vt:variant>
        <vt:i4>5</vt:i4>
      </vt:variant>
      <vt:variant>
        <vt:lpwstr>https://www.ato.gov.au/law/view/document?DocID=COD/LCR2026D3/NAT/ATO/00001&amp;PiT=99991231235958</vt:lpwstr>
      </vt:variant>
      <vt:variant>
        <vt:lpwstr/>
      </vt:variant>
      <vt:variant>
        <vt:i4>5570631</vt:i4>
      </vt:variant>
      <vt:variant>
        <vt:i4>189</vt:i4>
      </vt:variant>
      <vt:variant>
        <vt:i4>0</vt:i4>
      </vt:variant>
      <vt:variant>
        <vt:i4>5</vt:i4>
      </vt:variant>
      <vt:variant>
        <vt:lpwstr>https://www.ato.gov.au/law/view/document?DocID=COD/LCR2026D2/NAT/ATO/00001&amp;PiT=99991231235958</vt:lpwstr>
      </vt:variant>
      <vt:variant>
        <vt:lpwstr/>
      </vt:variant>
      <vt:variant>
        <vt:i4>5636167</vt:i4>
      </vt:variant>
      <vt:variant>
        <vt:i4>186</vt:i4>
      </vt:variant>
      <vt:variant>
        <vt:i4>0</vt:i4>
      </vt:variant>
      <vt:variant>
        <vt:i4>5</vt:i4>
      </vt:variant>
      <vt:variant>
        <vt:lpwstr>https://www.ato.gov.au/law/view/document?DocID=COD/LCR2026D1/NAT/ATO/00001&amp;PiT=99991231235958</vt:lpwstr>
      </vt:variant>
      <vt:variant>
        <vt:lpwstr/>
      </vt:variant>
      <vt:variant>
        <vt:i4>3211305</vt:i4>
      </vt:variant>
      <vt:variant>
        <vt:i4>183</vt:i4>
      </vt:variant>
      <vt:variant>
        <vt:i4>0</vt:i4>
      </vt:variant>
      <vt:variant>
        <vt:i4>5</vt:i4>
      </vt:variant>
      <vt:variant>
        <vt:lpwstr>https://www.ato.gov.au/about-ato/ato-advice-and-guidance/advice-under-development-program/advice-under-development-superannuation-issues</vt:lpwstr>
      </vt:variant>
      <vt:variant>
        <vt:lpwstr>ato-4253PaydaySuperupdated</vt:lpwstr>
      </vt:variant>
      <vt:variant>
        <vt:i4>6094865</vt:i4>
      </vt:variant>
      <vt:variant>
        <vt:i4>180</vt:i4>
      </vt:variant>
      <vt:variant>
        <vt:i4>0</vt:i4>
      </vt:variant>
      <vt:variant>
        <vt:i4>5</vt:i4>
      </vt:variant>
      <vt:variant>
        <vt:lpwstr>https://ministers.treasury.gov.au/ministers/stephen-jones-2022/media-releases/payday-superannuation-design-details-ensure-super-paid</vt:lpwstr>
      </vt:variant>
      <vt:variant>
        <vt:lpwstr/>
      </vt:variant>
      <vt:variant>
        <vt:i4>6881405</vt:i4>
      </vt:variant>
      <vt:variant>
        <vt:i4>177</vt:i4>
      </vt:variant>
      <vt:variant>
        <vt:i4>0</vt:i4>
      </vt:variant>
      <vt:variant>
        <vt:i4>5</vt:i4>
      </vt:variant>
      <vt:variant>
        <vt:lpwstr>https://treasury.gov.au/review/competition-review-2023/mergers</vt:lpwstr>
      </vt:variant>
      <vt:variant>
        <vt:lpwstr/>
      </vt:variant>
      <vt:variant>
        <vt:i4>5242910</vt:i4>
      </vt:variant>
      <vt:variant>
        <vt:i4>174</vt:i4>
      </vt:variant>
      <vt:variant>
        <vt:i4>0</vt:i4>
      </vt:variant>
      <vt:variant>
        <vt:i4>5</vt:i4>
      </vt:variant>
      <vt:variant>
        <vt:lpwstr>https://ministers.treasury.gov.au/ministers/stephen-jones-2022/media-releases/mandatory-service-standards-superannuation-industry</vt:lpwstr>
      </vt:variant>
      <vt:variant>
        <vt:lpwstr/>
      </vt:variant>
      <vt:variant>
        <vt:i4>4587542</vt:i4>
      </vt:variant>
      <vt:variant>
        <vt:i4>171</vt:i4>
      </vt:variant>
      <vt:variant>
        <vt:i4>0</vt:i4>
      </vt:variant>
      <vt:variant>
        <vt:i4>5</vt:i4>
      </vt:variant>
      <vt:variant>
        <vt:lpwstr>https://www.aph.gov.au/Parliamentary_Business/Bills_Legislation/Bills_Search_Results/Result?bId=r7133</vt:lpwstr>
      </vt:variant>
      <vt:variant>
        <vt:lpwstr/>
      </vt:variant>
      <vt:variant>
        <vt:i4>4456449</vt:i4>
      </vt:variant>
      <vt:variant>
        <vt:i4>168</vt:i4>
      </vt:variant>
      <vt:variant>
        <vt:i4>0</vt:i4>
      </vt:variant>
      <vt:variant>
        <vt:i4>5</vt:i4>
      </vt:variant>
      <vt:variant>
        <vt:lpwstr>https://ministers.treasury.gov.au/ministers/jim-chalmers-2022/media-releases/helping-australians-get-better-deal-banking-products</vt:lpwstr>
      </vt:variant>
      <vt:variant>
        <vt:lpwstr/>
      </vt:variant>
      <vt:variant>
        <vt:i4>6619253</vt:i4>
      </vt:variant>
      <vt:variant>
        <vt:i4>165</vt:i4>
      </vt:variant>
      <vt:variant>
        <vt:i4>0</vt:i4>
      </vt:variant>
      <vt:variant>
        <vt:i4>5</vt:i4>
      </vt:variant>
      <vt:variant>
        <vt:lpwstr>https://ministers.treasury.gov.au/ministers/jim-chalmers-2022/media-releases/improving-retirement-phase-superannuation</vt:lpwstr>
      </vt:variant>
      <vt:variant>
        <vt:lpwstr/>
      </vt:variant>
      <vt:variant>
        <vt:i4>1310813</vt:i4>
      </vt:variant>
      <vt:variant>
        <vt:i4>162</vt:i4>
      </vt:variant>
      <vt:variant>
        <vt:i4>0</vt:i4>
      </vt:variant>
      <vt:variant>
        <vt:i4>5</vt:i4>
      </vt:variant>
      <vt:variant>
        <vt:lpwstr>https://treasury.gov.au/consultation/c2023-427004</vt:lpwstr>
      </vt:variant>
      <vt:variant>
        <vt:lpwstr/>
      </vt:variant>
      <vt:variant>
        <vt:i4>65558</vt:i4>
      </vt:variant>
      <vt:variant>
        <vt:i4>159</vt:i4>
      </vt:variant>
      <vt:variant>
        <vt:i4>0</vt:i4>
      </vt:variant>
      <vt:variant>
        <vt:i4>5</vt:i4>
      </vt:variant>
      <vt:variant>
        <vt:lpwstr>https://treasury.gov.au/publication/p2023-471470</vt:lpwstr>
      </vt:variant>
      <vt:variant>
        <vt:lpwstr/>
      </vt:variant>
      <vt:variant>
        <vt:i4>1441809</vt:i4>
      </vt:variant>
      <vt:variant>
        <vt:i4>156</vt:i4>
      </vt:variant>
      <vt:variant>
        <vt:i4>0</vt:i4>
      </vt:variant>
      <vt:variant>
        <vt:i4>5</vt:i4>
      </vt:variant>
      <vt:variant>
        <vt:lpwstr>https://consult.treasury.gov.au/c2025-717712</vt:lpwstr>
      </vt:variant>
      <vt:variant>
        <vt:lpwstr/>
      </vt:variant>
      <vt:variant>
        <vt:i4>7274536</vt:i4>
      </vt:variant>
      <vt:variant>
        <vt:i4>153</vt:i4>
      </vt:variant>
      <vt:variant>
        <vt:i4>0</vt:i4>
      </vt:variant>
      <vt:variant>
        <vt:i4>5</vt:i4>
      </vt:variant>
      <vt:variant>
        <vt:lpwstr>https://github.com/ConsumerDataStandardsAustralia/standards/issues/369</vt:lpwstr>
      </vt:variant>
      <vt:variant>
        <vt:lpwstr/>
      </vt:variant>
      <vt:variant>
        <vt:i4>2097257</vt:i4>
      </vt:variant>
      <vt:variant>
        <vt:i4>150</vt:i4>
      </vt:variant>
      <vt:variant>
        <vt:i4>0</vt:i4>
      </vt:variant>
      <vt:variant>
        <vt:i4>5</vt:i4>
      </vt:variant>
      <vt:variant>
        <vt:lpwstr>https://ministers.treasury.gov.au/ministers/jim-chalmers-2022/media-releases/mandating-cash-acceptance</vt:lpwstr>
      </vt:variant>
      <vt:variant>
        <vt:lpwstr/>
      </vt:variant>
      <vt:variant>
        <vt:i4>4980758</vt:i4>
      </vt:variant>
      <vt:variant>
        <vt:i4>147</vt:i4>
      </vt:variant>
      <vt:variant>
        <vt:i4>0</vt:i4>
      </vt:variant>
      <vt:variant>
        <vt:i4>5</vt:i4>
      </vt:variant>
      <vt:variant>
        <vt:lpwstr>https://www.aph.gov.au/Parliamentary_Business/Bills_Legislation/Bills_Search_Results/Result?bId=r7199</vt:lpwstr>
      </vt:variant>
      <vt:variant>
        <vt:lpwstr/>
      </vt:variant>
      <vt:variant>
        <vt:i4>4587542</vt:i4>
      </vt:variant>
      <vt:variant>
        <vt:i4>144</vt:i4>
      </vt:variant>
      <vt:variant>
        <vt:i4>0</vt:i4>
      </vt:variant>
      <vt:variant>
        <vt:i4>5</vt:i4>
      </vt:variant>
      <vt:variant>
        <vt:lpwstr>https://www.aph.gov.au/Parliamentary_Business/Bills_Legislation/Bills_Search_Results/Result?bId=r7133</vt:lpwstr>
      </vt:variant>
      <vt:variant>
        <vt:lpwstr/>
      </vt:variant>
      <vt:variant>
        <vt:i4>5832784</vt:i4>
      </vt:variant>
      <vt:variant>
        <vt:i4>141</vt:i4>
      </vt:variant>
      <vt:variant>
        <vt:i4>0</vt:i4>
      </vt:variant>
      <vt:variant>
        <vt:i4>5</vt:i4>
      </vt:variant>
      <vt:variant>
        <vt:lpwstr>https://ministers.treasury.gov.au/ministers/stephen-jones-2022/media-releases/total-ban-use-adverse-genetic-testing-results-life</vt:lpwstr>
      </vt:variant>
      <vt:variant>
        <vt:lpwstr/>
      </vt:variant>
      <vt:variant>
        <vt:i4>5373966</vt:i4>
      </vt:variant>
      <vt:variant>
        <vt:i4>138</vt:i4>
      </vt:variant>
      <vt:variant>
        <vt:i4>0</vt:i4>
      </vt:variant>
      <vt:variant>
        <vt:i4>5</vt:i4>
      </vt:variant>
      <vt:variant>
        <vt:lpwstr>https://archive.budget.gov.au/2023-24/myefo/download/myefo2023-24.pdf</vt:lpwstr>
      </vt:variant>
      <vt:variant>
        <vt:lpwstr/>
      </vt:variant>
      <vt:variant>
        <vt:i4>196633</vt:i4>
      </vt:variant>
      <vt:variant>
        <vt:i4>135</vt:i4>
      </vt:variant>
      <vt:variant>
        <vt:i4>0</vt:i4>
      </vt:variant>
      <vt:variant>
        <vt:i4>5</vt:i4>
      </vt:variant>
      <vt:variant>
        <vt:lpwstr>https://treasury.gov.au/publication/p2024-536290</vt:lpwstr>
      </vt:variant>
      <vt:variant>
        <vt:lpwstr/>
      </vt:variant>
      <vt:variant>
        <vt:i4>4718594</vt:i4>
      </vt:variant>
      <vt:variant>
        <vt:i4>132</vt:i4>
      </vt:variant>
      <vt:variant>
        <vt:i4>0</vt:i4>
      </vt:variant>
      <vt:variant>
        <vt:i4>5</vt:i4>
      </vt:variant>
      <vt:variant>
        <vt:lpwstr>https://ministers.treasury.gov.au/ministers/jim-chalmers-2022/media-releases/reforms-strengthen-australias-foreign-investment</vt:lpwstr>
      </vt:variant>
      <vt:variant>
        <vt:lpwstr/>
      </vt:variant>
      <vt:variant>
        <vt:i4>1900560</vt:i4>
      </vt:variant>
      <vt:variant>
        <vt:i4>129</vt:i4>
      </vt:variant>
      <vt:variant>
        <vt:i4>0</vt:i4>
      </vt:variant>
      <vt:variant>
        <vt:i4>5</vt:i4>
      </vt:variant>
      <vt:variant>
        <vt:lpwstr>https://consult.treasury.gov.au/c2025-714739</vt:lpwstr>
      </vt:variant>
      <vt:variant>
        <vt:lpwstr/>
      </vt:variant>
      <vt:variant>
        <vt:i4>5832796</vt:i4>
      </vt:variant>
      <vt:variant>
        <vt:i4>126</vt:i4>
      </vt:variant>
      <vt:variant>
        <vt:i4>0</vt:i4>
      </vt:variant>
      <vt:variant>
        <vt:i4>5</vt:i4>
      </vt:variant>
      <vt:variant>
        <vt:lpwstr>https://alp.org.au/news/labor-s-commitment-to-women/</vt:lpwstr>
      </vt:variant>
      <vt:variant>
        <vt:lpwstr/>
      </vt:variant>
      <vt:variant>
        <vt:i4>5963869</vt:i4>
      </vt:variant>
      <vt:variant>
        <vt:i4>123</vt:i4>
      </vt:variant>
      <vt:variant>
        <vt:i4>0</vt:i4>
      </vt:variant>
      <vt:variant>
        <vt:i4>5</vt:i4>
      </vt:variant>
      <vt:variant>
        <vt:lpwstr>https://consult.treasury.gov.au/c2024-682313-personal-insolvency</vt:lpwstr>
      </vt:variant>
      <vt:variant>
        <vt:lpwstr/>
      </vt:variant>
      <vt:variant>
        <vt:i4>1900639</vt:i4>
      </vt:variant>
      <vt:variant>
        <vt:i4>120</vt:i4>
      </vt:variant>
      <vt:variant>
        <vt:i4>0</vt:i4>
      </vt:variant>
      <vt:variant>
        <vt:i4>5</vt:i4>
      </vt:variant>
      <vt:variant>
        <vt:lpwstr>https://treasury.gov.au/consultation/c2024-501098</vt:lpwstr>
      </vt:variant>
      <vt:variant>
        <vt:lpwstr/>
      </vt:variant>
      <vt:variant>
        <vt:i4>8061045</vt:i4>
      </vt:variant>
      <vt:variant>
        <vt:i4>117</vt:i4>
      </vt:variant>
      <vt:variant>
        <vt:i4>0</vt:i4>
      </vt:variant>
      <vt:variant>
        <vt:i4>5</vt:i4>
      </vt:variant>
      <vt:variant>
        <vt:lpwstr>https://ministers.treasury.gov.au/ministers/daniel-mulino-2025/media-releases/consulting-enhancing-oversight-and-governance-managed</vt:lpwstr>
      </vt:variant>
      <vt:variant>
        <vt:lpwstr/>
      </vt:variant>
      <vt:variant>
        <vt:i4>2621490</vt:i4>
      </vt:variant>
      <vt:variant>
        <vt:i4>114</vt:i4>
      </vt:variant>
      <vt:variant>
        <vt:i4>0</vt:i4>
      </vt:variant>
      <vt:variant>
        <vt:i4>5</vt:i4>
      </vt:variant>
      <vt:variant>
        <vt:lpwstr>https://ministers.treasury.gov.au/ministers/stephen-jones-2022/media-releases/albanese-government-creating-better-pathway-financial</vt:lpwstr>
      </vt:variant>
      <vt:variant>
        <vt:lpwstr/>
      </vt:variant>
      <vt:variant>
        <vt:i4>7602283</vt:i4>
      </vt:variant>
      <vt:variant>
        <vt:i4>111</vt:i4>
      </vt:variant>
      <vt:variant>
        <vt:i4>0</vt:i4>
      </vt:variant>
      <vt:variant>
        <vt:i4>5</vt:i4>
      </vt:variant>
      <vt:variant>
        <vt:lpwstr>https://www.cfr.gov.au/news/2025/mr-25-04.html</vt:lpwstr>
      </vt:variant>
      <vt:variant>
        <vt:lpwstr/>
      </vt:variant>
      <vt:variant>
        <vt:i4>589853</vt:i4>
      </vt:variant>
      <vt:variant>
        <vt:i4>108</vt:i4>
      </vt:variant>
      <vt:variant>
        <vt:i4>0</vt:i4>
      </vt:variant>
      <vt:variant>
        <vt:i4>5</vt:i4>
      </vt:variant>
      <vt:variant>
        <vt:lpwstr>https://treasury.gov.au/publication/p2026-743986</vt:lpwstr>
      </vt:variant>
      <vt:variant>
        <vt:lpwstr/>
      </vt:variant>
      <vt:variant>
        <vt:i4>8192012</vt:i4>
      </vt:variant>
      <vt:variant>
        <vt:i4>105</vt:i4>
      </vt:variant>
      <vt:variant>
        <vt:i4>0</vt:i4>
      </vt:variant>
      <vt:variant>
        <vt:i4>5</vt:i4>
      </vt:variant>
      <vt:variant>
        <vt:lpwstr>mailto:RIG@treasury.gov.au</vt:lpwstr>
      </vt:variant>
      <vt:variant>
        <vt:lpwstr/>
      </vt:variant>
      <vt:variant>
        <vt:i4>3407993</vt:i4>
      </vt:variant>
      <vt:variant>
        <vt:i4>102</vt:i4>
      </vt:variant>
      <vt:variant>
        <vt:i4>0</vt:i4>
      </vt:variant>
      <vt:variant>
        <vt:i4>5</vt:i4>
      </vt:variant>
      <vt:variant>
        <vt:lpwstr>http://www.treasury.gov.au/RIG</vt:lpwstr>
      </vt:variant>
      <vt:variant>
        <vt:lpwstr/>
      </vt:variant>
      <vt:variant>
        <vt:i4>3407993</vt:i4>
      </vt:variant>
      <vt:variant>
        <vt:i4>99</vt:i4>
      </vt:variant>
      <vt:variant>
        <vt:i4>0</vt:i4>
      </vt:variant>
      <vt:variant>
        <vt:i4>5</vt:i4>
      </vt:variant>
      <vt:variant>
        <vt:lpwstr>http://www.treasury.gov.au/RIG</vt:lpwstr>
      </vt:variant>
      <vt:variant>
        <vt:lpwstr/>
      </vt:variant>
      <vt:variant>
        <vt:i4>1507387</vt:i4>
      </vt:variant>
      <vt:variant>
        <vt:i4>92</vt:i4>
      </vt:variant>
      <vt:variant>
        <vt:i4>0</vt:i4>
      </vt:variant>
      <vt:variant>
        <vt:i4>5</vt:i4>
      </vt:variant>
      <vt:variant>
        <vt:lpwstr/>
      </vt:variant>
      <vt:variant>
        <vt:lpwstr>_Toc209785820</vt:lpwstr>
      </vt:variant>
      <vt:variant>
        <vt:i4>1310779</vt:i4>
      </vt:variant>
      <vt:variant>
        <vt:i4>86</vt:i4>
      </vt:variant>
      <vt:variant>
        <vt:i4>0</vt:i4>
      </vt:variant>
      <vt:variant>
        <vt:i4>5</vt:i4>
      </vt:variant>
      <vt:variant>
        <vt:lpwstr/>
      </vt:variant>
      <vt:variant>
        <vt:lpwstr>_Toc209785819</vt:lpwstr>
      </vt:variant>
      <vt:variant>
        <vt:i4>1310779</vt:i4>
      </vt:variant>
      <vt:variant>
        <vt:i4>80</vt:i4>
      </vt:variant>
      <vt:variant>
        <vt:i4>0</vt:i4>
      </vt:variant>
      <vt:variant>
        <vt:i4>5</vt:i4>
      </vt:variant>
      <vt:variant>
        <vt:lpwstr/>
      </vt:variant>
      <vt:variant>
        <vt:lpwstr>_Toc209785818</vt:lpwstr>
      </vt:variant>
      <vt:variant>
        <vt:i4>1310779</vt:i4>
      </vt:variant>
      <vt:variant>
        <vt:i4>74</vt:i4>
      </vt:variant>
      <vt:variant>
        <vt:i4>0</vt:i4>
      </vt:variant>
      <vt:variant>
        <vt:i4>5</vt:i4>
      </vt:variant>
      <vt:variant>
        <vt:lpwstr/>
      </vt:variant>
      <vt:variant>
        <vt:lpwstr>_Toc209785817</vt:lpwstr>
      </vt:variant>
      <vt:variant>
        <vt:i4>1310779</vt:i4>
      </vt:variant>
      <vt:variant>
        <vt:i4>68</vt:i4>
      </vt:variant>
      <vt:variant>
        <vt:i4>0</vt:i4>
      </vt:variant>
      <vt:variant>
        <vt:i4>5</vt:i4>
      </vt:variant>
      <vt:variant>
        <vt:lpwstr/>
      </vt:variant>
      <vt:variant>
        <vt:lpwstr>_Toc209785816</vt:lpwstr>
      </vt:variant>
      <vt:variant>
        <vt:i4>1310779</vt:i4>
      </vt:variant>
      <vt:variant>
        <vt:i4>62</vt:i4>
      </vt:variant>
      <vt:variant>
        <vt:i4>0</vt:i4>
      </vt:variant>
      <vt:variant>
        <vt:i4>5</vt:i4>
      </vt:variant>
      <vt:variant>
        <vt:lpwstr/>
      </vt:variant>
      <vt:variant>
        <vt:lpwstr>_Toc209785815</vt:lpwstr>
      </vt:variant>
      <vt:variant>
        <vt:i4>1310779</vt:i4>
      </vt:variant>
      <vt:variant>
        <vt:i4>56</vt:i4>
      </vt:variant>
      <vt:variant>
        <vt:i4>0</vt:i4>
      </vt:variant>
      <vt:variant>
        <vt:i4>5</vt:i4>
      </vt:variant>
      <vt:variant>
        <vt:lpwstr/>
      </vt:variant>
      <vt:variant>
        <vt:lpwstr>_Toc209785814</vt:lpwstr>
      </vt:variant>
      <vt:variant>
        <vt:i4>1310779</vt:i4>
      </vt:variant>
      <vt:variant>
        <vt:i4>50</vt:i4>
      </vt:variant>
      <vt:variant>
        <vt:i4>0</vt:i4>
      </vt:variant>
      <vt:variant>
        <vt:i4>5</vt:i4>
      </vt:variant>
      <vt:variant>
        <vt:lpwstr/>
      </vt:variant>
      <vt:variant>
        <vt:lpwstr>_Toc209785813</vt:lpwstr>
      </vt:variant>
      <vt:variant>
        <vt:i4>1310779</vt:i4>
      </vt:variant>
      <vt:variant>
        <vt:i4>44</vt:i4>
      </vt:variant>
      <vt:variant>
        <vt:i4>0</vt:i4>
      </vt:variant>
      <vt:variant>
        <vt:i4>5</vt:i4>
      </vt:variant>
      <vt:variant>
        <vt:lpwstr/>
      </vt:variant>
      <vt:variant>
        <vt:lpwstr>_Toc209785812</vt:lpwstr>
      </vt:variant>
      <vt:variant>
        <vt:i4>1310779</vt:i4>
      </vt:variant>
      <vt:variant>
        <vt:i4>38</vt:i4>
      </vt:variant>
      <vt:variant>
        <vt:i4>0</vt:i4>
      </vt:variant>
      <vt:variant>
        <vt:i4>5</vt:i4>
      </vt:variant>
      <vt:variant>
        <vt:lpwstr/>
      </vt:variant>
      <vt:variant>
        <vt:lpwstr>_Toc209785811</vt:lpwstr>
      </vt:variant>
      <vt:variant>
        <vt:i4>1310779</vt:i4>
      </vt:variant>
      <vt:variant>
        <vt:i4>32</vt:i4>
      </vt:variant>
      <vt:variant>
        <vt:i4>0</vt:i4>
      </vt:variant>
      <vt:variant>
        <vt:i4>5</vt:i4>
      </vt:variant>
      <vt:variant>
        <vt:lpwstr/>
      </vt:variant>
      <vt:variant>
        <vt:lpwstr>_Toc209785810</vt:lpwstr>
      </vt:variant>
      <vt:variant>
        <vt:i4>1376315</vt:i4>
      </vt:variant>
      <vt:variant>
        <vt:i4>26</vt:i4>
      </vt:variant>
      <vt:variant>
        <vt:i4>0</vt:i4>
      </vt:variant>
      <vt:variant>
        <vt:i4>5</vt:i4>
      </vt:variant>
      <vt:variant>
        <vt:lpwstr/>
      </vt:variant>
      <vt:variant>
        <vt:lpwstr>_Toc209785809</vt:lpwstr>
      </vt:variant>
      <vt:variant>
        <vt:i4>1376315</vt:i4>
      </vt:variant>
      <vt:variant>
        <vt:i4>20</vt:i4>
      </vt:variant>
      <vt:variant>
        <vt:i4>0</vt:i4>
      </vt:variant>
      <vt:variant>
        <vt:i4>5</vt:i4>
      </vt:variant>
      <vt:variant>
        <vt:lpwstr/>
      </vt:variant>
      <vt:variant>
        <vt:lpwstr>_Toc209785808</vt:lpwstr>
      </vt:variant>
      <vt:variant>
        <vt:i4>1376315</vt:i4>
      </vt:variant>
      <vt:variant>
        <vt:i4>14</vt:i4>
      </vt:variant>
      <vt:variant>
        <vt:i4>0</vt:i4>
      </vt:variant>
      <vt:variant>
        <vt:i4>5</vt:i4>
      </vt:variant>
      <vt:variant>
        <vt:lpwstr/>
      </vt:variant>
      <vt:variant>
        <vt:lpwstr>_Toc209785807</vt:lpwstr>
      </vt:variant>
      <vt:variant>
        <vt:i4>1376315</vt:i4>
      </vt:variant>
      <vt:variant>
        <vt:i4>8</vt:i4>
      </vt:variant>
      <vt:variant>
        <vt:i4>0</vt:i4>
      </vt:variant>
      <vt:variant>
        <vt:i4>5</vt:i4>
      </vt:variant>
      <vt:variant>
        <vt:lpwstr/>
      </vt:variant>
      <vt:variant>
        <vt:lpwstr>_Toc209785806</vt:lpwstr>
      </vt:variant>
      <vt:variant>
        <vt:i4>1376315</vt:i4>
      </vt:variant>
      <vt:variant>
        <vt:i4>2</vt:i4>
      </vt:variant>
      <vt:variant>
        <vt:i4>0</vt:i4>
      </vt:variant>
      <vt:variant>
        <vt:i4>5</vt:i4>
      </vt:variant>
      <vt:variant>
        <vt:lpwstr/>
      </vt:variant>
      <vt:variant>
        <vt:lpwstr>_Toc209785805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Initiatives Grid Report</dc:title>
  <dc:subject>Regulatory Initiatives Grid – April 2026</dc:subject>
  <dc:creator>Australian Government</dc:creator>
  <cp:keywords/>
  <dc:description/>
  <cp:lastModifiedBy/>
  <cp:revision>1</cp:revision>
  <dcterms:created xsi:type="dcterms:W3CDTF">2026-04-29T00:06:00Z</dcterms:created>
  <dcterms:modified xsi:type="dcterms:W3CDTF">2026-04-29T00:06:00Z</dcterms:modified>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2026-04-29T00:06:57Z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24bef01c-e280-4bdf-803b-06665862423f</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