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42289537"/>
        <w:docPartObj>
          <w:docPartGallery w:val="Cover Pages"/>
          <w:docPartUnique/>
        </w:docPartObj>
      </w:sdtPr>
      <w:sdtEndPr/>
      <w:sdtContent>
        <w:p w14:paraId="60912F7E" w14:textId="77777777" w:rsidR="00A97160" w:rsidRPr="006D0240" w:rsidRDefault="00A97160" w:rsidP="006469CC">
          <w:pPr>
            <w:pStyle w:val="ListParagraph"/>
          </w:pPr>
          <w:r>
            <w:rPr>
              <w:noProof/>
            </w:rPr>
            <w:drawing>
              <wp:anchor distT="0" distB="0" distL="114300" distR="114300" simplePos="0" relativeHeight="251658240" behindDoc="1" locked="0" layoutInCell="1" allowOverlap="1" wp14:anchorId="44AD8D30" wp14:editId="1FFD78CF">
                <wp:simplePos x="0" y="0"/>
                <wp:positionH relativeFrom="margin">
                  <wp:posOffset>-905510</wp:posOffset>
                </wp:positionH>
                <wp:positionV relativeFrom="page">
                  <wp:posOffset>-17780</wp:posOffset>
                </wp:positionV>
                <wp:extent cx="7570800" cy="10710000"/>
                <wp:effectExtent l="0" t="0" r="0" b="0"/>
                <wp:wrapNone/>
                <wp:docPr id="4" name="Picture 4" descr="The Commonwealth Coat of Arms. A shield with Australian state emblems held by a kangaroo and emu, on a golden wattle base, topped with the Commonwealth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Commonwealth Coat of Arms. A shield with Australian state emblems held by a kangaroo and emu, on a golden wattle base, topped with the Commonwealth Sta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D7CD0A" w14:textId="77777777" w:rsidR="00A97160" w:rsidRPr="006D0240" w:rsidRDefault="00A97160" w:rsidP="00301755">
          <w:pPr>
            <w:pStyle w:val="Header"/>
            <w:spacing w:after="1200"/>
          </w:pPr>
        </w:p>
        <w:p w14:paraId="3DE1D16C" w14:textId="11CFE169" w:rsidR="00A97160" w:rsidRPr="006923DF" w:rsidRDefault="008B5287" w:rsidP="002A7A31">
          <w:pPr>
            <w:pStyle w:val="Title"/>
            <w:tabs>
              <w:tab w:val="left" w:pos="6379"/>
            </w:tabs>
            <w:spacing w:after="120" w:line="720" w:lineRule="exact"/>
            <w:ind w:right="1982"/>
          </w:pPr>
          <w:r>
            <w:t>N</w:t>
          </w:r>
          <w:r w:rsidR="009E38E7">
            <w:t xml:space="preserve">ational </w:t>
          </w:r>
          <w:r>
            <w:t>C</w:t>
          </w:r>
          <w:r w:rsidR="009E38E7">
            <w:t xml:space="preserve">onstruction </w:t>
          </w:r>
          <w:r>
            <w:t>C</w:t>
          </w:r>
          <w:r w:rsidR="009E38E7">
            <w:t>ode</w:t>
          </w:r>
          <w:r>
            <w:t xml:space="preserve"> Modernisation Project</w:t>
          </w:r>
        </w:p>
        <w:p w14:paraId="1B2BFF71" w14:textId="444C8A42" w:rsidR="00A97160" w:rsidRPr="006923DF" w:rsidRDefault="008B5287" w:rsidP="004C2902">
          <w:pPr>
            <w:pStyle w:val="Subtitle"/>
            <w:spacing w:after="360"/>
          </w:pPr>
          <w:r>
            <w:t>Interim Report</w:t>
          </w:r>
        </w:p>
        <w:p w14:paraId="01F3586A" w14:textId="4B8B850A" w:rsidR="00A97160" w:rsidRPr="00586605" w:rsidRDefault="008B5287" w:rsidP="006923DF">
          <w:pPr>
            <w:pStyle w:val="ReportDate"/>
          </w:pPr>
          <w:r>
            <w:rPr>
              <w:rStyle w:val="ReportDateChar"/>
            </w:rPr>
            <w:t>30 April 2026</w:t>
          </w:r>
        </w:p>
        <w:p w14:paraId="5E7F4FD7" w14:textId="77777777" w:rsidR="00A97160" w:rsidRDefault="00A97160">
          <w:pPr>
            <w:spacing w:before="0" w:after="160" w:line="259" w:lineRule="auto"/>
          </w:pPr>
          <w:r>
            <w:br w:type="page"/>
          </w:r>
        </w:p>
      </w:sdtContent>
    </w:sdt>
    <w:p w14:paraId="1F2B47A8" w14:textId="77777777" w:rsidR="00E64535" w:rsidRPr="00E64535" w:rsidRDefault="00E64535" w:rsidP="00E64535">
      <w:pPr>
        <w:sectPr w:rsidR="00E64535" w:rsidRPr="00E64535" w:rsidSect="00A97160">
          <w:headerReference w:type="first" r:id="rId9"/>
          <w:pgSz w:w="11906" w:h="16838" w:code="9"/>
          <w:pgMar w:top="1843" w:right="1418" w:bottom="1418" w:left="1418" w:header="709" w:footer="709" w:gutter="0"/>
          <w:pgNumType w:fmt="lowerRoman" w:start="0"/>
          <w:cols w:space="708"/>
          <w:titlePg/>
          <w:docGrid w:linePitch="360"/>
        </w:sectPr>
      </w:pPr>
    </w:p>
    <w:p w14:paraId="75F9187F" w14:textId="6F920D21" w:rsidR="00170DBE" w:rsidRDefault="00170DBE" w:rsidP="00170DBE">
      <w:pPr>
        <w:spacing w:before="0" w:after="160" w:line="259" w:lineRule="auto"/>
      </w:pPr>
      <w:bookmarkStart w:id="0" w:name="_Toc227835492"/>
      <w:bookmarkStart w:id="1" w:name="_Toc432067103"/>
      <w:bookmarkStart w:id="2" w:name="_Toc452635030"/>
      <w:r w:rsidRPr="00661BF0">
        <w:lastRenderedPageBreak/>
        <w:t xml:space="preserve">© Commonwealth of Australia </w:t>
      </w:r>
      <w:r w:rsidRPr="002E75A5">
        <w:t>202</w:t>
      </w:r>
      <w:r w:rsidR="002E75A5" w:rsidRPr="002E75A5">
        <w:t>6</w:t>
      </w:r>
    </w:p>
    <w:p w14:paraId="702DC6A1" w14:textId="5439474F" w:rsidR="00170DBE" w:rsidRPr="00EB2812" w:rsidRDefault="00A13A1C" w:rsidP="00170DBE">
      <w:pPr>
        <w:spacing w:before="0" w:after="160" w:line="259" w:lineRule="auto"/>
        <w:rPr>
          <w:noProof/>
        </w:rPr>
      </w:pPr>
      <w:r w:rsidRPr="00EB2812">
        <w:t>ISBN</w:t>
      </w:r>
      <w:r w:rsidR="00EB2812" w:rsidRPr="00EB2812">
        <w:t>:</w:t>
      </w:r>
      <w:r w:rsidRPr="00EB2812">
        <w:t xml:space="preserve"> 978-1-923278-44-8</w:t>
      </w:r>
    </w:p>
    <w:p w14:paraId="272A107E" w14:textId="77777777" w:rsidR="00170DBE" w:rsidRPr="00086F82" w:rsidRDefault="00170DBE" w:rsidP="00170DBE">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0" w:history="1">
        <w:r>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Pr="004F5ACF">
        <w:t>third party materials, materials protected by a trademark,</w:t>
      </w:r>
      <w:r>
        <w:t xml:space="preserve"> signatures </w:t>
      </w:r>
      <w:r w:rsidRPr="002F1BC2">
        <w:t>and where otherwise stated</w:t>
      </w:r>
      <w:r>
        <w:t xml:space="preserve">. </w:t>
      </w:r>
      <w:r w:rsidRPr="002F1BC2">
        <w:t>The full licence terms are available from</w:t>
      </w:r>
      <w:r w:rsidRPr="00476F09">
        <w:rPr>
          <w:rFonts w:cstheme="minorHAnsi"/>
          <w:sz w:val="24"/>
          <w:szCs w:val="24"/>
        </w:rPr>
        <w:t xml:space="preserve"> </w:t>
      </w:r>
      <w:hyperlink r:id="rId11" w:history="1">
        <w:r>
          <w:rPr>
            <w:rStyle w:val="Hyperlink"/>
          </w:rPr>
          <w:t>creativecommons.org/licenses/by/4.0/</w:t>
        </w:r>
        <w:proofErr w:type="spellStart"/>
        <w:r>
          <w:rPr>
            <w:rStyle w:val="Hyperlink"/>
          </w:rPr>
          <w:t>legalcode</w:t>
        </w:r>
        <w:proofErr w:type="spellEnd"/>
      </w:hyperlink>
      <w:r w:rsidRPr="00444CDB">
        <w:t>.</w:t>
      </w:r>
      <w:r w:rsidRPr="00D06A21">
        <w:rPr>
          <w:sz w:val="24"/>
          <w:szCs w:val="24"/>
        </w:rPr>
        <w:t xml:space="preserve"> </w:t>
      </w:r>
    </w:p>
    <w:p w14:paraId="13C76AF2" w14:textId="77777777" w:rsidR="00170DBE" w:rsidRDefault="00170DBE" w:rsidP="00170DBE">
      <w:pPr>
        <w:pStyle w:val="ChartGraphic"/>
        <w:jc w:val="left"/>
      </w:pPr>
      <w:r w:rsidRPr="00E56DFB">
        <w:rPr>
          <w:noProof/>
        </w:rPr>
        <w:drawing>
          <wp:inline distT="0" distB="0" distL="0" distR="0" wp14:anchorId="79898080" wp14:editId="2B13ACE8">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645E9017" w14:textId="77777777" w:rsidR="00170DBE" w:rsidRPr="006627B4" w:rsidRDefault="00170DBE" w:rsidP="00170DBE">
      <w:pPr>
        <w:tabs>
          <w:tab w:val="left" w:pos="1650"/>
        </w:tabs>
        <w:spacing w:before="240"/>
      </w:pPr>
      <w:r w:rsidRPr="006627B4">
        <w:t>Use of Treasury material under a</w:t>
      </w:r>
      <w:r w:rsidRPr="00476F09">
        <w:rPr>
          <w:rFonts w:cstheme="minorHAnsi"/>
          <w:sz w:val="24"/>
          <w:szCs w:val="24"/>
        </w:rPr>
        <w:t xml:space="preserve"> </w:t>
      </w:r>
      <w:hyperlink r:id="rId13" w:history="1">
        <w:r>
          <w:rPr>
            <w:rStyle w:val="Hyperlink"/>
          </w:rPr>
          <w:t>Creative Commons Attribution 4.0 International</w:t>
        </w:r>
      </w:hyperlink>
      <w:r>
        <w:t xml:space="preserve"> l</w:t>
      </w:r>
      <w:r w:rsidRPr="006627B4">
        <w:t>icence requires you to attribute the work (but not in any way that suggests that the Treasury endorse</w:t>
      </w:r>
      <w:r>
        <w:t>s you or your use of the work).</w:t>
      </w:r>
    </w:p>
    <w:p w14:paraId="09CC59C9" w14:textId="13D7625B" w:rsidR="00A53830" w:rsidRPr="006627B4" w:rsidRDefault="00A53830" w:rsidP="00170DBE">
      <w:pPr>
        <w:tabs>
          <w:tab w:val="left" w:pos="1650"/>
        </w:tabs>
        <w:spacing w:before="240"/>
      </w:pPr>
      <w:r>
        <w:t xml:space="preserve">Part of this document </w:t>
      </w:r>
      <w:r w:rsidR="002972E5" w:rsidRPr="002972E5">
        <w:t xml:space="preserve">was produced with </w:t>
      </w:r>
      <w:r w:rsidR="002972E5">
        <w:t xml:space="preserve">the </w:t>
      </w:r>
      <w:r w:rsidR="002972E5" w:rsidRPr="002972E5">
        <w:t xml:space="preserve">assistance </w:t>
      </w:r>
      <w:r w:rsidR="002972E5">
        <w:t xml:space="preserve">of </w:t>
      </w:r>
      <w:r w:rsidR="002972E5" w:rsidRPr="002972E5">
        <w:t>A</w:t>
      </w:r>
      <w:r w:rsidR="002972E5">
        <w:t>rtificial Intelligence</w:t>
      </w:r>
      <w:r w:rsidR="002972E5" w:rsidRPr="002972E5">
        <w:t>. All analysis and final decisions are the work of the Treasury Department</w:t>
      </w:r>
      <w:r w:rsidR="002972E5">
        <w:t>.</w:t>
      </w:r>
    </w:p>
    <w:p w14:paraId="1ACABBD1" w14:textId="77777777" w:rsidR="00170DBE" w:rsidRPr="00444CDB" w:rsidRDefault="00170DBE" w:rsidP="00170DBE">
      <w:pPr>
        <w:spacing w:before="240"/>
        <w:rPr>
          <w:rStyle w:val="Strong"/>
        </w:rPr>
      </w:pPr>
      <w:r w:rsidRPr="00444CDB">
        <w:rPr>
          <w:rStyle w:val="Strong"/>
        </w:rPr>
        <w:t>Treasury material used ‘as supplied’</w:t>
      </w:r>
    </w:p>
    <w:p w14:paraId="6E940542" w14:textId="77777777" w:rsidR="00170DBE" w:rsidRPr="00476F09" w:rsidRDefault="00170DBE" w:rsidP="00170DBE">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Pr>
          <w:rFonts w:cs="Calibri Light"/>
        </w:rPr>
        <w:t>–</w:t>
      </w:r>
      <w:r>
        <w:t xml:space="preserve"> then Treasury prefers t</w:t>
      </w:r>
      <w:r w:rsidRPr="00476F09">
        <w:t xml:space="preserve">he following attribution: </w:t>
      </w:r>
    </w:p>
    <w:p w14:paraId="3F9AA7FE" w14:textId="77777777" w:rsidR="00170DBE" w:rsidRPr="00A13A11" w:rsidRDefault="00170DBE" w:rsidP="00170DBE">
      <w:pPr>
        <w:ind w:firstLine="720"/>
      </w:pPr>
      <w:r w:rsidRPr="00E17231">
        <w:rPr>
          <w:iCs/>
        </w:rPr>
        <w:t>Source:</w:t>
      </w:r>
      <w:r w:rsidRPr="002F1BC2">
        <w:rPr>
          <w:i/>
        </w:rPr>
        <w:t xml:space="preserve"> </w:t>
      </w:r>
      <w:r w:rsidRPr="00AC2B70">
        <w:rPr>
          <w:rStyle w:val="Emphasis"/>
        </w:rPr>
        <w:t>The Commonwealth of Australia.</w:t>
      </w:r>
    </w:p>
    <w:p w14:paraId="2B2B8E38" w14:textId="77777777" w:rsidR="00170DBE" w:rsidRPr="00444CDB" w:rsidRDefault="00170DBE" w:rsidP="00170DBE">
      <w:pPr>
        <w:spacing w:before="240"/>
        <w:rPr>
          <w:rStyle w:val="Strong"/>
        </w:rPr>
      </w:pPr>
      <w:r w:rsidRPr="00444CDB">
        <w:rPr>
          <w:rStyle w:val="Strong"/>
        </w:rPr>
        <w:t>Derivative material</w:t>
      </w:r>
    </w:p>
    <w:p w14:paraId="40FBD71B" w14:textId="77777777" w:rsidR="00170DBE" w:rsidRPr="006627B4" w:rsidRDefault="00170DBE" w:rsidP="00170DBE">
      <w:r w:rsidRPr="006627B4">
        <w:t xml:space="preserve">If you have modified or transformed Treasury material, or derived new material from those of the Treasury in any way, then Treasury prefers the following attribution: </w:t>
      </w:r>
    </w:p>
    <w:p w14:paraId="1877FBB5" w14:textId="77777777" w:rsidR="00170DBE" w:rsidRPr="00AC2B70" w:rsidRDefault="00170DBE" w:rsidP="00170DBE">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4DFFFA83" w14:textId="77777777" w:rsidR="00170DBE" w:rsidRPr="00444CDB" w:rsidRDefault="00170DBE" w:rsidP="00170DBE">
      <w:pPr>
        <w:spacing w:before="240"/>
        <w:rPr>
          <w:rStyle w:val="Strong"/>
        </w:rPr>
      </w:pPr>
      <w:r w:rsidRPr="00444CDB">
        <w:rPr>
          <w:rStyle w:val="Strong"/>
        </w:rPr>
        <w:t>Use of the Coat of Arms</w:t>
      </w:r>
    </w:p>
    <w:p w14:paraId="703A506C" w14:textId="77777777" w:rsidR="00170DBE" w:rsidRPr="005C503A" w:rsidRDefault="00170DBE" w:rsidP="00170DBE">
      <w:pPr>
        <w:spacing w:before="240"/>
      </w:pPr>
      <w:r w:rsidRPr="005C503A">
        <w:t xml:space="preserve">The terms under which the Coat of Arms can be used are set out on the Department of the Prime Minister and Cabinet website (see </w:t>
      </w:r>
      <w:hyperlink r:id="rId14" w:history="1">
        <w:r>
          <w:rPr>
            <w:rStyle w:val="Hyperlink"/>
          </w:rPr>
          <w:t>www.pmc.gov.au/government/commonwealth-coat-arms</w:t>
        </w:r>
      </w:hyperlink>
      <w:r w:rsidRPr="005C503A">
        <w:t>).</w:t>
      </w:r>
    </w:p>
    <w:p w14:paraId="082C4177" w14:textId="77777777" w:rsidR="00170DBE" w:rsidRPr="00444CDB" w:rsidRDefault="00170DBE" w:rsidP="00170DBE">
      <w:pPr>
        <w:spacing w:before="240"/>
        <w:rPr>
          <w:rStyle w:val="Strong"/>
        </w:rPr>
      </w:pPr>
      <w:r w:rsidRPr="00444CDB">
        <w:rPr>
          <w:rStyle w:val="Strong"/>
        </w:rPr>
        <w:t>Other uses</w:t>
      </w:r>
    </w:p>
    <w:p w14:paraId="24D81A05" w14:textId="77777777" w:rsidR="00170DBE" w:rsidRPr="006627B4" w:rsidRDefault="00170DBE" w:rsidP="00170DBE">
      <w:r>
        <w:t>E</w:t>
      </w:r>
      <w:r w:rsidRPr="006627B4">
        <w:t>nquiries regarding this licence and any other use of this document are welcome at:</w:t>
      </w:r>
    </w:p>
    <w:p w14:paraId="116AF69B" w14:textId="77777777" w:rsidR="00170DBE" w:rsidRDefault="00170DBE" w:rsidP="00170DBE">
      <w:pPr>
        <w:ind w:left="720"/>
        <w:rPr>
          <w:rStyle w:val="Hyperlink"/>
        </w:rPr>
      </w:pPr>
      <w:r w:rsidRPr="006627B4">
        <w:t>Manager</w:t>
      </w:r>
      <w:r>
        <w:b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5" w:history="1">
        <w:r>
          <w:rPr>
            <w:rStyle w:val="Hyperlink"/>
          </w:rPr>
          <w:t>media@treasury.gov.au</w:t>
        </w:r>
      </w:hyperlink>
    </w:p>
    <w:p w14:paraId="4F83420B" w14:textId="77777777" w:rsidR="00170DBE" w:rsidRPr="003F1597" w:rsidRDefault="00170DBE" w:rsidP="00170DBE">
      <w:pPr>
        <w:rPr>
          <w:rStyle w:val="Emphasis"/>
        </w:rPr>
      </w:pPr>
      <w:r w:rsidRPr="003F1597">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20C91A6B" w14:textId="77777777" w:rsidR="00170DBE" w:rsidRDefault="00170DBE">
      <w:pPr>
        <w:spacing w:before="0" w:after="160" w:line="259" w:lineRule="auto"/>
        <w:rPr>
          <w:rFonts w:ascii="Calibri" w:hAnsi="Calibri" w:cs="Arial"/>
          <w:b/>
          <w:color w:val="5D779D" w:themeColor="accent3"/>
          <w:kern w:val="32"/>
          <w:sz w:val="44"/>
          <w:szCs w:val="36"/>
        </w:rPr>
      </w:pPr>
      <w:r>
        <w:br w:type="page"/>
      </w:r>
    </w:p>
    <w:p w14:paraId="38B6107F" w14:textId="6ECF464E" w:rsidR="00F836F9" w:rsidRDefault="008D449C" w:rsidP="008D449C">
      <w:pPr>
        <w:pStyle w:val="Heading1"/>
      </w:pPr>
      <w:bookmarkStart w:id="3" w:name="_Toc228371004"/>
      <w:r>
        <w:lastRenderedPageBreak/>
        <w:t>Table of Contents</w:t>
      </w:r>
      <w:bookmarkEnd w:id="0"/>
      <w:bookmarkEnd w:id="3"/>
    </w:p>
    <w:p w14:paraId="556BE0AE" w14:textId="7D45758F" w:rsidR="00C1666C" w:rsidRDefault="008D449C">
      <w:pPr>
        <w:pStyle w:val="TOC1"/>
        <w:rPr>
          <w:rFonts w:asciiTheme="minorHAnsi" w:eastAsiaTheme="minorEastAsia" w:hAnsiTheme="minorHAnsi" w:cstheme="minorBidi"/>
          <w:b w:val="0"/>
          <w:color w:val="auto"/>
          <w:kern w:val="2"/>
          <w:sz w:val="24"/>
          <w:szCs w:val="24"/>
          <w14:ligatures w14:val="standardContextual"/>
        </w:rPr>
      </w:pPr>
      <w:r>
        <w:fldChar w:fldCharType="begin"/>
      </w:r>
      <w:r>
        <w:instrText xml:space="preserve"> TOC \o "1-2" \h \z \u </w:instrText>
      </w:r>
      <w:r>
        <w:fldChar w:fldCharType="separate"/>
      </w:r>
      <w:hyperlink w:anchor="_Toc228371004" w:history="1">
        <w:r w:rsidR="00C1666C" w:rsidRPr="009301A6">
          <w:rPr>
            <w:rStyle w:val="Hyperlink"/>
          </w:rPr>
          <w:t>Table of Contents</w:t>
        </w:r>
        <w:r w:rsidR="00C1666C">
          <w:rPr>
            <w:webHidden/>
          </w:rPr>
          <w:tab/>
        </w:r>
        <w:r w:rsidR="00C1666C">
          <w:rPr>
            <w:webHidden/>
          </w:rPr>
          <w:fldChar w:fldCharType="begin"/>
        </w:r>
        <w:r w:rsidR="00C1666C">
          <w:rPr>
            <w:webHidden/>
          </w:rPr>
          <w:instrText xml:space="preserve"> PAGEREF _Toc228371004 \h </w:instrText>
        </w:r>
        <w:r w:rsidR="00C1666C">
          <w:rPr>
            <w:webHidden/>
          </w:rPr>
        </w:r>
        <w:r w:rsidR="00C1666C">
          <w:rPr>
            <w:webHidden/>
          </w:rPr>
          <w:fldChar w:fldCharType="separate"/>
        </w:r>
        <w:r w:rsidR="00C1666C">
          <w:rPr>
            <w:webHidden/>
          </w:rPr>
          <w:t>2</w:t>
        </w:r>
        <w:r w:rsidR="00C1666C">
          <w:rPr>
            <w:webHidden/>
          </w:rPr>
          <w:fldChar w:fldCharType="end"/>
        </w:r>
      </w:hyperlink>
    </w:p>
    <w:p w14:paraId="2697597D" w14:textId="7DE43EBE" w:rsidR="00C1666C" w:rsidRDefault="00C1666C">
      <w:pPr>
        <w:pStyle w:val="TOC1"/>
        <w:rPr>
          <w:rFonts w:asciiTheme="minorHAnsi" w:eastAsiaTheme="minorEastAsia" w:hAnsiTheme="minorHAnsi" w:cstheme="minorBidi"/>
          <w:b w:val="0"/>
          <w:color w:val="auto"/>
          <w:kern w:val="2"/>
          <w:sz w:val="24"/>
          <w:szCs w:val="24"/>
          <w14:ligatures w14:val="standardContextual"/>
        </w:rPr>
      </w:pPr>
      <w:hyperlink w:anchor="_Toc228371005" w:history="1">
        <w:r w:rsidRPr="009301A6">
          <w:rPr>
            <w:rStyle w:val="Hyperlink"/>
          </w:rPr>
          <w:t>Executive Summary</w:t>
        </w:r>
        <w:r>
          <w:rPr>
            <w:webHidden/>
          </w:rPr>
          <w:tab/>
        </w:r>
        <w:r>
          <w:rPr>
            <w:webHidden/>
          </w:rPr>
          <w:fldChar w:fldCharType="begin"/>
        </w:r>
        <w:r>
          <w:rPr>
            <w:webHidden/>
          </w:rPr>
          <w:instrText xml:space="preserve"> PAGEREF _Toc228371005 \h </w:instrText>
        </w:r>
        <w:r>
          <w:rPr>
            <w:webHidden/>
          </w:rPr>
        </w:r>
        <w:r>
          <w:rPr>
            <w:webHidden/>
          </w:rPr>
          <w:fldChar w:fldCharType="separate"/>
        </w:r>
        <w:r>
          <w:rPr>
            <w:webHidden/>
          </w:rPr>
          <w:t>3</w:t>
        </w:r>
        <w:r>
          <w:rPr>
            <w:webHidden/>
          </w:rPr>
          <w:fldChar w:fldCharType="end"/>
        </w:r>
      </w:hyperlink>
    </w:p>
    <w:p w14:paraId="1750E7EE" w14:textId="39964E2B" w:rsidR="00C1666C" w:rsidRDefault="00C1666C">
      <w:pPr>
        <w:pStyle w:val="TOC1"/>
        <w:rPr>
          <w:rFonts w:asciiTheme="minorHAnsi" w:eastAsiaTheme="minorEastAsia" w:hAnsiTheme="minorHAnsi" w:cstheme="minorBidi"/>
          <w:b w:val="0"/>
          <w:color w:val="auto"/>
          <w:kern w:val="2"/>
          <w:sz w:val="24"/>
          <w:szCs w:val="24"/>
          <w14:ligatures w14:val="standardContextual"/>
        </w:rPr>
      </w:pPr>
      <w:hyperlink w:anchor="_Toc228371006" w:history="1">
        <w:r w:rsidRPr="009301A6">
          <w:rPr>
            <w:rStyle w:val="Hyperlink"/>
          </w:rPr>
          <w:t>Chapter 1: Context</w:t>
        </w:r>
        <w:r>
          <w:rPr>
            <w:webHidden/>
          </w:rPr>
          <w:tab/>
        </w:r>
        <w:r>
          <w:rPr>
            <w:webHidden/>
          </w:rPr>
          <w:fldChar w:fldCharType="begin"/>
        </w:r>
        <w:r>
          <w:rPr>
            <w:webHidden/>
          </w:rPr>
          <w:instrText xml:space="preserve"> PAGEREF _Toc228371006 \h </w:instrText>
        </w:r>
        <w:r>
          <w:rPr>
            <w:webHidden/>
          </w:rPr>
        </w:r>
        <w:r>
          <w:rPr>
            <w:webHidden/>
          </w:rPr>
          <w:fldChar w:fldCharType="separate"/>
        </w:r>
        <w:r>
          <w:rPr>
            <w:webHidden/>
          </w:rPr>
          <w:t>4</w:t>
        </w:r>
        <w:r>
          <w:rPr>
            <w:webHidden/>
          </w:rPr>
          <w:fldChar w:fldCharType="end"/>
        </w:r>
      </w:hyperlink>
    </w:p>
    <w:p w14:paraId="15DE4EEF" w14:textId="2D0D325D" w:rsidR="00C1666C" w:rsidRDefault="00C1666C">
      <w:pPr>
        <w:pStyle w:val="TOC2"/>
        <w:rPr>
          <w:rFonts w:asciiTheme="minorHAnsi" w:eastAsiaTheme="minorEastAsia" w:hAnsiTheme="minorHAnsi" w:cstheme="minorBidi"/>
          <w:color w:val="auto"/>
          <w:kern w:val="2"/>
          <w:sz w:val="24"/>
          <w:szCs w:val="24"/>
          <w14:ligatures w14:val="standardContextual"/>
        </w:rPr>
      </w:pPr>
      <w:hyperlink w:anchor="_Toc228371007" w:history="1">
        <w:r w:rsidRPr="009301A6">
          <w:rPr>
            <w:rStyle w:val="Hyperlink"/>
          </w:rPr>
          <w:t>The challenge ahead</w:t>
        </w:r>
        <w:r>
          <w:rPr>
            <w:webHidden/>
          </w:rPr>
          <w:tab/>
        </w:r>
        <w:r>
          <w:rPr>
            <w:webHidden/>
          </w:rPr>
          <w:fldChar w:fldCharType="begin"/>
        </w:r>
        <w:r>
          <w:rPr>
            <w:webHidden/>
          </w:rPr>
          <w:instrText xml:space="preserve"> PAGEREF _Toc228371007 \h </w:instrText>
        </w:r>
        <w:r>
          <w:rPr>
            <w:webHidden/>
          </w:rPr>
        </w:r>
        <w:r>
          <w:rPr>
            <w:webHidden/>
          </w:rPr>
          <w:fldChar w:fldCharType="separate"/>
        </w:r>
        <w:r>
          <w:rPr>
            <w:webHidden/>
          </w:rPr>
          <w:t>6</w:t>
        </w:r>
        <w:r>
          <w:rPr>
            <w:webHidden/>
          </w:rPr>
          <w:fldChar w:fldCharType="end"/>
        </w:r>
      </w:hyperlink>
    </w:p>
    <w:p w14:paraId="0C86E684" w14:textId="54DD2242" w:rsidR="00C1666C" w:rsidRDefault="00C1666C">
      <w:pPr>
        <w:pStyle w:val="TOC2"/>
        <w:rPr>
          <w:rFonts w:asciiTheme="minorHAnsi" w:eastAsiaTheme="minorEastAsia" w:hAnsiTheme="minorHAnsi" w:cstheme="minorBidi"/>
          <w:color w:val="auto"/>
          <w:kern w:val="2"/>
          <w:sz w:val="24"/>
          <w:szCs w:val="24"/>
          <w14:ligatures w14:val="standardContextual"/>
        </w:rPr>
      </w:pPr>
      <w:hyperlink w:anchor="_Toc228371008" w:history="1">
        <w:r w:rsidRPr="009301A6">
          <w:rPr>
            <w:rStyle w:val="Hyperlink"/>
          </w:rPr>
          <w:t>Why this matters now</w:t>
        </w:r>
        <w:r>
          <w:rPr>
            <w:webHidden/>
          </w:rPr>
          <w:tab/>
        </w:r>
        <w:r>
          <w:rPr>
            <w:webHidden/>
          </w:rPr>
          <w:fldChar w:fldCharType="begin"/>
        </w:r>
        <w:r>
          <w:rPr>
            <w:webHidden/>
          </w:rPr>
          <w:instrText xml:space="preserve"> PAGEREF _Toc228371008 \h </w:instrText>
        </w:r>
        <w:r>
          <w:rPr>
            <w:webHidden/>
          </w:rPr>
        </w:r>
        <w:r>
          <w:rPr>
            <w:webHidden/>
          </w:rPr>
          <w:fldChar w:fldCharType="separate"/>
        </w:r>
        <w:r>
          <w:rPr>
            <w:webHidden/>
          </w:rPr>
          <w:t>7</w:t>
        </w:r>
        <w:r>
          <w:rPr>
            <w:webHidden/>
          </w:rPr>
          <w:fldChar w:fldCharType="end"/>
        </w:r>
      </w:hyperlink>
    </w:p>
    <w:p w14:paraId="2E461891" w14:textId="1697E32F" w:rsidR="00C1666C" w:rsidRDefault="00C1666C">
      <w:pPr>
        <w:pStyle w:val="TOC1"/>
        <w:rPr>
          <w:rFonts w:asciiTheme="minorHAnsi" w:eastAsiaTheme="minorEastAsia" w:hAnsiTheme="minorHAnsi" w:cstheme="minorBidi"/>
          <w:b w:val="0"/>
          <w:color w:val="auto"/>
          <w:kern w:val="2"/>
          <w:sz w:val="24"/>
          <w:szCs w:val="24"/>
          <w14:ligatures w14:val="standardContextual"/>
        </w:rPr>
      </w:pPr>
      <w:hyperlink w:anchor="_Toc228371009" w:history="1">
        <w:r w:rsidRPr="009301A6">
          <w:rPr>
            <w:rStyle w:val="Hyperlink"/>
          </w:rPr>
          <w:t>Chapter 2: Work underway by the Australian Government</w:t>
        </w:r>
        <w:r>
          <w:rPr>
            <w:webHidden/>
          </w:rPr>
          <w:tab/>
        </w:r>
        <w:r>
          <w:rPr>
            <w:webHidden/>
          </w:rPr>
          <w:fldChar w:fldCharType="begin"/>
        </w:r>
        <w:r>
          <w:rPr>
            <w:webHidden/>
          </w:rPr>
          <w:instrText xml:space="preserve"> PAGEREF _Toc228371009 \h </w:instrText>
        </w:r>
        <w:r>
          <w:rPr>
            <w:webHidden/>
          </w:rPr>
        </w:r>
        <w:r>
          <w:rPr>
            <w:webHidden/>
          </w:rPr>
          <w:fldChar w:fldCharType="separate"/>
        </w:r>
        <w:r>
          <w:rPr>
            <w:webHidden/>
          </w:rPr>
          <w:t>9</w:t>
        </w:r>
        <w:r>
          <w:rPr>
            <w:webHidden/>
          </w:rPr>
          <w:fldChar w:fldCharType="end"/>
        </w:r>
      </w:hyperlink>
    </w:p>
    <w:p w14:paraId="52293882" w14:textId="1D9665AC" w:rsidR="00C1666C" w:rsidRDefault="00C1666C">
      <w:pPr>
        <w:pStyle w:val="TOC1"/>
        <w:rPr>
          <w:rFonts w:asciiTheme="minorHAnsi" w:eastAsiaTheme="minorEastAsia" w:hAnsiTheme="minorHAnsi" w:cstheme="minorBidi"/>
          <w:b w:val="0"/>
          <w:color w:val="auto"/>
          <w:kern w:val="2"/>
          <w:sz w:val="24"/>
          <w:szCs w:val="24"/>
          <w14:ligatures w14:val="standardContextual"/>
        </w:rPr>
      </w:pPr>
      <w:hyperlink w:anchor="_Toc228371010" w:history="1">
        <w:r w:rsidRPr="009301A6">
          <w:rPr>
            <w:rStyle w:val="Hyperlink"/>
          </w:rPr>
          <w:t>Chapter 3: How did we engage</w:t>
        </w:r>
        <w:r>
          <w:rPr>
            <w:webHidden/>
          </w:rPr>
          <w:tab/>
        </w:r>
        <w:r>
          <w:rPr>
            <w:webHidden/>
          </w:rPr>
          <w:fldChar w:fldCharType="begin"/>
        </w:r>
        <w:r>
          <w:rPr>
            <w:webHidden/>
          </w:rPr>
          <w:instrText xml:space="preserve"> PAGEREF _Toc228371010 \h </w:instrText>
        </w:r>
        <w:r>
          <w:rPr>
            <w:webHidden/>
          </w:rPr>
        </w:r>
        <w:r>
          <w:rPr>
            <w:webHidden/>
          </w:rPr>
          <w:fldChar w:fldCharType="separate"/>
        </w:r>
        <w:r>
          <w:rPr>
            <w:webHidden/>
          </w:rPr>
          <w:t>11</w:t>
        </w:r>
        <w:r>
          <w:rPr>
            <w:webHidden/>
          </w:rPr>
          <w:fldChar w:fldCharType="end"/>
        </w:r>
      </w:hyperlink>
    </w:p>
    <w:p w14:paraId="1269B828" w14:textId="4DC4E5A8" w:rsidR="00C1666C" w:rsidRDefault="00C1666C">
      <w:pPr>
        <w:pStyle w:val="TOC1"/>
        <w:rPr>
          <w:rFonts w:asciiTheme="minorHAnsi" w:eastAsiaTheme="minorEastAsia" w:hAnsiTheme="minorHAnsi" w:cstheme="minorBidi"/>
          <w:b w:val="0"/>
          <w:color w:val="auto"/>
          <w:kern w:val="2"/>
          <w:sz w:val="24"/>
          <w:szCs w:val="24"/>
          <w14:ligatures w14:val="standardContextual"/>
        </w:rPr>
      </w:pPr>
      <w:hyperlink w:anchor="_Toc228371011" w:history="1">
        <w:r w:rsidRPr="009301A6">
          <w:rPr>
            <w:rStyle w:val="Hyperlink"/>
          </w:rPr>
          <w:t>Chapter 4: What we have heard</w:t>
        </w:r>
        <w:r>
          <w:rPr>
            <w:webHidden/>
          </w:rPr>
          <w:tab/>
        </w:r>
        <w:r>
          <w:rPr>
            <w:webHidden/>
          </w:rPr>
          <w:fldChar w:fldCharType="begin"/>
        </w:r>
        <w:r>
          <w:rPr>
            <w:webHidden/>
          </w:rPr>
          <w:instrText xml:space="preserve"> PAGEREF _Toc228371011 \h </w:instrText>
        </w:r>
        <w:r>
          <w:rPr>
            <w:webHidden/>
          </w:rPr>
        </w:r>
        <w:r>
          <w:rPr>
            <w:webHidden/>
          </w:rPr>
          <w:fldChar w:fldCharType="separate"/>
        </w:r>
        <w:r>
          <w:rPr>
            <w:webHidden/>
          </w:rPr>
          <w:t>12</w:t>
        </w:r>
        <w:r>
          <w:rPr>
            <w:webHidden/>
          </w:rPr>
          <w:fldChar w:fldCharType="end"/>
        </w:r>
      </w:hyperlink>
    </w:p>
    <w:p w14:paraId="7CCAA3B4" w14:textId="679ED43F" w:rsidR="00C1666C" w:rsidRDefault="00C1666C">
      <w:pPr>
        <w:pStyle w:val="TOC2"/>
        <w:rPr>
          <w:rFonts w:asciiTheme="minorHAnsi" w:eastAsiaTheme="minorEastAsia" w:hAnsiTheme="minorHAnsi" w:cstheme="minorBidi"/>
          <w:color w:val="auto"/>
          <w:kern w:val="2"/>
          <w:sz w:val="24"/>
          <w:szCs w:val="24"/>
          <w14:ligatures w14:val="standardContextual"/>
        </w:rPr>
      </w:pPr>
      <w:hyperlink w:anchor="_Toc228371012" w:history="1">
        <w:r w:rsidRPr="009301A6">
          <w:rPr>
            <w:rStyle w:val="Hyperlink"/>
          </w:rPr>
          <w:t>Reform direction 1: Simplify NCC access and use</w:t>
        </w:r>
        <w:r>
          <w:rPr>
            <w:webHidden/>
          </w:rPr>
          <w:tab/>
        </w:r>
        <w:r>
          <w:rPr>
            <w:webHidden/>
          </w:rPr>
          <w:fldChar w:fldCharType="begin"/>
        </w:r>
        <w:r>
          <w:rPr>
            <w:webHidden/>
          </w:rPr>
          <w:instrText xml:space="preserve"> PAGEREF _Toc228371012 \h </w:instrText>
        </w:r>
        <w:r>
          <w:rPr>
            <w:webHidden/>
          </w:rPr>
        </w:r>
        <w:r>
          <w:rPr>
            <w:webHidden/>
          </w:rPr>
          <w:fldChar w:fldCharType="separate"/>
        </w:r>
        <w:r>
          <w:rPr>
            <w:webHidden/>
          </w:rPr>
          <w:t>13</w:t>
        </w:r>
        <w:r>
          <w:rPr>
            <w:webHidden/>
          </w:rPr>
          <w:fldChar w:fldCharType="end"/>
        </w:r>
      </w:hyperlink>
    </w:p>
    <w:p w14:paraId="04F7340B" w14:textId="0EA66284" w:rsidR="00C1666C" w:rsidRDefault="00C1666C">
      <w:pPr>
        <w:pStyle w:val="TOC2"/>
        <w:rPr>
          <w:rFonts w:asciiTheme="minorHAnsi" w:eastAsiaTheme="minorEastAsia" w:hAnsiTheme="minorHAnsi" w:cstheme="minorBidi"/>
          <w:color w:val="auto"/>
          <w:kern w:val="2"/>
          <w:sz w:val="24"/>
          <w:szCs w:val="24"/>
          <w14:ligatures w14:val="standardContextual"/>
        </w:rPr>
      </w:pPr>
      <w:hyperlink w:anchor="_Toc228371013" w:history="1">
        <w:r w:rsidRPr="009301A6">
          <w:rPr>
            <w:rStyle w:val="Hyperlink"/>
          </w:rPr>
          <w:t>Reform direction 2: Recommit to a national market</w:t>
        </w:r>
        <w:r>
          <w:rPr>
            <w:webHidden/>
          </w:rPr>
          <w:tab/>
        </w:r>
        <w:r>
          <w:rPr>
            <w:webHidden/>
          </w:rPr>
          <w:fldChar w:fldCharType="begin"/>
        </w:r>
        <w:r>
          <w:rPr>
            <w:webHidden/>
          </w:rPr>
          <w:instrText xml:space="preserve"> PAGEREF _Toc228371013 \h </w:instrText>
        </w:r>
        <w:r>
          <w:rPr>
            <w:webHidden/>
          </w:rPr>
        </w:r>
        <w:r>
          <w:rPr>
            <w:webHidden/>
          </w:rPr>
          <w:fldChar w:fldCharType="separate"/>
        </w:r>
        <w:r>
          <w:rPr>
            <w:webHidden/>
          </w:rPr>
          <w:t>17</w:t>
        </w:r>
        <w:r>
          <w:rPr>
            <w:webHidden/>
          </w:rPr>
          <w:fldChar w:fldCharType="end"/>
        </w:r>
      </w:hyperlink>
    </w:p>
    <w:p w14:paraId="1A944305" w14:textId="3FEC0ED2" w:rsidR="00C1666C" w:rsidRDefault="00C1666C">
      <w:pPr>
        <w:pStyle w:val="TOC2"/>
        <w:rPr>
          <w:rFonts w:asciiTheme="minorHAnsi" w:eastAsiaTheme="minorEastAsia" w:hAnsiTheme="minorHAnsi" w:cstheme="minorBidi"/>
          <w:color w:val="auto"/>
          <w:kern w:val="2"/>
          <w:sz w:val="24"/>
          <w:szCs w:val="24"/>
          <w14:ligatures w14:val="standardContextual"/>
        </w:rPr>
      </w:pPr>
      <w:hyperlink w:anchor="_Toc228371014" w:history="1">
        <w:r w:rsidRPr="009301A6">
          <w:rPr>
            <w:rStyle w:val="Hyperlink"/>
          </w:rPr>
          <w:t>Reform direction 3: Tougher, more rigorous cost-benefit analysis and decision making</w:t>
        </w:r>
        <w:r>
          <w:rPr>
            <w:webHidden/>
          </w:rPr>
          <w:tab/>
        </w:r>
        <w:r>
          <w:rPr>
            <w:webHidden/>
          </w:rPr>
          <w:fldChar w:fldCharType="begin"/>
        </w:r>
        <w:r>
          <w:rPr>
            <w:webHidden/>
          </w:rPr>
          <w:instrText xml:space="preserve"> PAGEREF _Toc228371014 \h </w:instrText>
        </w:r>
        <w:r>
          <w:rPr>
            <w:webHidden/>
          </w:rPr>
        </w:r>
        <w:r>
          <w:rPr>
            <w:webHidden/>
          </w:rPr>
          <w:fldChar w:fldCharType="separate"/>
        </w:r>
        <w:r>
          <w:rPr>
            <w:webHidden/>
          </w:rPr>
          <w:t>20</w:t>
        </w:r>
        <w:r>
          <w:rPr>
            <w:webHidden/>
          </w:rPr>
          <w:fldChar w:fldCharType="end"/>
        </w:r>
      </w:hyperlink>
    </w:p>
    <w:p w14:paraId="44DBD30F" w14:textId="7480A8A0" w:rsidR="00C1666C" w:rsidRDefault="00C1666C">
      <w:pPr>
        <w:pStyle w:val="TOC2"/>
        <w:rPr>
          <w:rFonts w:asciiTheme="minorHAnsi" w:eastAsiaTheme="minorEastAsia" w:hAnsiTheme="minorHAnsi" w:cstheme="minorBidi"/>
          <w:color w:val="auto"/>
          <w:kern w:val="2"/>
          <w:sz w:val="24"/>
          <w:szCs w:val="24"/>
          <w14:ligatures w14:val="standardContextual"/>
        </w:rPr>
      </w:pPr>
      <w:hyperlink w:anchor="_Toc228371015" w:history="1">
        <w:r w:rsidRPr="009301A6">
          <w:rPr>
            <w:rStyle w:val="Hyperlink"/>
          </w:rPr>
          <w:t>Reform direction 4: Enable clear pathways to innovation and new products</w:t>
        </w:r>
        <w:r>
          <w:rPr>
            <w:webHidden/>
          </w:rPr>
          <w:tab/>
        </w:r>
        <w:r>
          <w:rPr>
            <w:webHidden/>
          </w:rPr>
          <w:fldChar w:fldCharType="begin"/>
        </w:r>
        <w:r>
          <w:rPr>
            <w:webHidden/>
          </w:rPr>
          <w:instrText xml:space="preserve"> PAGEREF _Toc228371015 \h </w:instrText>
        </w:r>
        <w:r>
          <w:rPr>
            <w:webHidden/>
          </w:rPr>
        </w:r>
        <w:r>
          <w:rPr>
            <w:webHidden/>
          </w:rPr>
          <w:fldChar w:fldCharType="separate"/>
        </w:r>
        <w:r>
          <w:rPr>
            <w:webHidden/>
          </w:rPr>
          <w:t>22</w:t>
        </w:r>
        <w:r>
          <w:rPr>
            <w:webHidden/>
          </w:rPr>
          <w:fldChar w:fldCharType="end"/>
        </w:r>
      </w:hyperlink>
    </w:p>
    <w:p w14:paraId="403CC1CA" w14:textId="41FADEE6" w:rsidR="00C1666C" w:rsidRDefault="00C1666C">
      <w:pPr>
        <w:pStyle w:val="TOC2"/>
        <w:rPr>
          <w:rFonts w:asciiTheme="minorHAnsi" w:eastAsiaTheme="minorEastAsia" w:hAnsiTheme="minorHAnsi" w:cstheme="minorBidi"/>
          <w:color w:val="auto"/>
          <w:kern w:val="2"/>
          <w:sz w:val="24"/>
          <w:szCs w:val="24"/>
          <w14:ligatures w14:val="standardContextual"/>
        </w:rPr>
      </w:pPr>
      <w:hyperlink w:anchor="_Toc228371016" w:history="1">
        <w:r w:rsidRPr="009301A6">
          <w:rPr>
            <w:rStyle w:val="Hyperlink"/>
          </w:rPr>
          <w:t>Reform direction 5: Reduce the cost of demonstrating compliance</w:t>
        </w:r>
        <w:r>
          <w:rPr>
            <w:webHidden/>
          </w:rPr>
          <w:tab/>
        </w:r>
        <w:r>
          <w:rPr>
            <w:webHidden/>
          </w:rPr>
          <w:fldChar w:fldCharType="begin"/>
        </w:r>
        <w:r>
          <w:rPr>
            <w:webHidden/>
          </w:rPr>
          <w:instrText xml:space="preserve"> PAGEREF _Toc228371016 \h </w:instrText>
        </w:r>
        <w:r>
          <w:rPr>
            <w:webHidden/>
          </w:rPr>
        </w:r>
        <w:r>
          <w:rPr>
            <w:webHidden/>
          </w:rPr>
          <w:fldChar w:fldCharType="separate"/>
        </w:r>
        <w:r>
          <w:rPr>
            <w:webHidden/>
          </w:rPr>
          <w:t>24</w:t>
        </w:r>
        <w:r>
          <w:rPr>
            <w:webHidden/>
          </w:rPr>
          <w:fldChar w:fldCharType="end"/>
        </w:r>
      </w:hyperlink>
    </w:p>
    <w:p w14:paraId="75E325F7" w14:textId="295B7668" w:rsidR="00C1666C" w:rsidRDefault="00C1666C">
      <w:pPr>
        <w:pStyle w:val="TOC1"/>
        <w:rPr>
          <w:rFonts w:asciiTheme="minorHAnsi" w:eastAsiaTheme="minorEastAsia" w:hAnsiTheme="minorHAnsi" w:cstheme="minorBidi"/>
          <w:b w:val="0"/>
          <w:color w:val="auto"/>
          <w:kern w:val="2"/>
          <w:sz w:val="24"/>
          <w:szCs w:val="24"/>
          <w14:ligatures w14:val="standardContextual"/>
        </w:rPr>
      </w:pPr>
      <w:hyperlink w:anchor="_Toc228371017" w:history="1">
        <w:r w:rsidRPr="009301A6">
          <w:rPr>
            <w:rStyle w:val="Hyperlink"/>
          </w:rPr>
          <w:t>Chapter 5: Next steps</w:t>
        </w:r>
        <w:r>
          <w:rPr>
            <w:webHidden/>
          </w:rPr>
          <w:tab/>
        </w:r>
        <w:r>
          <w:rPr>
            <w:webHidden/>
          </w:rPr>
          <w:fldChar w:fldCharType="begin"/>
        </w:r>
        <w:r>
          <w:rPr>
            <w:webHidden/>
          </w:rPr>
          <w:instrText xml:space="preserve"> PAGEREF _Toc228371017 \h </w:instrText>
        </w:r>
        <w:r>
          <w:rPr>
            <w:webHidden/>
          </w:rPr>
        </w:r>
        <w:r>
          <w:rPr>
            <w:webHidden/>
          </w:rPr>
          <w:fldChar w:fldCharType="separate"/>
        </w:r>
        <w:r>
          <w:rPr>
            <w:webHidden/>
          </w:rPr>
          <w:t>25</w:t>
        </w:r>
        <w:r>
          <w:rPr>
            <w:webHidden/>
          </w:rPr>
          <w:fldChar w:fldCharType="end"/>
        </w:r>
      </w:hyperlink>
    </w:p>
    <w:p w14:paraId="5C959213" w14:textId="26346ECA" w:rsidR="003667B4" w:rsidRDefault="008D449C" w:rsidP="003667B4">
      <w:pPr>
        <w:rPr>
          <w:rFonts w:ascii="Calibri" w:hAnsi="Calibri" w:cs="Arial"/>
          <w:b/>
          <w:color w:val="5D779D" w:themeColor="accent3"/>
          <w:kern w:val="32"/>
          <w:sz w:val="44"/>
          <w:szCs w:val="36"/>
        </w:rPr>
      </w:pPr>
      <w:r>
        <w:fldChar w:fldCharType="end"/>
      </w:r>
      <w:r w:rsidR="003667B4">
        <w:br w:type="page"/>
      </w:r>
    </w:p>
    <w:p w14:paraId="4C6E5246" w14:textId="04FB8428" w:rsidR="00F81A35" w:rsidRDefault="00F81A35" w:rsidP="00F81A35">
      <w:pPr>
        <w:pStyle w:val="Heading1"/>
      </w:pPr>
      <w:bookmarkStart w:id="4" w:name="_Toc227834506"/>
      <w:bookmarkStart w:id="5" w:name="_Toc228371005"/>
      <w:bookmarkEnd w:id="1"/>
      <w:bookmarkEnd w:id="2"/>
      <w:r>
        <w:lastRenderedPageBreak/>
        <w:t>Executive Summary</w:t>
      </w:r>
      <w:bookmarkEnd w:id="4"/>
      <w:bookmarkEnd w:id="5"/>
      <w:r w:rsidR="00621B51">
        <w:t xml:space="preserve"> </w:t>
      </w:r>
    </w:p>
    <w:p w14:paraId="0032DBE4" w14:textId="531CCAEF" w:rsidR="007966A9" w:rsidRDefault="00EA35CB" w:rsidP="007966A9">
      <w:r w:rsidRPr="00EA35CB">
        <w:t>The National Construction Code</w:t>
      </w:r>
      <w:r>
        <w:t xml:space="preserve"> (NCC)</w:t>
      </w:r>
      <w:r w:rsidRPr="00EA35CB">
        <w:t xml:space="preserve"> provides Australians with safe and high</w:t>
      </w:r>
      <w:r w:rsidRPr="00EA35CB">
        <w:noBreakHyphen/>
        <w:t>quality buildings</w:t>
      </w:r>
      <w:r>
        <w:t>. It s</w:t>
      </w:r>
      <w:r w:rsidRPr="00EA35CB">
        <w:t>et</w:t>
      </w:r>
      <w:r>
        <w:t>s</w:t>
      </w:r>
      <w:r w:rsidRPr="00EA35CB">
        <w:t xml:space="preserve"> clear minimum standards for safety</w:t>
      </w:r>
      <w:r w:rsidR="00EE6DC8">
        <w:t xml:space="preserve"> and health</w:t>
      </w:r>
      <w:r w:rsidRPr="00EA35CB">
        <w:t xml:space="preserve">, amenity and </w:t>
      </w:r>
      <w:r w:rsidR="00EE6DC8">
        <w:t>accessibility, and sustainability,</w:t>
      </w:r>
      <w:r>
        <w:t xml:space="preserve"> and </w:t>
      </w:r>
      <w:r w:rsidRPr="00EA35CB">
        <w:t>establishes a nationally consistent baseline that underpins public confidence in the built environment.</w:t>
      </w:r>
    </w:p>
    <w:p w14:paraId="7E1B8CC5" w14:textId="4276AAF1" w:rsidR="00F37483" w:rsidRPr="00084B7E" w:rsidRDefault="00F37483" w:rsidP="00F37483">
      <w:r w:rsidRPr="00637397">
        <w:t xml:space="preserve">Australia faces a housing shortage, with governments </w:t>
      </w:r>
      <w:r>
        <w:t>and industry</w:t>
      </w:r>
      <w:r w:rsidRPr="00637397">
        <w:t xml:space="preserve"> </w:t>
      </w:r>
      <w:r>
        <w:t>agreeing an aspirational, national target</w:t>
      </w:r>
      <w:r w:rsidRPr="00637397">
        <w:t xml:space="preserve"> </w:t>
      </w:r>
      <w:r>
        <w:t xml:space="preserve">of </w:t>
      </w:r>
      <w:r w:rsidRPr="00637397">
        <w:t>1.2 million new, well</w:t>
      </w:r>
      <w:r w:rsidRPr="00637397">
        <w:noBreakHyphen/>
        <w:t xml:space="preserve">located homes under the National Housing Accord. </w:t>
      </w:r>
      <w:r>
        <w:t xml:space="preserve">However, </w:t>
      </w:r>
      <w:r w:rsidRPr="00637397">
        <w:t xml:space="preserve">housing </w:t>
      </w:r>
      <w:r>
        <w:t xml:space="preserve">and construction </w:t>
      </w:r>
      <w:r w:rsidRPr="00637397">
        <w:t xml:space="preserve">productivity is declining </w:t>
      </w:r>
      <w:r>
        <w:t xml:space="preserve">due to a range of factors, such as the many layers of complex </w:t>
      </w:r>
      <w:r w:rsidRPr="00637397">
        <w:t>regulation</w:t>
      </w:r>
      <w:r w:rsidR="008A3D0B">
        <w:t>.</w:t>
      </w:r>
      <w:r>
        <w:t xml:space="preserve"> This c</w:t>
      </w:r>
      <w:r w:rsidRPr="00084B7E">
        <w:t>onstrain</w:t>
      </w:r>
      <w:r>
        <w:t>s</w:t>
      </w:r>
      <w:r w:rsidRPr="00084B7E">
        <w:t xml:space="preserve"> supply and mak</w:t>
      </w:r>
      <w:r>
        <w:t>es</w:t>
      </w:r>
      <w:r w:rsidRPr="00084B7E">
        <w:t xml:space="preserve"> housing less affordable for Australians.</w:t>
      </w:r>
    </w:p>
    <w:p w14:paraId="0CEC8AF4" w14:textId="7FE10D4C" w:rsidR="004C4B15" w:rsidRDefault="004C4B15" w:rsidP="00D07646">
      <w:r>
        <w:t xml:space="preserve">This interim report </w:t>
      </w:r>
      <w:r w:rsidR="00EE7764">
        <w:t>under</w:t>
      </w:r>
      <w:r w:rsidR="005459E2">
        <w:t xml:space="preserve"> the </w:t>
      </w:r>
      <w:hyperlink r:id="rId16">
        <w:r w:rsidR="000E7691" w:rsidRPr="7097B545">
          <w:rPr>
            <w:rStyle w:val="Hyperlink"/>
          </w:rPr>
          <w:t>NCC Modernisation Project</w:t>
        </w:r>
      </w:hyperlink>
      <w:r w:rsidR="005459E2">
        <w:t xml:space="preserve"> </w:t>
      </w:r>
      <w:r w:rsidR="00EE7764">
        <w:t xml:space="preserve">sets out </w:t>
      </w:r>
      <w:r w:rsidR="00D07646">
        <w:t xml:space="preserve">five </w:t>
      </w:r>
      <w:r>
        <w:t>reform directions</w:t>
      </w:r>
      <w:r w:rsidR="000C52F1">
        <w:t xml:space="preserve"> to </w:t>
      </w:r>
      <w:r w:rsidR="00EE7764">
        <w:t>boost</w:t>
      </w:r>
      <w:r w:rsidR="00551DA6">
        <w:t xml:space="preserve"> productivity by </w:t>
      </w:r>
      <w:r>
        <w:t>restoring certainty, rebuilding trust and reducing unnecessary compliance costs while maintaining safety and performance</w:t>
      </w:r>
      <w:r w:rsidR="00EE7764">
        <w:t>.</w:t>
      </w:r>
      <w:r w:rsidR="00D07646">
        <w:t xml:space="preserve"> </w:t>
      </w:r>
      <w:r w:rsidR="00037E1C" w:rsidRPr="00037E1C">
        <w:t>Immediate actions have been identified under each reform direction, alongside areas requiring further exploration, to inform targeted consultation and guide the next phase of work toward a final report later this year setting out priority actions.</w:t>
      </w:r>
    </w:p>
    <w:p w14:paraId="622BD2E4" w14:textId="3055CC19" w:rsidR="008621F3" w:rsidRPr="008621F3" w:rsidRDefault="00495FEF" w:rsidP="00D07646">
      <w:r>
        <w:t>Stakeholders have been</w:t>
      </w:r>
      <w:r w:rsidR="008621F3" w:rsidRPr="008621F3">
        <w:t xml:space="preserve"> clear and consistent</w:t>
      </w:r>
      <w:r w:rsidR="00B81205">
        <w:t>. W</w:t>
      </w:r>
      <w:r w:rsidR="00223F87">
        <w:t xml:space="preserve">hile </w:t>
      </w:r>
      <w:r>
        <w:t xml:space="preserve">the </w:t>
      </w:r>
      <w:r w:rsidR="008621F3" w:rsidRPr="008621F3">
        <w:t xml:space="preserve">NCC </w:t>
      </w:r>
      <w:r w:rsidR="006D34D3">
        <w:t xml:space="preserve">provides </w:t>
      </w:r>
      <w:r w:rsidR="00614444">
        <w:t>Australians</w:t>
      </w:r>
      <w:r w:rsidR="008621F3" w:rsidRPr="008621F3">
        <w:t xml:space="preserve"> </w:t>
      </w:r>
      <w:r w:rsidR="003E651A">
        <w:t>with safe, quality buildings</w:t>
      </w:r>
      <w:r w:rsidR="0027004D">
        <w:t>,</w:t>
      </w:r>
      <w:r w:rsidR="00DD5E7B">
        <w:t xml:space="preserve"> </w:t>
      </w:r>
      <w:r w:rsidR="003F04D5">
        <w:t>it</w:t>
      </w:r>
      <w:r w:rsidR="004B2856">
        <w:t xml:space="preserve"> has not kept up with modern </w:t>
      </w:r>
      <w:r w:rsidR="00BF3E8C">
        <w:t xml:space="preserve">practices, </w:t>
      </w:r>
      <w:r>
        <w:t xml:space="preserve">and </w:t>
      </w:r>
      <w:r w:rsidR="00D07AA3">
        <w:t>the</w:t>
      </w:r>
      <w:r>
        <w:t xml:space="preserve"> </w:t>
      </w:r>
      <w:r w:rsidR="00A5053C">
        <w:t>system</w:t>
      </w:r>
      <w:r w:rsidR="00D07646">
        <w:t xml:space="preserve"> </w:t>
      </w:r>
      <w:r w:rsidR="00A5053C">
        <w:t xml:space="preserve">around it </w:t>
      </w:r>
      <w:r w:rsidR="008621F3" w:rsidRPr="008621F3">
        <w:t xml:space="preserve">is no longer functioning as a simple, nationally consistent regulatory framework. </w:t>
      </w:r>
      <w:r w:rsidR="006C1967">
        <w:t>Differ</w:t>
      </w:r>
      <w:r w:rsidR="00493B1B">
        <w:t>ing views</w:t>
      </w:r>
      <w:r w:rsidR="008621F3" w:rsidRPr="008621F3">
        <w:t xml:space="preserve"> on </w:t>
      </w:r>
      <w:r w:rsidR="006C1967">
        <w:t>proposed</w:t>
      </w:r>
      <w:r w:rsidR="008621F3" w:rsidRPr="008621F3">
        <w:t xml:space="preserve"> solutions</w:t>
      </w:r>
      <w:r w:rsidR="006C1967">
        <w:t xml:space="preserve"> exist</w:t>
      </w:r>
      <w:r w:rsidR="000C6EED">
        <w:t>, but</w:t>
      </w:r>
      <w:r w:rsidR="008621F3" w:rsidRPr="008621F3">
        <w:t xml:space="preserve"> there is strong alignment on the underlying problems and the need for reform to</w:t>
      </w:r>
      <w:r w:rsidR="00FC4B08">
        <w:t xml:space="preserve"> </w:t>
      </w:r>
      <w:r w:rsidR="00073BC3">
        <w:t xml:space="preserve">enhance </w:t>
      </w:r>
      <w:r w:rsidR="00FC4B08">
        <w:t xml:space="preserve">industry productivity, </w:t>
      </w:r>
      <w:r w:rsidR="008621F3" w:rsidRPr="008621F3">
        <w:t xml:space="preserve">clarity, certainty, trust and national </w:t>
      </w:r>
      <w:proofErr w:type="gramStart"/>
      <w:r w:rsidR="008621F3" w:rsidRPr="008621F3">
        <w:t>consistency</w:t>
      </w:r>
      <w:r w:rsidR="007F6EE5">
        <w:t>;</w:t>
      </w:r>
      <w:proofErr w:type="gramEnd"/>
      <w:r w:rsidR="00E97D25">
        <w:t xml:space="preserve"> </w:t>
      </w:r>
      <w:r w:rsidR="008621F3" w:rsidRPr="008621F3">
        <w:t>and support housing delivery.</w:t>
      </w:r>
    </w:p>
    <w:p w14:paraId="46465A0E" w14:textId="17E122D4" w:rsidR="008621F3" w:rsidRDefault="008621F3" w:rsidP="008621F3">
      <w:pPr>
        <w:spacing w:before="0" w:after="160" w:line="259" w:lineRule="auto"/>
      </w:pPr>
      <w:r w:rsidRPr="008621F3">
        <w:t>Five reform directions emerged across submissions and discussions</w:t>
      </w:r>
      <w:r w:rsidR="004E0E34">
        <w:t>, with some clear immediate actions</w:t>
      </w:r>
      <w:r w:rsidRPr="008621F3">
        <w:t>:</w:t>
      </w:r>
    </w:p>
    <w:tbl>
      <w:tblPr>
        <w:tblW w:w="5000" w:type="pct"/>
        <w:tblLook w:val="01E0" w:firstRow="1" w:lastRow="1" w:firstColumn="1" w:lastColumn="1" w:noHBand="0" w:noVBand="0"/>
      </w:tblPr>
      <w:tblGrid>
        <w:gridCol w:w="2552"/>
        <w:gridCol w:w="3118"/>
        <w:gridCol w:w="3356"/>
      </w:tblGrid>
      <w:tr w:rsidR="007E68FE" w14:paraId="46A66302" w14:textId="77777777" w:rsidTr="0052382D">
        <w:trPr>
          <w:trHeight w:val="270"/>
          <w:tblHeader/>
        </w:trPr>
        <w:tc>
          <w:tcPr>
            <w:tcW w:w="1414" w:type="pct"/>
            <w:shd w:val="clear" w:color="auto" w:fill="E5E5E5"/>
            <w:vAlign w:val="center"/>
          </w:tcPr>
          <w:p w14:paraId="285E6B34" w14:textId="75E81B4B" w:rsidR="005F16C7" w:rsidRPr="004E1053" w:rsidRDefault="005F16C7" w:rsidP="005F16C7">
            <w:pPr>
              <w:pStyle w:val="TableTextLeft"/>
              <w:rPr>
                <w:sz w:val="20"/>
              </w:rPr>
            </w:pPr>
            <w:r w:rsidRPr="004E1053">
              <w:rPr>
                <w:b/>
                <w:bCs/>
                <w:sz w:val="20"/>
              </w:rPr>
              <w:t>Reform direction</w:t>
            </w:r>
          </w:p>
        </w:tc>
        <w:tc>
          <w:tcPr>
            <w:tcW w:w="1727" w:type="pct"/>
            <w:shd w:val="clear" w:color="auto" w:fill="E5E5E5"/>
            <w:vAlign w:val="center"/>
          </w:tcPr>
          <w:p w14:paraId="39F41EB7" w14:textId="15EB4F99" w:rsidR="005F16C7" w:rsidRPr="004E1053" w:rsidRDefault="003B5824" w:rsidP="005F16C7">
            <w:pPr>
              <w:pStyle w:val="TableTextLeft"/>
              <w:rPr>
                <w:sz w:val="20"/>
              </w:rPr>
            </w:pPr>
            <w:r>
              <w:rPr>
                <w:b/>
                <w:bCs/>
                <w:sz w:val="20"/>
              </w:rPr>
              <w:t>Immediate a</w:t>
            </w:r>
            <w:r w:rsidR="00621B51">
              <w:rPr>
                <w:b/>
                <w:bCs/>
                <w:sz w:val="20"/>
              </w:rPr>
              <w:t xml:space="preserve">ctions </w:t>
            </w:r>
            <w:r>
              <w:rPr>
                <w:b/>
                <w:bCs/>
                <w:sz w:val="20"/>
              </w:rPr>
              <w:t>to consider</w:t>
            </w:r>
          </w:p>
        </w:tc>
        <w:tc>
          <w:tcPr>
            <w:tcW w:w="1859" w:type="pct"/>
            <w:shd w:val="clear" w:color="auto" w:fill="E5E5E5"/>
            <w:vAlign w:val="center"/>
          </w:tcPr>
          <w:p w14:paraId="654B2A5F" w14:textId="49681BA5" w:rsidR="005F16C7" w:rsidRPr="004E1053" w:rsidRDefault="005F16C7" w:rsidP="005F16C7">
            <w:pPr>
              <w:pStyle w:val="TableTextLeft"/>
              <w:rPr>
                <w:sz w:val="20"/>
              </w:rPr>
            </w:pPr>
            <w:r w:rsidRPr="004E1053">
              <w:rPr>
                <w:b/>
                <w:bCs/>
                <w:sz w:val="20"/>
              </w:rPr>
              <w:t>What this means for NCC users</w:t>
            </w:r>
          </w:p>
        </w:tc>
      </w:tr>
      <w:tr w:rsidR="00092598" w14:paraId="02AB783E" w14:textId="77777777" w:rsidTr="0052382D">
        <w:trPr>
          <w:trHeight w:val="270"/>
        </w:trPr>
        <w:tc>
          <w:tcPr>
            <w:tcW w:w="1414" w:type="pct"/>
            <w:vAlign w:val="center"/>
          </w:tcPr>
          <w:p w14:paraId="559A2219" w14:textId="6288A272" w:rsidR="00092598" w:rsidRPr="004E1053" w:rsidRDefault="00092598" w:rsidP="00092598">
            <w:pPr>
              <w:pStyle w:val="TableTextLeft"/>
              <w:rPr>
                <w:sz w:val="20"/>
              </w:rPr>
            </w:pPr>
            <w:r w:rsidRPr="004E1053">
              <w:rPr>
                <w:b/>
                <w:bCs/>
                <w:sz w:val="20"/>
              </w:rPr>
              <w:t>1. Simplify access and use</w:t>
            </w:r>
          </w:p>
        </w:tc>
        <w:tc>
          <w:tcPr>
            <w:tcW w:w="1727" w:type="pct"/>
            <w:vAlign w:val="center"/>
          </w:tcPr>
          <w:p w14:paraId="48729C0D" w14:textId="353D7ACC" w:rsidR="00092598" w:rsidRPr="004E1053" w:rsidRDefault="00092598" w:rsidP="00092598">
            <w:pPr>
              <w:pStyle w:val="TableTextLeft"/>
              <w:rPr>
                <w:sz w:val="20"/>
              </w:rPr>
            </w:pPr>
            <w:r w:rsidRPr="006D1426">
              <w:rPr>
                <w:sz w:val="20"/>
              </w:rPr>
              <w:t xml:space="preserve">Remove </w:t>
            </w:r>
            <w:r>
              <w:rPr>
                <w:sz w:val="20"/>
              </w:rPr>
              <w:t>barriers to access</w:t>
            </w:r>
            <w:r w:rsidRPr="006D1426">
              <w:rPr>
                <w:sz w:val="20"/>
              </w:rPr>
              <w:t xml:space="preserve">, reduce duplication, ambiguity and complexity, </w:t>
            </w:r>
            <w:r>
              <w:rPr>
                <w:sz w:val="20"/>
              </w:rPr>
              <w:t xml:space="preserve">and </w:t>
            </w:r>
            <w:r w:rsidRPr="006D1426">
              <w:rPr>
                <w:sz w:val="20"/>
              </w:rPr>
              <w:t>use digital tools to improve usability.</w:t>
            </w:r>
          </w:p>
        </w:tc>
        <w:tc>
          <w:tcPr>
            <w:tcW w:w="1859" w:type="pct"/>
            <w:vAlign w:val="center"/>
          </w:tcPr>
          <w:p w14:paraId="6FD96959" w14:textId="0522C2FE" w:rsidR="00092598" w:rsidRPr="004E1053" w:rsidRDefault="00092598" w:rsidP="00092598">
            <w:pPr>
              <w:pStyle w:val="TableTextLeft"/>
              <w:rPr>
                <w:sz w:val="20"/>
              </w:rPr>
            </w:pPr>
            <w:r w:rsidRPr="004E1053">
              <w:rPr>
                <w:sz w:val="20"/>
              </w:rPr>
              <w:t>Faster design and approval decisions, lower design costs, less reliance on consultants.</w:t>
            </w:r>
          </w:p>
        </w:tc>
      </w:tr>
      <w:tr w:rsidR="005F16C7" w14:paraId="50151CC7" w14:textId="77777777" w:rsidTr="0052382D">
        <w:trPr>
          <w:trHeight w:val="270"/>
        </w:trPr>
        <w:tc>
          <w:tcPr>
            <w:tcW w:w="1414" w:type="pct"/>
            <w:vAlign w:val="center"/>
          </w:tcPr>
          <w:p w14:paraId="04A1B7FC" w14:textId="54FDD535" w:rsidR="005F16C7" w:rsidRPr="004E1053" w:rsidRDefault="005F16C7" w:rsidP="005F16C7">
            <w:pPr>
              <w:pStyle w:val="TableTextLeft"/>
              <w:rPr>
                <w:b/>
                <w:bCs/>
                <w:sz w:val="20"/>
              </w:rPr>
            </w:pPr>
            <w:r w:rsidRPr="004E1053">
              <w:rPr>
                <w:b/>
                <w:bCs/>
                <w:sz w:val="20"/>
              </w:rPr>
              <w:t>2. Recommit to a national market</w:t>
            </w:r>
          </w:p>
        </w:tc>
        <w:tc>
          <w:tcPr>
            <w:tcW w:w="1727" w:type="pct"/>
            <w:vAlign w:val="center"/>
          </w:tcPr>
          <w:p w14:paraId="08BF11C3" w14:textId="2B9864D4" w:rsidR="005F16C7" w:rsidRPr="004E1053" w:rsidRDefault="005F16C7" w:rsidP="005F16C7">
            <w:pPr>
              <w:pStyle w:val="TableTextLeft"/>
              <w:rPr>
                <w:sz w:val="20"/>
              </w:rPr>
            </w:pPr>
            <w:r w:rsidRPr="00BD2133">
              <w:rPr>
                <w:sz w:val="20"/>
              </w:rPr>
              <w:t>Reduce</w:t>
            </w:r>
            <w:r w:rsidRPr="004E1053">
              <w:rPr>
                <w:sz w:val="20"/>
              </w:rPr>
              <w:t xml:space="preserve"> variations and strengthen mechanisms to sustain national consistency over time.</w:t>
            </w:r>
          </w:p>
        </w:tc>
        <w:tc>
          <w:tcPr>
            <w:tcW w:w="1859" w:type="pct"/>
            <w:vAlign w:val="center"/>
          </w:tcPr>
          <w:p w14:paraId="25192109" w14:textId="64A0B03A" w:rsidR="005F16C7" w:rsidRPr="004E1053" w:rsidRDefault="005F16C7" w:rsidP="005F16C7">
            <w:pPr>
              <w:pStyle w:val="TableTextLeft"/>
              <w:rPr>
                <w:sz w:val="20"/>
              </w:rPr>
            </w:pPr>
            <w:r w:rsidRPr="004E1053">
              <w:rPr>
                <w:sz w:val="20"/>
              </w:rPr>
              <w:t>Fewer jurisdiction</w:t>
            </w:r>
            <w:r w:rsidR="00A332B7">
              <w:rPr>
                <w:sz w:val="20"/>
              </w:rPr>
              <w:t>-</w:t>
            </w:r>
            <w:r w:rsidRPr="004E1053">
              <w:rPr>
                <w:sz w:val="20"/>
              </w:rPr>
              <w:t>specific requirements, improved delivery efficiencies, and a stronger national market.</w:t>
            </w:r>
          </w:p>
        </w:tc>
      </w:tr>
      <w:tr w:rsidR="005F16C7" w14:paraId="05C35ADA" w14:textId="77777777" w:rsidTr="0052382D">
        <w:trPr>
          <w:trHeight w:val="270"/>
        </w:trPr>
        <w:tc>
          <w:tcPr>
            <w:tcW w:w="1414" w:type="pct"/>
            <w:vAlign w:val="center"/>
          </w:tcPr>
          <w:p w14:paraId="1BBD1F70" w14:textId="7C6D2ED6" w:rsidR="005F16C7" w:rsidRPr="004E1053" w:rsidRDefault="00621B51" w:rsidP="005F16C7">
            <w:pPr>
              <w:pStyle w:val="TableTextLeft"/>
              <w:rPr>
                <w:b/>
                <w:bCs/>
                <w:sz w:val="20"/>
              </w:rPr>
            </w:pPr>
            <w:r w:rsidRPr="004E1053">
              <w:rPr>
                <w:b/>
                <w:bCs/>
                <w:sz w:val="20"/>
              </w:rPr>
              <w:t>3.</w:t>
            </w:r>
            <w:r w:rsidR="00555B6F">
              <w:t xml:space="preserve"> </w:t>
            </w:r>
            <w:r w:rsidR="00555B6F" w:rsidRPr="00555B6F">
              <w:rPr>
                <w:b/>
                <w:bCs/>
                <w:sz w:val="20"/>
              </w:rPr>
              <w:t xml:space="preserve">Tougher, more rigorous cost-benefit </w:t>
            </w:r>
            <w:r w:rsidR="00555B6F" w:rsidRPr="00555B6F" w:rsidDel="00241B70">
              <w:rPr>
                <w:b/>
                <w:bCs/>
                <w:sz w:val="20"/>
              </w:rPr>
              <w:t>analysis</w:t>
            </w:r>
            <w:r w:rsidR="005F16C7" w:rsidRPr="004E1053" w:rsidDel="00241B70">
              <w:rPr>
                <w:b/>
                <w:bCs/>
                <w:sz w:val="20"/>
              </w:rPr>
              <w:t xml:space="preserve"> </w:t>
            </w:r>
            <w:r w:rsidR="00241B70">
              <w:rPr>
                <w:b/>
                <w:bCs/>
                <w:sz w:val="20"/>
              </w:rPr>
              <w:t>and</w:t>
            </w:r>
            <w:r w:rsidR="002F55C5">
              <w:rPr>
                <w:b/>
                <w:bCs/>
                <w:sz w:val="20"/>
              </w:rPr>
              <w:t xml:space="preserve"> decision making </w:t>
            </w:r>
          </w:p>
        </w:tc>
        <w:tc>
          <w:tcPr>
            <w:tcW w:w="1727" w:type="pct"/>
            <w:vAlign w:val="center"/>
          </w:tcPr>
          <w:p w14:paraId="5CDF47F2" w14:textId="1BB2B37A" w:rsidR="005F16C7" w:rsidRPr="004E1053" w:rsidRDefault="005F16C7" w:rsidP="005F16C7">
            <w:pPr>
              <w:pStyle w:val="TableTextLeft"/>
              <w:rPr>
                <w:sz w:val="20"/>
              </w:rPr>
            </w:pPr>
            <w:r w:rsidRPr="004E1053">
              <w:rPr>
                <w:sz w:val="20"/>
              </w:rPr>
              <w:t>Strengthen end</w:t>
            </w:r>
            <w:r w:rsidR="003B5824" w:rsidRPr="003B5824">
              <w:rPr>
                <w:rFonts w:ascii="Cambria Math" w:hAnsi="Cambria Math" w:cs="Cambria Math"/>
                <w:sz w:val="20"/>
              </w:rPr>
              <w:t>‑</w:t>
            </w:r>
            <w:r w:rsidRPr="004E1053">
              <w:rPr>
                <w:sz w:val="20"/>
              </w:rPr>
              <w:t>to</w:t>
            </w:r>
            <w:r w:rsidR="003B5824" w:rsidRPr="003B5824">
              <w:rPr>
                <w:rFonts w:ascii="Cambria Math" w:hAnsi="Cambria Math" w:cs="Cambria Math"/>
                <w:sz w:val="20"/>
              </w:rPr>
              <w:t>‑</w:t>
            </w:r>
            <w:r w:rsidRPr="004E1053">
              <w:rPr>
                <w:sz w:val="20"/>
              </w:rPr>
              <w:t>end decision processes and governance, separating policy reform from technical updates</w:t>
            </w:r>
            <w:r w:rsidR="003B5824" w:rsidRPr="003B5824">
              <w:rPr>
                <w:sz w:val="20"/>
              </w:rPr>
              <w:t xml:space="preserve">, and embed </w:t>
            </w:r>
            <w:r w:rsidR="00631694">
              <w:rPr>
                <w:sz w:val="20"/>
              </w:rPr>
              <w:t xml:space="preserve">improved </w:t>
            </w:r>
            <w:r w:rsidR="003B5824" w:rsidRPr="003B5824">
              <w:rPr>
                <w:sz w:val="20"/>
              </w:rPr>
              <w:t>cost</w:t>
            </w:r>
            <w:r w:rsidR="00456D62">
              <w:rPr>
                <w:sz w:val="20"/>
              </w:rPr>
              <w:t>-</w:t>
            </w:r>
            <w:r w:rsidR="003B5824" w:rsidRPr="003B5824">
              <w:rPr>
                <w:sz w:val="20"/>
              </w:rPr>
              <w:t>benefit analysis</w:t>
            </w:r>
            <w:r w:rsidRPr="004E1053">
              <w:rPr>
                <w:sz w:val="20"/>
              </w:rPr>
              <w:t>.</w:t>
            </w:r>
          </w:p>
        </w:tc>
        <w:tc>
          <w:tcPr>
            <w:tcW w:w="1859" w:type="pct"/>
            <w:vAlign w:val="center"/>
          </w:tcPr>
          <w:p w14:paraId="7CD801A0" w14:textId="726D3ED0" w:rsidR="005F16C7" w:rsidRPr="004E1053" w:rsidRDefault="005F16C7" w:rsidP="005F16C7">
            <w:pPr>
              <w:pStyle w:val="TableTextLeft"/>
              <w:rPr>
                <w:sz w:val="20"/>
              </w:rPr>
            </w:pPr>
            <w:r w:rsidRPr="004E1053">
              <w:rPr>
                <w:sz w:val="20"/>
              </w:rPr>
              <w:t xml:space="preserve">Greater certainty </w:t>
            </w:r>
            <w:r w:rsidR="00994FD7" w:rsidRPr="004E1053">
              <w:rPr>
                <w:sz w:val="20"/>
              </w:rPr>
              <w:t>and understanding of</w:t>
            </w:r>
            <w:r w:rsidRPr="004E1053">
              <w:rPr>
                <w:sz w:val="20"/>
              </w:rPr>
              <w:t xml:space="preserve"> changes, reducing disruption, implementation costs and risk.</w:t>
            </w:r>
          </w:p>
        </w:tc>
      </w:tr>
      <w:tr w:rsidR="005F16C7" w14:paraId="5521E936" w14:textId="77777777" w:rsidTr="0052382D">
        <w:trPr>
          <w:trHeight w:val="270"/>
        </w:trPr>
        <w:tc>
          <w:tcPr>
            <w:tcW w:w="1414" w:type="pct"/>
            <w:vAlign w:val="center"/>
          </w:tcPr>
          <w:p w14:paraId="340D0E94" w14:textId="10FCA5E5" w:rsidR="005F16C7" w:rsidRPr="004E1053" w:rsidRDefault="005F16C7" w:rsidP="005F16C7">
            <w:pPr>
              <w:pStyle w:val="TableTextLeft"/>
              <w:rPr>
                <w:b/>
                <w:bCs/>
                <w:sz w:val="20"/>
              </w:rPr>
            </w:pPr>
            <w:r w:rsidRPr="004E1053">
              <w:rPr>
                <w:b/>
                <w:bCs/>
                <w:sz w:val="20"/>
              </w:rPr>
              <w:t>4. Enable innovation and new products</w:t>
            </w:r>
          </w:p>
        </w:tc>
        <w:tc>
          <w:tcPr>
            <w:tcW w:w="1727" w:type="pct"/>
            <w:vAlign w:val="center"/>
          </w:tcPr>
          <w:p w14:paraId="1BCE6862" w14:textId="6E2F4536" w:rsidR="005F16C7" w:rsidRPr="004E1053" w:rsidRDefault="005F16C7" w:rsidP="005F16C7">
            <w:pPr>
              <w:pStyle w:val="TableTextLeft"/>
              <w:rPr>
                <w:sz w:val="20"/>
              </w:rPr>
            </w:pPr>
            <w:r w:rsidRPr="004E1053">
              <w:rPr>
                <w:sz w:val="20"/>
              </w:rPr>
              <w:t>Establish clear, nationally consistent and scalable pathways to accelerate uptake of innovative products and methods.</w:t>
            </w:r>
          </w:p>
        </w:tc>
        <w:tc>
          <w:tcPr>
            <w:tcW w:w="1859" w:type="pct"/>
            <w:vAlign w:val="center"/>
          </w:tcPr>
          <w:p w14:paraId="58872EF9" w14:textId="75834985" w:rsidR="005F16C7" w:rsidRPr="004E1053" w:rsidRDefault="00994FD7" w:rsidP="005F16C7">
            <w:pPr>
              <w:pStyle w:val="TableTextLeft"/>
              <w:rPr>
                <w:sz w:val="20"/>
              </w:rPr>
            </w:pPr>
            <w:r w:rsidRPr="004E1053">
              <w:rPr>
                <w:sz w:val="20"/>
              </w:rPr>
              <w:t>Can use new innovation</w:t>
            </w:r>
            <w:r w:rsidR="004E1053">
              <w:rPr>
                <w:sz w:val="20"/>
              </w:rPr>
              <w:t>s</w:t>
            </w:r>
            <w:r w:rsidRPr="004E1053">
              <w:rPr>
                <w:sz w:val="20"/>
              </w:rPr>
              <w:t xml:space="preserve"> sooner</w:t>
            </w:r>
            <w:r w:rsidR="005F16C7" w:rsidRPr="004E1053">
              <w:rPr>
                <w:sz w:val="20"/>
              </w:rPr>
              <w:t xml:space="preserve">, reduced approval </w:t>
            </w:r>
            <w:r w:rsidR="009C1ADD" w:rsidRPr="004E1053">
              <w:rPr>
                <w:sz w:val="20"/>
              </w:rPr>
              <w:t>times</w:t>
            </w:r>
            <w:r w:rsidR="005F16C7" w:rsidRPr="004E1053">
              <w:rPr>
                <w:sz w:val="20"/>
              </w:rPr>
              <w:t>, and scalable cost</w:t>
            </w:r>
            <w:r w:rsidR="005F16C7" w:rsidRPr="004E1053">
              <w:rPr>
                <w:sz w:val="20"/>
              </w:rPr>
              <w:noBreakHyphen/>
              <w:t>saving approaches.</w:t>
            </w:r>
            <w:r w:rsidR="009C1ADD" w:rsidRPr="004E1053">
              <w:rPr>
                <w:sz w:val="20"/>
              </w:rPr>
              <w:t xml:space="preserve"> Increased national market opportunities.</w:t>
            </w:r>
          </w:p>
        </w:tc>
      </w:tr>
      <w:tr w:rsidR="005F16C7" w14:paraId="62ED3C48" w14:textId="77777777" w:rsidTr="0052382D">
        <w:trPr>
          <w:trHeight w:val="270"/>
        </w:trPr>
        <w:tc>
          <w:tcPr>
            <w:tcW w:w="1414" w:type="pct"/>
            <w:vAlign w:val="center"/>
          </w:tcPr>
          <w:p w14:paraId="3A1488E1" w14:textId="422E83DA" w:rsidR="005F16C7" w:rsidRPr="004E1053" w:rsidRDefault="005F16C7" w:rsidP="005F16C7">
            <w:pPr>
              <w:pStyle w:val="TableTextLeft"/>
              <w:rPr>
                <w:b/>
                <w:bCs/>
                <w:sz w:val="20"/>
              </w:rPr>
            </w:pPr>
            <w:r w:rsidRPr="004E1053">
              <w:rPr>
                <w:b/>
                <w:bCs/>
                <w:sz w:val="20"/>
              </w:rPr>
              <w:t>5. Reduce the cost of demonstrating compliance</w:t>
            </w:r>
          </w:p>
        </w:tc>
        <w:tc>
          <w:tcPr>
            <w:tcW w:w="1727" w:type="pct"/>
            <w:vAlign w:val="center"/>
          </w:tcPr>
          <w:p w14:paraId="1E42DE24" w14:textId="1A5792A8" w:rsidR="005F16C7" w:rsidRPr="004E1053" w:rsidRDefault="00B831E3" w:rsidP="005F16C7">
            <w:pPr>
              <w:pStyle w:val="TableTextLeft"/>
              <w:rPr>
                <w:sz w:val="20"/>
              </w:rPr>
            </w:pPr>
            <w:r>
              <w:rPr>
                <w:sz w:val="20"/>
              </w:rPr>
              <w:t>Implement r</w:t>
            </w:r>
            <w:r w:rsidR="005F16C7" w:rsidRPr="00BD2133">
              <w:rPr>
                <w:sz w:val="20"/>
              </w:rPr>
              <w:t>isk</w:t>
            </w:r>
            <w:r w:rsidR="005F16C7" w:rsidRPr="004E1053">
              <w:rPr>
                <w:sz w:val="20"/>
              </w:rPr>
              <w:noBreakHyphen/>
              <w:t>based, proportionate compliance pathways tailored to building type and complexity.</w:t>
            </w:r>
          </w:p>
        </w:tc>
        <w:tc>
          <w:tcPr>
            <w:tcW w:w="1859" w:type="pct"/>
            <w:vAlign w:val="center"/>
          </w:tcPr>
          <w:p w14:paraId="0650C048" w14:textId="15C0A951" w:rsidR="005F16C7" w:rsidRPr="004E1053" w:rsidRDefault="005F16C7" w:rsidP="005F16C7">
            <w:pPr>
              <w:pStyle w:val="TableTextLeft"/>
              <w:rPr>
                <w:sz w:val="20"/>
              </w:rPr>
            </w:pPr>
            <w:r w:rsidRPr="004E1053">
              <w:rPr>
                <w:sz w:val="20"/>
              </w:rPr>
              <w:t>Faster compliance, reduced paperwork, lower consultant reliance, and reduced certification costs.</w:t>
            </w:r>
          </w:p>
        </w:tc>
      </w:tr>
    </w:tbl>
    <w:p w14:paraId="777BCBD0" w14:textId="31E937F9" w:rsidR="00681EC5" w:rsidRDefault="00681EC5" w:rsidP="00681EC5">
      <w:r>
        <w:t>T</w:t>
      </w:r>
      <w:r w:rsidR="008621F3" w:rsidRPr="008621F3">
        <w:t xml:space="preserve">hese reform directions </w:t>
      </w:r>
      <w:r w:rsidR="00DC2149">
        <w:t>will be the basis for</w:t>
      </w:r>
      <w:r w:rsidR="008621F3" w:rsidRPr="008621F3">
        <w:t xml:space="preserve"> targeted, structural reform to ensure the </w:t>
      </w:r>
      <w:r w:rsidR="00D00D57">
        <w:t>NCC</w:t>
      </w:r>
      <w:r w:rsidR="00D00D57" w:rsidRPr="008621F3">
        <w:t xml:space="preserve"> </w:t>
      </w:r>
      <w:r w:rsidR="009A29FD">
        <w:t xml:space="preserve">and the regulatory environment </w:t>
      </w:r>
      <w:r w:rsidR="008621F3" w:rsidRPr="008621F3">
        <w:t>remains effective, trusted and fit for purpose.</w:t>
      </w:r>
      <w:r>
        <w:t xml:space="preserve"> </w:t>
      </w:r>
    </w:p>
    <w:p w14:paraId="28E7A9EB" w14:textId="0A930A4B" w:rsidR="00D07646" w:rsidRDefault="00681EC5" w:rsidP="00987D9C">
      <w:pPr>
        <w:rPr>
          <w:rFonts w:ascii="Calibri" w:hAnsi="Calibri" w:cs="Arial"/>
          <w:b/>
          <w:color w:val="5D779D" w:themeColor="accent3"/>
          <w:kern w:val="32"/>
          <w:sz w:val="44"/>
          <w:szCs w:val="36"/>
        </w:rPr>
      </w:pPr>
      <w:r>
        <w:t>The next phase of the project will focus on deepening the evidence base, testing potential reform options, and assessing implementation impacts to ensure changes are practical, proportionate and nationally workable.</w:t>
      </w:r>
      <w:r w:rsidR="00D07646">
        <w:br w:type="page"/>
      </w:r>
    </w:p>
    <w:p w14:paraId="2D5A90CD" w14:textId="37813022" w:rsidR="00994162" w:rsidRDefault="00994162" w:rsidP="00994162">
      <w:pPr>
        <w:pStyle w:val="Heading1"/>
      </w:pPr>
      <w:bookmarkStart w:id="6" w:name="_Toc227834507"/>
      <w:bookmarkStart w:id="7" w:name="_Toc228371006"/>
      <w:r>
        <w:lastRenderedPageBreak/>
        <w:t xml:space="preserve">Chapter 1: </w:t>
      </w:r>
      <w:r w:rsidR="000157E4">
        <w:t>Context</w:t>
      </w:r>
      <w:bookmarkEnd w:id="6"/>
      <w:bookmarkEnd w:id="7"/>
    </w:p>
    <w:p w14:paraId="2CD64851" w14:textId="15DE5FA4" w:rsidR="009B3004" w:rsidRDefault="009B3004" w:rsidP="009B3004">
      <w:r>
        <w:t>The creation of a nationally consistent set of buildings</w:t>
      </w:r>
      <w:r w:rsidR="001C7D55">
        <w:t>’</w:t>
      </w:r>
      <w:r>
        <w:t xml:space="preserve"> laws was a key focus of </w:t>
      </w:r>
      <w:r>
        <w:rPr>
          <w:rStyle w:val="Strong"/>
        </w:rPr>
        <w:t>microeconomic and productivity reform agenda of the 1990s</w:t>
      </w:r>
      <w:r>
        <w:t xml:space="preserve">. Specifically, the NCC was designed to provide a clear, nationally consistent set of </w:t>
      </w:r>
      <w:r w:rsidR="004F535B">
        <w:t>requirements</w:t>
      </w:r>
      <w:r>
        <w:t xml:space="preserve"> that enable buildings to be designed and constructed efficiently across jurisdictions.</w:t>
      </w:r>
    </w:p>
    <w:p w14:paraId="6A60008D" w14:textId="6F6F3058" w:rsidR="006F3BF4" w:rsidRPr="006F3BF4" w:rsidRDefault="00C25B1A" w:rsidP="00311658">
      <w:r>
        <w:t>T</w:t>
      </w:r>
      <w:r w:rsidR="00B72BB4">
        <w:t xml:space="preserve">he NCC </w:t>
      </w:r>
      <w:r w:rsidR="006647FB" w:rsidRPr="006647FB">
        <w:t>replaced a patchwork of state-based rules with a unified code (Building Code of Australia and Plumbing Code of Australia), streamlining building regulation across Australia.</w:t>
      </w:r>
      <w:r w:rsidR="006F3BF4">
        <w:t xml:space="preserve"> </w:t>
      </w:r>
      <w:r w:rsidR="006F3BF4" w:rsidRPr="006F3BF4">
        <w:t xml:space="preserve">Since 1996, </w:t>
      </w:r>
      <w:r w:rsidR="006F3BF4">
        <w:t>the NCC</w:t>
      </w:r>
      <w:r w:rsidR="006F3BF4" w:rsidRPr="006F3BF4">
        <w:t xml:space="preserve"> has used a performance-based approach, allowing builders to meet requirements through a prescriptive </w:t>
      </w:r>
      <w:r w:rsidR="009D781B">
        <w:t>D</w:t>
      </w:r>
      <w:r w:rsidR="006F3BF4" w:rsidRPr="006F3BF4">
        <w:t>eemed-to-Satisfy</w:t>
      </w:r>
      <w:r w:rsidR="009D781B">
        <w:t xml:space="preserve"> (DTS)</w:t>
      </w:r>
      <w:r w:rsidR="006F3BF4" w:rsidRPr="006F3BF4">
        <w:t xml:space="preserve"> path or innovative </w:t>
      </w:r>
      <w:r w:rsidR="000F11B9">
        <w:t>p</w:t>
      </w:r>
      <w:r w:rsidR="006F3BF4" w:rsidRPr="006F3BF4">
        <w:t xml:space="preserve">erformance </w:t>
      </w:r>
      <w:r w:rsidR="000F11B9">
        <w:t>s</w:t>
      </w:r>
      <w:r w:rsidR="006F3BF4" w:rsidRPr="006F3BF4">
        <w:t>olutions, enabling flexible design and new technologies.</w:t>
      </w:r>
    </w:p>
    <w:p w14:paraId="2B9083C5" w14:textId="7EC0E4C9" w:rsidR="000B1C33" w:rsidRDefault="00DA320F" w:rsidP="745A57E3">
      <w:pPr>
        <w:rPr>
          <w:color w:val="FF0000"/>
        </w:rPr>
      </w:pPr>
      <w:r>
        <w:t>The NCC has</w:t>
      </w:r>
      <w:r w:rsidR="000F269C">
        <w:t xml:space="preserve"> </w:t>
      </w:r>
      <w:r>
        <w:t>set</w:t>
      </w:r>
      <w:r w:rsidR="000F269C">
        <w:t xml:space="preserve"> clear minimum standards for </w:t>
      </w:r>
      <w:r w:rsidR="000F269C" w:rsidRPr="001A44E7">
        <w:t xml:space="preserve">structural integrity, energy efficiency, accessibility and sustainability. Recent reforms have delivered stronger energy performance, more </w:t>
      </w:r>
      <w:r w:rsidR="5568A11F" w:rsidRPr="001A44E7">
        <w:t>liveable</w:t>
      </w:r>
      <w:r w:rsidR="000F269C" w:rsidRPr="001A44E7">
        <w:t xml:space="preserve"> and accessible homes, improved fire and moisture protection and future mobility needs</w:t>
      </w:r>
      <w:r w:rsidRPr="001A44E7">
        <w:rPr>
          <w:rFonts w:cs="Calibri Light"/>
        </w:rPr>
        <w:t xml:space="preserve"> –</w:t>
      </w:r>
      <w:r>
        <w:rPr>
          <w:rFonts w:cs="Calibri Light"/>
        </w:rPr>
        <w:t xml:space="preserve"> </w:t>
      </w:r>
      <w:r w:rsidR="000F269C" w:rsidRPr="001A44E7">
        <w:t xml:space="preserve">lifting building quality and </w:t>
      </w:r>
      <w:r w:rsidR="2BA1753D" w:rsidRPr="001A44E7">
        <w:t>long-term</w:t>
      </w:r>
      <w:r w:rsidR="000F269C" w:rsidRPr="001A44E7">
        <w:t xml:space="preserve"> outcomes for occupants.</w:t>
      </w:r>
      <w:r w:rsidR="00411E5D" w:rsidRPr="001A44E7">
        <w:t xml:space="preserve"> </w:t>
      </w:r>
      <w:r w:rsidR="00E001C9">
        <w:t>This has led to real benefits</w:t>
      </w:r>
      <w:r w:rsidR="003551CB">
        <w:t>. For example, r</w:t>
      </w:r>
      <w:r w:rsidR="0048339E" w:rsidRPr="001A44E7">
        <w:t xml:space="preserve">esidential energy efficiency changes in NCC 2022 </w:t>
      </w:r>
      <w:hyperlink r:id="rId17" w:history="1">
        <w:r w:rsidR="00EC493A" w:rsidRPr="00041378">
          <w:rPr>
            <w:rStyle w:val="Hyperlink"/>
            <w:color w:val="5D779D" w:themeColor="accent3"/>
          </w:rPr>
          <w:t>save</w:t>
        </w:r>
        <w:r w:rsidR="00CE2B65" w:rsidRPr="00041378">
          <w:rPr>
            <w:rStyle w:val="Hyperlink"/>
            <w:color w:val="5D779D" w:themeColor="accent3"/>
          </w:rPr>
          <w:t xml:space="preserve"> Australian </w:t>
        </w:r>
        <w:r w:rsidR="00EC493A" w:rsidRPr="00041378">
          <w:rPr>
            <w:rStyle w:val="Hyperlink"/>
            <w:color w:val="5D779D" w:themeColor="accent3"/>
          </w:rPr>
          <w:t>h</w:t>
        </w:r>
        <w:r w:rsidR="00CE2B65" w:rsidRPr="00041378">
          <w:rPr>
            <w:rStyle w:val="Hyperlink"/>
            <w:color w:val="5D779D" w:themeColor="accent3"/>
          </w:rPr>
          <w:t>ouseholds</w:t>
        </w:r>
      </w:hyperlink>
      <w:r w:rsidR="00CE2B65" w:rsidRPr="001A44E7">
        <w:t xml:space="preserve"> </w:t>
      </w:r>
      <w:r w:rsidR="00EC493A" w:rsidRPr="001A44E7">
        <w:t>approx</w:t>
      </w:r>
      <w:r w:rsidR="00E001C9">
        <w:t>imately</w:t>
      </w:r>
      <w:r w:rsidR="00CA6ACC" w:rsidRPr="001A44E7">
        <w:t xml:space="preserve"> </w:t>
      </w:r>
      <w:r w:rsidR="000B1C33" w:rsidRPr="001A44E7">
        <w:t xml:space="preserve">$185 per annum </w:t>
      </w:r>
      <w:r w:rsidR="00CA6ACC" w:rsidRPr="001A44E7">
        <w:t>in energy bills for houses</w:t>
      </w:r>
      <w:r w:rsidR="000B1C33" w:rsidRPr="001A44E7">
        <w:t>.</w:t>
      </w:r>
    </w:p>
    <w:p w14:paraId="4E610CDF" w14:textId="77777777" w:rsidR="00B06F0A" w:rsidRPr="006F3BF4" w:rsidRDefault="00B06F0A" w:rsidP="00B06F0A">
      <w:r w:rsidRPr="00631650">
        <w:t xml:space="preserve">The aim </w:t>
      </w:r>
      <w:r>
        <w:t>of the NCC Modernisation Project</w:t>
      </w:r>
      <w:r w:rsidRPr="00631650">
        <w:t xml:space="preserve"> is not to unwind or dilute </w:t>
      </w:r>
      <w:r>
        <w:t>important standards</w:t>
      </w:r>
      <w:r w:rsidRPr="00631650">
        <w:t>, but to provide confidence and certainty around how buildings should be constructed through an easy-to-use NCC. The Australian Government remains committed to essential safety and quality changes, along with important policy settings, like the strong residential standards adopted in NCC 2022, including 7</w:t>
      </w:r>
      <w:r w:rsidRPr="00631650">
        <w:rPr>
          <w:rFonts w:ascii="Cambria Math" w:hAnsi="Cambria Math" w:cs="Cambria Math"/>
        </w:rPr>
        <w:t>‑</w:t>
      </w:r>
      <w:r w:rsidRPr="00631650">
        <w:t>star energy efficiency.</w:t>
      </w:r>
    </w:p>
    <w:p w14:paraId="7C37B5C1" w14:textId="77777777" w:rsidR="00B06F0A" w:rsidRDefault="00B06F0A" w:rsidP="00B06F0A">
      <w:r>
        <w:t>However, the benefits of the NCC have diminished over time. The NCC has become more complex, less predictable and less national. It has expanded in volume and scope, accumulated layers of guidance and interpretation, and been implemented inconsistently across states and territories. As a result, the NCC is no longer delivering the clarity and certainty required to support a modern construction sector under acute housing pressure.</w:t>
      </w:r>
    </w:p>
    <w:p w14:paraId="28DEAF33" w14:textId="1CD80770" w:rsidR="00994162" w:rsidRDefault="00994162" w:rsidP="00BD4B9E">
      <w:r>
        <w:t>The consequences are now material:</w:t>
      </w:r>
    </w:p>
    <w:p w14:paraId="01F4102C" w14:textId="09D0970B" w:rsidR="00994162" w:rsidRPr="00994162" w:rsidRDefault="00994162" w:rsidP="00994162">
      <w:pPr>
        <w:pStyle w:val="Bullet"/>
      </w:pPr>
      <w:r w:rsidRPr="00994162">
        <w:t xml:space="preserve">Compliance costs are </w:t>
      </w:r>
      <w:r w:rsidR="00564B44">
        <w:t>growing.</w:t>
      </w:r>
    </w:p>
    <w:p w14:paraId="0B1D16E5" w14:textId="77777777" w:rsidR="00994162" w:rsidRPr="00994162" w:rsidRDefault="00994162" w:rsidP="00994162">
      <w:pPr>
        <w:pStyle w:val="Bullet"/>
      </w:pPr>
      <w:r w:rsidRPr="00994162">
        <w:t>Approval timeframes are lengthening.</w:t>
      </w:r>
    </w:p>
    <w:p w14:paraId="7603F76D" w14:textId="77777777" w:rsidR="00994162" w:rsidRPr="00994162" w:rsidRDefault="00994162" w:rsidP="00994162">
      <w:pPr>
        <w:pStyle w:val="Bullet"/>
      </w:pPr>
      <w:r w:rsidRPr="00994162">
        <w:t>Innovation is constrained rather than enabled.</w:t>
      </w:r>
    </w:p>
    <w:p w14:paraId="28C9C5FF" w14:textId="514D1407" w:rsidR="00F57992" w:rsidRPr="00F57992" w:rsidRDefault="00552847" w:rsidP="002D17C0">
      <w:r w:rsidRPr="00552847">
        <w:t xml:space="preserve">Rather than being about </w:t>
      </w:r>
      <w:r w:rsidR="004F0F5F">
        <w:t>the technical standards within the NCC</w:t>
      </w:r>
      <w:r w:rsidRPr="00552847">
        <w:t xml:space="preserve">, </w:t>
      </w:r>
      <w:r w:rsidR="00A50C6A">
        <w:t>the project is about</w:t>
      </w:r>
      <w:r w:rsidRPr="00552847">
        <w:t xml:space="preserve"> whether the system is fit for purpose</w:t>
      </w:r>
      <w:r>
        <w:t xml:space="preserve"> and</w:t>
      </w:r>
      <w:r w:rsidR="00994162">
        <w:t xml:space="preserve"> whether it supports </w:t>
      </w:r>
      <w:r w:rsidR="00A41638">
        <w:t xml:space="preserve">productivity within the </w:t>
      </w:r>
      <w:r w:rsidR="00C9392E">
        <w:t>building sector</w:t>
      </w:r>
      <w:r w:rsidR="00994162">
        <w:t>, while still protecting consumers and the community.</w:t>
      </w:r>
      <w:r w:rsidR="00F57992">
        <w:t xml:space="preserve"> </w:t>
      </w:r>
      <w:r w:rsidR="00F57992" w:rsidRPr="00F57992">
        <w:t xml:space="preserve"> </w:t>
      </w:r>
    </w:p>
    <w:p w14:paraId="3F3ADDA4" w14:textId="72D610D9" w:rsidR="00994162" w:rsidRDefault="00994162" w:rsidP="007138EA">
      <w:r>
        <w:t xml:space="preserve">The NCC Modernisation Project presents a critical opportunity to reset the </w:t>
      </w:r>
      <w:r w:rsidR="00A41638">
        <w:t xml:space="preserve">systems around the </w:t>
      </w:r>
      <w:r w:rsidR="6B040C41">
        <w:t>NCC</w:t>
      </w:r>
      <w:r>
        <w:t xml:space="preserve"> as a genuine national framework</w:t>
      </w:r>
      <w:r w:rsidR="00817DE7" w:rsidRPr="00817DE7">
        <w:t>:</w:t>
      </w:r>
      <w:r>
        <w:t xml:space="preserve"> clear, </w:t>
      </w:r>
      <w:r w:rsidR="00817DE7" w:rsidRPr="00817DE7">
        <w:t>and</w:t>
      </w:r>
      <w:r w:rsidR="00817DE7">
        <w:t xml:space="preserve"> </w:t>
      </w:r>
      <w:r>
        <w:t xml:space="preserve">usable </w:t>
      </w:r>
      <w:r w:rsidR="00817DE7" w:rsidRPr="00817DE7">
        <w:t>by industry and regulators</w:t>
      </w:r>
      <w:r w:rsidR="00A41638">
        <w:t>,</w:t>
      </w:r>
      <w:r w:rsidR="00817DE7" w:rsidRPr="00817DE7">
        <w:t xml:space="preserve"> </w:t>
      </w:r>
      <w:r>
        <w:t xml:space="preserve">and trusted by </w:t>
      </w:r>
      <w:r w:rsidR="00817DE7" w:rsidRPr="00817DE7">
        <w:t>the public.</w:t>
      </w:r>
      <w:r>
        <w:t xml:space="preserve"> Without reform, complexity and fragmentation will continue to grow, further increasing costs, slowing delivery and undermining confidence in the system.</w:t>
      </w:r>
    </w:p>
    <w:p w14:paraId="28975912" w14:textId="2D53D7F7" w:rsidR="00994162" w:rsidRDefault="00994162" w:rsidP="007138EA">
      <w:r>
        <w:t xml:space="preserve">Consultation to date shows broad consensus that </w:t>
      </w:r>
      <w:r w:rsidR="00A82949">
        <w:t>the NCC is providing high</w:t>
      </w:r>
      <w:r w:rsidR="005B09C5">
        <w:t xml:space="preserve">-quality </w:t>
      </w:r>
      <w:r w:rsidR="00C4033A">
        <w:t xml:space="preserve">buildings, </w:t>
      </w:r>
      <w:r w:rsidR="006044EC">
        <w:t xml:space="preserve">but </w:t>
      </w:r>
      <w:r>
        <w:t xml:space="preserve">change is required and </w:t>
      </w:r>
      <w:r w:rsidR="00D3655D">
        <w:t xml:space="preserve">there is </w:t>
      </w:r>
      <w:r>
        <w:t xml:space="preserve">increasing alignment on where reform should be directed. This interim report outlines five reform directions, focused on restoring certainty, rebuilding trust and reducing unnecessary compliance costs while maintaining safety and </w:t>
      </w:r>
      <w:r w:rsidR="004E1053">
        <w:t>performance requirements</w:t>
      </w:r>
      <w:r w:rsidR="004C4B15">
        <w:t xml:space="preserve">. </w:t>
      </w:r>
      <w:r>
        <w:t>These directions are intended to guide further work and targeted consultation ahead of a final report to Building Ministers later this year.</w:t>
      </w:r>
    </w:p>
    <w:p w14:paraId="29054FD1" w14:textId="77777777" w:rsidR="008F0DD8" w:rsidRDefault="008F0DD8" w:rsidP="007138EA"/>
    <w:tbl>
      <w:tblPr>
        <w:tblW w:w="5000" w:type="pct"/>
        <w:shd w:val="clear" w:color="auto" w:fill="F2F2F2"/>
        <w:tblCellMar>
          <w:top w:w="227" w:type="dxa"/>
          <w:left w:w="227" w:type="dxa"/>
          <w:bottom w:w="227" w:type="dxa"/>
          <w:right w:w="227" w:type="dxa"/>
        </w:tblCellMar>
        <w:tblLook w:val="0600" w:firstRow="0" w:lastRow="0" w:firstColumn="0" w:lastColumn="0" w:noHBand="1" w:noVBand="1"/>
      </w:tblPr>
      <w:tblGrid>
        <w:gridCol w:w="9026"/>
      </w:tblGrid>
      <w:tr w:rsidR="00AE492D" w:rsidRPr="00AE492D" w14:paraId="2E5CDD21" w14:textId="77777777">
        <w:tc>
          <w:tcPr>
            <w:tcW w:w="5000" w:type="pct"/>
            <w:shd w:val="clear" w:color="auto" w:fill="F2F2F2" w:themeFill="background1" w:themeFillShade="F2"/>
            <w:hideMark/>
          </w:tcPr>
          <w:p w14:paraId="0DCE39AE" w14:textId="68D33315" w:rsidR="00AE492D" w:rsidRPr="00AE492D" w:rsidRDefault="00AE492D" w:rsidP="00BF2AD1">
            <w:pPr>
              <w:pStyle w:val="BoxHeading"/>
            </w:pPr>
            <w:r w:rsidRPr="00AE492D">
              <w:lastRenderedPageBreak/>
              <w:t>Explainer: How the NCC works</w:t>
            </w:r>
          </w:p>
          <w:p w14:paraId="3B878BDF" w14:textId="609C391E" w:rsidR="00AE492D" w:rsidRPr="00AE492D" w:rsidRDefault="00AE492D" w:rsidP="00AE492D">
            <w:r w:rsidRPr="00AE492D">
              <w:t xml:space="preserve">The NCC is a performance-based code. This means it sets out the outcomes that must be achieved, rather than prescribing exactly how to achieve them. </w:t>
            </w:r>
            <w:r w:rsidR="00C618DE">
              <w:t xml:space="preserve">The NCC consists of </w:t>
            </w:r>
            <w:r w:rsidR="00DD6D37">
              <w:t>p</w:t>
            </w:r>
            <w:r w:rsidR="00C618DE">
              <w:t xml:space="preserve">erformance </w:t>
            </w:r>
            <w:r w:rsidR="00DD6D37">
              <w:t>r</w:t>
            </w:r>
            <w:r w:rsidR="00C618DE">
              <w:t xml:space="preserve">equirements, </w:t>
            </w:r>
            <w:r w:rsidR="00DD6D37">
              <w:t>p</w:t>
            </w:r>
            <w:r w:rsidR="00C618DE">
              <w:t xml:space="preserve">erformance </w:t>
            </w:r>
            <w:r w:rsidR="00DD6D37">
              <w:t>s</w:t>
            </w:r>
            <w:r w:rsidR="00C618DE">
              <w:t xml:space="preserve">olutions and </w:t>
            </w:r>
            <w:r w:rsidR="00DD6D37" w:rsidRPr="00C618DE">
              <w:t>deemed</w:t>
            </w:r>
            <w:r w:rsidR="00C618DE" w:rsidRPr="00C618DE">
              <w:rPr>
                <w:rFonts w:ascii="Cambria Math" w:hAnsi="Cambria Math" w:cs="Cambria Math"/>
              </w:rPr>
              <w:t>‑</w:t>
            </w:r>
            <w:r w:rsidR="00C618DE" w:rsidRPr="00C618DE">
              <w:t>to</w:t>
            </w:r>
            <w:r w:rsidR="00C618DE" w:rsidRPr="00C618DE">
              <w:rPr>
                <w:rFonts w:ascii="Cambria Math" w:hAnsi="Cambria Math" w:cs="Cambria Math"/>
              </w:rPr>
              <w:t>‑</w:t>
            </w:r>
            <w:r w:rsidR="00DD6D37">
              <w:rPr>
                <w:rFonts w:ascii="Cambria Math" w:hAnsi="Cambria Math" w:cs="Cambria Math"/>
              </w:rPr>
              <w:t>s</w:t>
            </w:r>
            <w:r w:rsidR="00C618DE" w:rsidRPr="00C618DE">
              <w:t xml:space="preserve">atisfy (DTS) </w:t>
            </w:r>
            <w:r w:rsidR="00DD6D37">
              <w:t>s</w:t>
            </w:r>
            <w:r w:rsidR="00C618DE" w:rsidRPr="00C618DE">
              <w:t>olutions</w:t>
            </w:r>
            <w:r w:rsidR="00C618DE">
              <w:t>.</w:t>
            </w:r>
          </w:p>
          <w:p w14:paraId="5A0DC4AC" w14:textId="3E9F56AA" w:rsidR="00AE492D" w:rsidRPr="00AE492D" w:rsidRDefault="00AE492D" w:rsidP="00AE492D">
            <w:pPr>
              <w:rPr>
                <w:b/>
                <w:bCs/>
              </w:rPr>
            </w:pPr>
            <w:r w:rsidRPr="00AE492D">
              <w:rPr>
                <w:b/>
                <w:bCs/>
              </w:rPr>
              <w:t xml:space="preserve">1. Performance </w:t>
            </w:r>
            <w:r w:rsidR="00DD6D37">
              <w:rPr>
                <w:b/>
                <w:bCs/>
              </w:rPr>
              <w:t>r</w:t>
            </w:r>
            <w:r w:rsidRPr="00AE492D">
              <w:rPr>
                <w:b/>
                <w:bCs/>
              </w:rPr>
              <w:t xml:space="preserve">equirements </w:t>
            </w:r>
          </w:p>
          <w:p w14:paraId="5D3EF271" w14:textId="1F39D4EC" w:rsidR="00AE492D" w:rsidRPr="00AE492D" w:rsidRDefault="00AE492D" w:rsidP="00AE492D">
            <w:r w:rsidRPr="00AE492D">
              <w:t xml:space="preserve">Performance </w:t>
            </w:r>
            <w:r w:rsidR="00DD6D37">
              <w:t>r</w:t>
            </w:r>
            <w:r w:rsidRPr="00AE492D">
              <w:t>equirements are the mandatory outcomes in the NCC.</w:t>
            </w:r>
          </w:p>
          <w:p w14:paraId="52E7D1D6" w14:textId="5D921D7B" w:rsidR="00AE492D" w:rsidRPr="00AE492D" w:rsidRDefault="00AE492D" w:rsidP="00AE492D">
            <w:r w:rsidRPr="00AE492D">
              <w:t>They do not prescribe materials, designs, or construction methods. Instead, they define what the building must achieve (for example</w:t>
            </w:r>
            <w:r w:rsidR="00C618DE">
              <w:t xml:space="preserve">: </w:t>
            </w:r>
            <w:r w:rsidRPr="00AE492D">
              <w:t>safety, health, amenity, sustainability).</w:t>
            </w:r>
          </w:p>
          <w:p w14:paraId="2269D117" w14:textId="5D56955A" w:rsidR="00AE492D" w:rsidRPr="00AE492D" w:rsidRDefault="00AE492D" w:rsidP="00AE492D">
            <w:r w:rsidRPr="00AE492D">
              <w:t xml:space="preserve">If the </w:t>
            </w:r>
            <w:r w:rsidR="00DD6D37">
              <w:t>p</w:t>
            </w:r>
            <w:r w:rsidRPr="00AE492D">
              <w:t xml:space="preserve">erformance </w:t>
            </w:r>
            <w:r w:rsidR="00DD6D37">
              <w:t>r</w:t>
            </w:r>
            <w:r w:rsidRPr="00AE492D">
              <w:t>equirements are met, the building complies with the NCC.</w:t>
            </w:r>
          </w:p>
          <w:p w14:paraId="50872ABC" w14:textId="631920DB" w:rsidR="00AE492D" w:rsidRPr="00AE492D" w:rsidRDefault="00AE492D" w:rsidP="00AE492D">
            <w:pPr>
              <w:rPr>
                <w:b/>
                <w:bCs/>
              </w:rPr>
            </w:pPr>
            <w:r w:rsidRPr="00AE492D">
              <w:rPr>
                <w:b/>
                <w:bCs/>
              </w:rPr>
              <w:t xml:space="preserve">2. Performance </w:t>
            </w:r>
            <w:r w:rsidR="00770027">
              <w:rPr>
                <w:b/>
                <w:bCs/>
              </w:rPr>
              <w:t>s</w:t>
            </w:r>
            <w:r w:rsidRPr="00AE492D">
              <w:rPr>
                <w:b/>
                <w:bCs/>
              </w:rPr>
              <w:t xml:space="preserve">olutions </w:t>
            </w:r>
          </w:p>
          <w:p w14:paraId="6C7F3DCB" w14:textId="62327FE6" w:rsidR="00AE492D" w:rsidRPr="00AE492D" w:rsidRDefault="00AE492D" w:rsidP="00AE492D">
            <w:r w:rsidRPr="00AE492D">
              <w:t xml:space="preserve">A </w:t>
            </w:r>
            <w:r w:rsidR="00DD6D37">
              <w:t>p</w:t>
            </w:r>
            <w:r w:rsidRPr="00AE492D">
              <w:t xml:space="preserve">erformance </w:t>
            </w:r>
            <w:r w:rsidR="00DD6D37">
              <w:t>s</w:t>
            </w:r>
            <w:r w:rsidRPr="00AE492D">
              <w:t xml:space="preserve">olution is a tailored, project-specific way of meeting the </w:t>
            </w:r>
            <w:r w:rsidR="00DD6D37">
              <w:t>p</w:t>
            </w:r>
            <w:r w:rsidRPr="00AE492D">
              <w:t xml:space="preserve">erformance </w:t>
            </w:r>
            <w:r w:rsidR="00DD6D37">
              <w:t>r</w:t>
            </w:r>
            <w:r w:rsidRPr="00AE492D">
              <w:t xml:space="preserve">equirements. Performance </w:t>
            </w:r>
            <w:r w:rsidR="00DD6D37">
              <w:t>s</w:t>
            </w:r>
            <w:r w:rsidRPr="00AE492D">
              <w:t>olutions are commonly used where designs are complex, novel, or depart from standard assumptions.</w:t>
            </w:r>
          </w:p>
          <w:p w14:paraId="68728A3B" w14:textId="77777777" w:rsidR="00AE492D" w:rsidRPr="00AE492D" w:rsidRDefault="00AE492D" w:rsidP="00AE492D">
            <w:r w:rsidRPr="00AE492D">
              <w:t>Key features:</w:t>
            </w:r>
          </w:p>
          <w:p w14:paraId="0D2DF272" w14:textId="78C42ED4" w:rsidR="00AE492D" w:rsidRPr="00AE492D" w:rsidRDefault="00AE492D" w:rsidP="002F3D47">
            <w:pPr>
              <w:pStyle w:val="Bullet"/>
            </w:pPr>
            <w:r w:rsidRPr="00AE492D">
              <w:t xml:space="preserve">Directly demonstrates compliance with the </w:t>
            </w:r>
            <w:r w:rsidR="00DD6D37">
              <w:t>p</w:t>
            </w:r>
            <w:r w:rsidRPr="00AE492D">
              <w:t xml:space="preserve">erformance </w:t>
            </w:r>
            <w:r w:rsidR="00DD6D37">
              <w:t>r</w:t>
            </w:r>
            <w:r w:rsidRPr="00AE492D">
              <w:t>equirements</w:t>
            </w:r>
          </w:p>
          <w:p w14:paraId="36BAC04E" w14:textId="77777777" w:rsidR="00AE492D" w:rsidRPr="00AE492D" w:rsidRDefault="00AE492D" w:rsidP="002F3D47">
            <w:pPr>
              <w:pStyle w:val="Bullet"/>
            </w:pPr>
            <w:r w:rsidRPr="00AE492D">
              <w:t>Can require modelling, testing, expert judgement</w:t>
            </w:r>
          </w:p>
          <w:p w14:paraId="35702F5A" w14:textId="77777777" w:rsidR="00AE492D" w:rsidRPr="00AE492D" w:rsidRDefault="00AE492D" w:rsidP="002F3D47">
            <w:pPr>
              <w:pStyle w:val="Bullet"/>
            </w:pPr>
            <w:r w:rsidRPr="00AE492D">
              <w:t>Allows flexibility in design, materials and construction</w:t>
            </w:r>
          </w:p>
          <w:p w14:paraId="2BD56052" w14:textId="77777777" w:rsidR="00AE492D" w:rsidRPr="00AE492D" w:rsidRDefault="00AE492D" w:rsidP="002F3D47">
            <w:pPr>
              <w:pStyle w:val="Bullet"/>
            </w:pPr>
            <w:r w:rsidRPr="00AE492D">
              <w:t>Encourages innovation and new technologies</w:t>
            </w:r>
          </w:p>
          <w:p w14:paraId="33DCEE59" w14:textId="77777777" w:rsidR="00AE492D" w:rsidRDefault="00AE492D" w:rsidP="002F3D47">
            <w:pPr>
              <w:pStyle w:val="Bullet"/>
            </w:pPr>
            <w:r w:rsidRPr="00AE492D">
              <w:t>Unique to the specific building or situation</w:t>
            </w:r>
          </w:p>
          <w:p w14:paraId="0F1C077F" w14:textId="200936F1" w:rsidR="00CA6916" w:rsidRPr="00CA6916" w:rsidRDefault="00CA6916" w:rsidP="00CA6916">
            <w:pPr>
              <w:pStyle w:val="Bullet"/>
            </w:pPr>
            <w:r w:rsidRPr="00CA6916">
              <w:t>At least equivalent to Deemed-to-</w:t>
            </w:r>
            <w:r w:rsidR="00463925">
              <w:t>s</w:t>
            </w:r>
            <w:r w:rsidRPr="00CA6916">
              <w:t>atisfy provisions</w:t>
            </w:r>
          </w:p>
          <w:p w14:paraId="3DB0ADE4" w14:textId="1F337C73" w:rsidR="00AE492D" w:rsidRPr="00AE492D" w:rsidRDefault="00AE492D" w:rsidP="00AE492D">
            <w:pPr>
              <w:rPr>
                <w:b/>
                <w:bCs/>
              </w:rPr>
            </w:pPr>
            <w:r w:rsidRPr="00AE492D">
              <w:rPr>
                <w:b/>
                <w:bCs/>
              </w:rPr>
              <w:t>3. Deemed</w:t>
            </w:r>
            <w:r w:rsidRPr="00AE492D">
              <w:rPr>
                <w:rFonts w:ascii="Cambria Math" w:hAnsi="Cambria Math" w:cs="Cambria Math"/>
                <w:b/>
                <w:bCs/>
              </w:rPr>
              <w:t>‑</w:t>
            </w:r>
            <w:r w:rsidRPr="00AE492D">
              <w:rPr>
                <w:b/>
                <w:bCs/>
              </w:rPr>
              <w:t>to</w:t>
            </w:r>
            <w:r w:rsidRPr="00AE492D">
              <w:rPr>
                <w:rFonts w:ascii="Cambria Math" w:hAnsi="Cambria Math" w:cs="Cambria Math"/>
                <w:b/>
                <w:bCs/>
              </w:rPr>
              <w:t>‑</w:t>
            </w:r>
            <w:r w:rsidR="00463925">
              <w:rPr>
                <w:rFonts w:ascii="Cambria Math" w:hAnsi="Cambria Math" w:cs="Cambria Math"/>
                <w:b/>
                <w:bCs/>
              </w:rPr>
              <w:t>S</w:t>
            </w:r>
            <w:r w:rsidRPr="00AE492D">
              <w:rPr>
                <w:b/>
                <w:bCs/>
              </w:rPr>
              <w:t xml:space="preserve">atisfy (DTS) </w:t>
            </w:r>
            <w:r w:rsidR="00DD6D37">
              <w:rPr>
                <w:b/>
                <w:bCs/>
              </w:rPr>
              <w:t>s</w:t>
            </w:r>
            <w:r w:rsidRPr="00AE492D">
              <w:rPr>
                <w:b/>
                <w:bCs/>
              </w:rPr>
              <w:t xml:space="preserve">olutions </w:t>
            </w:r>
          </w:p>
          <w:p w14:paraId="3E0BCA56" w14:textId="15625F9C" w:rsidR="00AE492D" w:rsidRPr="00AE492D" w:rsidRDefault="00AE492D" w:rsidP="00AE492D">
            <w:r w:rsidRPr="00AE492D">
              <w:t xml:space="preserve">A </w:t>
            </w:r>
            <w:r w:rsidR="008D5410">
              <w:t>DTS</w:t>
            </w:r>
            <w:r w:rsidRPr="00AE492D">
              <w:t xml:space="preserve"> </w:t>
            </w:r>
            <w:r w:rsidR="00DD6D37">
              <w:t>s</w:t>
            </w:r>
            <w:r w:rsidRPr="00AE492D">
              <w:t>olution is a pre</w:t>
            </w:r>
            <w:r w:rsidRPr="00AE492D">
              <w:rPr>
                <w:rFonts w:ascii="Cambria Math" w:hAnsi="Cambria Math" w:cs="Cambria Math"/>
              </w:rPr>
              <w:t>‑</w:t>
            </w:r>
            <w:r w:rsidRPr="00AE492D">
              <w:t>approved ‘recipe’ set out in the NCC. DTS solutions trade flexibility for certainty and simplicity.</w:t>
            </w:r>
          </w:p>
          <w:p w14:paraId="655E1C28" w14:textId="77777777" w:rsidR="00AE492D" w:rsidRPr="00AE492D" w:rsidRDefault="00AE492D" w:rsidP="00AE492D">
            <w:r w:rsidRPr="00AE492D">
              <w:t>Key features:</w:t>
            </w:r>
          </w:p>
          <w:p w14:paraId="666B1F58" w14:textId="7CE65477" w:rsidR="00AE492D" w:rsidRPr="00AE492D" w:rsidRDefault="00AE492D" w:rsidP="002F3D47">
            <w:pPr>
              <w:pStyle w:val="Bullet"/>
            </w:pPr>
            <w:r w:rsidRPr="00AE492D">
              <w:t xml:space="preserve">Specifies exactly what to do, </w:t>
            </w:r>
            <w:r w:rsidR="00CA6916">
              <w:t xml:space="preserve">where, </w:t>
            </w:r>
            <w:r w:rsidRPr="00AE492D">
              <w:t>when and how</w:t>
            </w:r>
          </w:p>
          <w:p w14:paraId="369E53A1" w14:textId="77777777" w:rsidR="00AE492D" w:rsidRPr="00AE492D" w:rsidRDefault="00AE492D" w:rsidP="002F3D47">
            <w:pPr>
              <w:pStyle w:val="Bullet"/>
            </w:pPr>
            <w:r w:rsidRPr="00AE492D">
              <w:t>Uses prescribed materials, components, design factors and construction methods</w:t>
            </w:r>
          </w:p>
          <w:p w14:paraId="72FB071A" w14:textId="401E84E8" w:rsidR="00AE492D" w:rsidRPr="00AE492D" w:rsidRDefault="00AE492D" w:rsidP="002F3D47">
            <w:pPr>
              <w:pStyle w:val="Bullet"/>
            </w:pPr>
            <w:r w:rsidRPr="00AE492D">
              <w:t xml:space="preserve">If followed exactly, the solution is automatically taken to meet the </w:t>
            </w:r>
            <w:r w:rsidR="00DD6D37">
              <w:t>p</w:t>
            </w:r>
            <w:r w:rsidRPr="00AE492D">
              <w:t xml:space="preserve">erformance </w:t>
            </w:r>
            <w:r w:rsidR="00DD6D37">
              <w:t>r</w:t>
            </w:r>
            <w:r w:rsidRPr="00AE492D">
              <w:t>equirements</w:t>
            </w:r>
          </w:p>
          <w:p w14:paraId="234C5274" w14:textId="77777777" w:rsidR="00AE492D" w:rsidRPr="00AE492D" w:rsidRDefault="00AE492D" w:rsidP="002F3D47">
            <w:pPr>
              <w:pStyle w:val="Bullet"/>
            </w:pPr>
            <w:r w:rsidRPr="00AE492D">
              <w:t>Lower design and approval complexity</w:t>
            </w:r>
          </w:p>
          <w:p w14:paraId="2D04DB46" w14:textId="44E068D9" w:rsidR="00AE492D" w:rsidRPr="00AE492D" w:rsidRDefault="00AE492D" w:rsidP="00AE492D">
            <w:pPr>
              <w:pStyle w:val="Bullet"/>
            </w:pPr>
            <w:r w:rsidRPr="00AE492D">
              <w:t>Limited flexibility and innovation</w:t>
            </w:r>
          </w:p>
        </w:tc>
      </w:tr>
    </w:tbl>
    <w:p w14:paraId="19440052" w14:textId="77777777" w:rsidR="008F0DD8" w:rsidRDefault="008F0DD8" w:rsidP="007138EA"/>
    <w:p w14:paraId="096B63E3" w14:textId="26EB0949" w:rsidR="00BF2AD1" w:rsidRDefault="00BF2AD1" w:rsidP="00994162">
      <w:pPr>
        <w:pStyle w:val="Heading2"/>
      </w:pPr>
    </w:p>
    <w:p w14:paraId="74174C97" w14:textId="77777777" w:rsidR="00BF2AD1" w:rsidRDefault="00BF2AD1">
      <w:pPr>
        <w:spacing w:before="0" w:after="160" w:line="259" w:lineRule="auto"/>
        <w:rPr>
          <w:rFonts w:ascii="Calibri" w:hAnsi="Calibri" w:cs="Arial"/>
          <w:iCs/>
          <w:color w:val="2C384A" w:themeColor="accent1"/>
          <w:kern w:val="32"/>
          <w:sz w:val="36"/>
          <w:szCs w:val="28"/>
        </w:rPr>
      </w:pPr>
      <w:r>
        <w:br w:type="page"/>
      </w:r>
    </w:p>
    <w:p w14:paraId="5140C308" w14:textId="77E3AAAB" w:rsidR="00994162" w:rsidRPr="00994162" w:rsidRDefault="00994162" w:rsidP="00994162">
      <w:pPr>
        <w:pStyle w:val="Heading2"/>
      </w:pPr>
      <w:bookmarkStart w:id="8" w:name="_Toc227834508"/>
      <w:bookmarkStart w:id="9" w:name="_Toc228371007"/>
      <w:r w:rsidRPr="00994162">
        <w:lastRenderedPageBreak/>
        <w:t>The challenge</w:t>
      </w:r>
      <w:r w:rsidR="004C4B15">
        <w:t xml:space="preserve"> ahead</w:t>
      </w:r>
      <w:bookmarkEnd w:id="8"/>
      <w:bookmarkEnd w:id="9"/>
    </w:p>
    <w:p w14:paraId="3C86EC4A" w14:textId="3AB64A7C" w:rsidR="00994162" w:rsidRDefault="00994162" w:rsidP="00994162">
      <w:r>
        <w:t xml:space="preserve">Consultation on the </w:t>
      </w:r>
      <w:hyperlink r:id="rId18" w:history="1">
        <w:r w:rsidRPr="00666327">
          <w:rPr>
            <w:rStyle w:val="Hyperlink"/>
          </w:rPr>
          <w:t>NCC Modernisation Discussion Paper</w:t>
        </w:r>
      </w:hyperlink>
      <w:r>
        <w:t xml:space="preserve"> identified three interrelated challenges that are collectively undermining construction productivity, housing delivery and confidence in the regulatory system</w:t>
      </w:r>
      <w:r w:rsidR="007361D4">
        <w:t>:</w:t>
      </w:r>
    </w:p>
    <w:p w14:paraId="1F239951" w14:textId="697F3162" w:rsidR="00994162" w:rsidRDefault="00994162" w:rsidP="00994162">
      <w:pPr>
        <w:pStyle w:val="Heading3"/>
      </w:pPr>
      <w:bookmarkStart w:id="10" w:name="_Toc227680330"/>
      <w:bookmarkStart w:id="11" w:name="_Toc227680389"/>
      <w:bookmarkStart w:id="12" w:name="_Toc227765676"/>
      <w:r>
        <w:t>1. The system is not operating as intended</w:t>
      </w:r>
      <w:bookmarkEnd w:id="10"/>
      <w:bookmarkEnd w:id="11"/>
      <w:bookmarkEnd w:id="12"/>
    </w:p>
    <w:p w14:paraId="1ACD400E" w14:textId="637649FE" w:rsidR="00E530E6" w:rsidRDefault="00994162" w:rsidP="00994162">
      <w:r>
        <w:t>The NCC is a performance</w:t>
      </w:r>
      <w:r w:rsidR="001A6B0F">
        <w:rPr>
          <w:rFonts w:ascii="Cambria Math" w:hAnsi="Cambria Math" w:cs="Cambria Math"/>
        </w:rPr>
        <w:t>-</w:t>
      </w:r>
      <w:r>
        <w:t>based framework</w:t>
      </w:r>
      <w:r w:rsidR="00BF30AB">
        <w:t>,</w:t>
      </w:r>
      <w:r w:rsidR="00347D89">
        <w:t xml:space="preserve"> </w:t>
      </w:r>
      <w:r w:rsidR="00347D89" w:rsidRPr="00BF30AB">
        <w:t>set</w:t>
      </w:r>
      <w:r w:rsidR="00BF30AB" w:rsidRPr="00BF30AB">
        <w:t>ting</w:t>
      </w:r>
      <w:r w:rsidR="00347D89" w:rsidRPr="00BF30AB">
        <w:t xml:space="preserve"> mandatory minimum standards for</w:t>
      </w:r>
      <w:r w:rsidR="00347D89" w:rsidRPr="00347D89">
        <w:t xml:space="preserve"> building safety, health, amenity, and sustainability</w:t>
      </w:r>
      <w:r w:rsidR="0055657F">
        <w:t xml:space="preserve"> (</w:t>
      </w:r>
      <w:r w:rsidR="0055657F" w:rsidRPr="0055657F">
        <w:t>kno</w:t>
      </w:r>
      <w:r w:rsidR="00347D89" w:rsidRPr="0055657F">
        <w:t>wn as </w:t>
      </w:r>
      <w:r w:rsidR="00BB69EA" w:rsidRPr="00FA65DA">
        <w:t>performance requirements</w:t>
      </w:r>
      <w:r w:rsidR="0055657F" w:rsidRPr="00FA65DA">
        <w:t xml:space="preserve">) </w:t>
      </w:r>
      <w:r w:rsidR="00347D89" w:rsidRPr="0055657F">
        <w:t>with</w:t>
      </w:r>
      <w:r w:rsidR="00347D89" w:rsidRPr="00347D89">
        <w:t xml:space="preserve"> </w:t>
      </w:r>
      <w:r w:rsidR="00EF1C1E" w:rsidRPr="00EF1C1E">
        <w:t xml:space="preserve">no obligation to adopt any </w:t>
      </w:r>
      <w:proofErr w:type="gramStart"/>
      <w:r w:rsidR="00EF1C1E" w:rsidRPr="00EF1C1E">
        <w:t>particular material</w:t>
      </w:r>
      <w:proofErr w:type="gramEnd"/>
      <w:r w:rsidR="00EF1C1E" w:rsidRPr="00EF1C1E">
        <w:t>, component, design factor or construction method.</w:t>
      </w:r>
      <w:r w:rsidR="00981DEF">
        <w:t xml:space="preserve"> </w:t>
      </w:r>
      <w:r>
        <w:t xml:space="preserve">In principle, this approach </w:t>
      </w:r>
      <w:r w:rsidR="00E2384A">
        <w:t xml:space="preserve">allows flexibility, innovation and better outcomes </w:t>
      </w:r>
      <w:r w:rsidR="002E1B70">
        <w:t xml:space="preserve">and </w:t>
      </w:r>
      <w:r>
        <w:t>supports new products, modern construction methods and continuous improvement.</w:t>
      </w:r>
      <w:r w:rsidR="00F13689">
        <w:t xml:space="preserve"> </w:t>
      </w:r>
    </w:p>
    <w:p w14:paraId="67865183" w14:textId="5C0EBFF8" w:rsidR="006A5EC7" w:rsidRDefault="00994162" w:rsidP="00445FB3">
      <w:r>
        <w:t xml:space="preserve">In practice, it is not delivering these benefits consistently. </w:t>
      </w:r>
      <w:r w:rsidR="000B423F" w:rsidRPr="000B423F">
        <w:t xml:space="preserve">Performance </w:t>
      </w:r>
      <w:r w:rsidR="0036374A">
        <w:t>s</w:t>
      </w:r>
      <w:r w:rsidR="000B423F" w:rsidRPr="000B423F">
        <w:t>olution</w:t>
      </w:r>
      <w:r w:rsidR="00E04D25">
        <w:t>s</w:t>
      </w:r>
      <w:r w:rsidR="000B423F" w:rsidRPr="000B423F">
        <w:t xml:space="preserve"> </w:t>
      </w:r>
      <w:r w:rsidR="000B423F">
        <w:t xml:space="preserve">– </w:t>
      </w:r>
      <w:r w:rsidR="00E04D25">
        <w:t xml:space="preserve">which allow </w:t>
      </w:r>
      <w:r w:rsidR="000B423F">
        <w:t xml:space="preserve">a </w:t>
      </w:r>
      <w:r w:rsidR="000B423F" w:rsidRPr="000B423F">
        <w:t>unique</w:t>
      </w:r>
      <w:r w:rsidR="000B423F">
        <w:t xml:space="preserve">, </w:t>
      </w:r>
      <w:r w:rsidR="000B423F" w:rsidRPr="000B423F">
        <w:t xml:space="preserve">flexible </w:t>
      </w:r>
      <w:r w:rsidR="000B423F">
        <w:t xml:space="preserve">pathway </w:t>
      </w:r>
      <w:r w:rsidR="000B423F" w:rsidRPr="000B423F">
        <w:t>for each situation</w:t>
      </w:r>
      <w:r w:rsidR="00E04D25">
        <w:t xml:space="preserve"> – are </w:t>
      </w:r>
      <w:r>
        <w:t>often perceived as uncertain, costly and high</w:t>
      </w:r>
      <w:r w:rsidR="007540BA">
        <w:rPr>
          <w:rFonts w:ascii="Cambria Math" w:hAnsi="Cambria Math" w:cs="Cambria Math"/>
        </w:rPr>
        <w:t>-</w:t>
      </w:r>
      <w:r>
        <w:t xml:space="preserve">risk, resulting in widespread avoidance. Acceptance of </w:t>
      </w:r>
      <w:r w:rsidR="0036374A">
        <w:t>performance solutions</w:t>
      </w:r>
      <w:r>
        <w:t xml:space="preserve"> </w:t>
      </w:r>
      <w:r w:rsidR="0035291F">
        <w:t xml:space="preserve">as compliant </w:t>
      </w:r>
      <w:r>
        <w:t xml:space="preserve">varies </w:t>
      </w:r>
      <w:r w:rsidR="0035291F">
        <w:t xml:space="preserve">greatly </w:t>
      </w:r>
      <w:r>
        <w:t>across jurisdictions and certifiers, evidence thresholds are high, and risk is shifted onto individual projects rather than</w:t>
      </w:r>
      <w:r w:rsidR="004B2788">
        <w:t xml:space="preserve"> </w:t>
      </w:r>
      <w:r w:rsidR="00445FB3">
        <w:t>managed systemically.</w:t>
      </w:r>
      <w:r w:rsidR="006A5EC7">
        <w:t xml:space="preserve"> These is also evidence of </w:t>
      </w:r>
      <w:r w:rsidR="0036374A">
        <w:t>p</w:t>
      </w:r>
      <w:r w:rsidR="0036374A" w:rsidRPr="006A5EC7">
        <w:t xml:space="preserve">erformance </w:t>
      </w:r>
      <w:r w:rsidR="0036374A">
        <w:t>s</w:t>
      </w:r>
      <w:r w:rsidR="0036374A" w:rsidRPr="006A5EC7">
        <w:t>olutions</w:t>
      </w:r>
      <w:r w:rsidR="006A5EC7" w:rsidRPr="006A5EC7">
        <w:t xml:space="preserve"> being used to address non-compliance</w:t>
      </w:r>
      <w:r w:rsidR="00257744">
        <w:t xml:space="preserve"> or defects</w:t>
      </w:r>
      <w:r w:rsidR="00475A25">
        <w:t xml:space="preserve">, </w:t>
      </w:r>
      <w:r w:rsidR="00ED7BF8">
        <w:t xml:space="preserve">with </w:t>
      </w:r>
      <w:r w:rsidR="006A5EC7" w:rsidRPr="006A5EC7">
        <w:t>performance reports being required to ‘back solve’ issues</w:t>
      </w:r>
      <w:r w:rsidR="00B16217">
        <w:t>.</w:t>
      </w:r>
    </w:p>
    <w:p w14:paraId="0315FEB3" w14:textId="33B72911" w:rsidR="00994162" w:rsidRDefault="00994162" w:rsidP="00994162">
      <w:r>
        <w:t>As a result, industry increasingly defaults to</w:t>
      </w:r>
      <w:r w:rsidR="00E04D25">
        <w:t xml:space="preserve"> the more </w:t>
      </w:r>
      <w:r>
        <w:t>prescriptive</w:t>
      </w:r>
      <w:r w:rsidR="00E04D25">
        <w:t xml:space="preserve"> </w:t>
      </w:r>
      <w:r w:rsidR="00E04D25" w:rsidRPr="000B423F">
        <w:t xml:space="preserve">DTS </w:t>
      </w:r>
      <w:r w:rsidR="00A3050F">
        <w:t>s</w:t>
      </w:r>
      <w:r w:rsidR="00E04D25">
        <w:t>olution</w:t>
      </w:r>
      <w:r w:rsidR="00A3050F">
        <w:t>s</w:t>
      </w:r>
      <w:r w:rsidR="00E04D25">
        <w:t xml:space="preserve"> – a set recipe of what, when and how to do something – </w:t>
      </w:r>
      <w:r>
        <w:t>for certainty, even where better or more efficient options exist. The system intended to enable innovation is, in operation, constraining it.</w:t>
      </w:r>
    </w:p>
    <w:p w14:paraId="7DD8DC29" w14:textId="77777777" w:rsidR="00994162" w:rsidRDefault="00994162" w:rsidP="00994162">
      <w:pPr>
        <w:pStyle w:val="Heading3"/>
      </w:pPr>
      <w:bookmarkStart w:id="13" w:name="_Toc227680331"/>
      <w:bookmarkStart w:id="14" w:name="_Toc227680390"/>
      <w:bookmarkStart w:id="15" w:name="_Toc227765677"/>
      <w:r>
        <w:t>2. Compliance costs are rising and compounding across the lifecycle</w:t>
      </w:r>
      <w:bookmarkEnd w:id="13"/>
      <w:bookmarkEnd w:id="14"/>
      <w:bookmarkEnd w:id="15"/>
    </w:p>
    <w:p w14:paraId="03830783" w14:textId="77777777" w:rsidR="00994162" w:rsidRDefault="00994162" w:rsidP="00994162">
      <w:r>
        <w:t>Compliance costs have increased steadily and structurally, driven by growing complexity, documentation requirements and risk management practices. While many individual requirements are defensible, their cumulative effect has become significant.</w:t>
      </w:r>
    </w:p>
    <w:p w14:paraId="54C3E54F" w14:textId="77777777" w:rsidR="00994162" w:rsidRDefault="00994162" w:rsidP="00994162">
      <w:r>
        <w:t>Costs are now driven less by construction activity itself and more by:</w:t>
      </w:r>
    </w:p>
    <w:p w14:paraId="7A40F4CB" w14:textId="77777777" w:rsidR="00994162" w:rsidRPr="00994162" w:rsidRDefault="00994162" w:rsidP="00994162">
      <w:pPr>
        <w:pStyle w:val="Bullet"/>
      </w:pPr>
      <w:r w:rsidRPr="00994162">
        <w:t>Regulatory interpretation, modelling and assurance</w:t>
      </w:r>
    </w:p>
    <w:p w14:paraId="28FBFB92" w14:textId="77777777" w:rsidR="00994162" w:rsidRPr="00994162" w:rsidRDefault="00994162" w:rsidP="00994162">
      <w:pPr>
        <w:pStyle w:val="Bullet"/>
      </w:pPr>
      <w:r w:rsidRPr="00994162">
        <w:t>Extensive documentation and certification</w:t>
      </w:r>
    </w:p>
    <w:p w14:paraId="65EED233" w14:textId="77777777" w:rsidR="00994162" w:rsidRPr="00994162" w:rsidRDefault="00994162" w:rsidP="00994162">
      <w:pPr>
        <w:pStyle w:val="Bullet"/>
      </w:pPr>
      <w:r w:rsidRPr="00994162">
        <w:t>Inconsistent application across jurisdictions</w:t>
      </w:r>
    </w:p>
    <w:p w14:paraId="1602D748" w14:textId="77777777" w:rsidR="00994162" w:rsidRPr="00994162" w:rsidRDefault="00994162" w:rsidP="00994162">
      <w:pPr>
        <w:pStyle w:val="Bullet"/>
      </w:pPr>
      <w:r w:rsidRPr="00994162">
        <w:t>Conservative design and pricing responses to uncertainty</w:t>
      </w:r>
    </w:p>
    <w:p w14:paraId="06099617" w14:textId="77777777" w:rsidR="00994162" w:rsidRDefault="00994162" w:rsidP="00994162">
      <w:r>
        <w:t>These costs compound across design, approval, procurement, construction and certification stages, disproportionately affecting lower</w:t>
      </w:r>
      <w:r>
        <w:rPr>
          <w:rFonts w:ascii="Cambria Math" w:hAnsi="Cambria Math" w:cs="Cambria Math"/>
        </w:rPr>
        <w:t>‑</w:t>
      </w:r>
      <w:r>
        <w:t>risk and more standardised building types.</w:t>
      </w:r>
    </w:p>
    <w:p w14:paraId="38CF94EC" w14:textId="77777777" w:rsidR="00994162" w:rsidRDefault="00994162" w:rsidP="00994162">
      <w:r>
        <w:t>The result is higher prices, slower delivery and weaker productivity, with costs ultimately borne by consumers.</w:t>
      </w:r>
    </w:p>
    <w:p w14:paraId="0E90EDCA" w14:textId="77777777" w:rsidR="00994162" w:rsidRDefault="00994162" w:rsidP="00994162">
      <w:pPr>
        <w:pStyle w:val="Heading3"/>
      </w:pPr>
      <w:bookmarkStart w:id="16" w:name="_Toc227680332"/>
      <w:bookmarkStart w:id="17" w:name="_Toc227680391"/>
      <w:bookmarkStart w:id="18" w:name="_Toc227765678"/>
      <w:r>
        <w:t>3. Trust and integrity in the NCC have eroded</w:t>
      </w:r>
      <w:bookmarkEnd w:id="16"/>
      <w:bookmarkEnd w:id="17"/>
      <w:bookmarkEnd w:id="18"/>
    </w:p>
    <w:p w14:paraId="1E767E6A" w14:textId="6F788035" w:rsidR="00994162" w:rsidRDefault="00994162" w:rsidP="00994162">
      <w:r>
        <w:t>As complexity, cost and uncertainty have increased, confidence in the NCC has declined. Stakeholders increasingly report that:</w:t>
      </w:r>
    </w:p>
    <w:p w14:paraId="42DC582A" w14:textId="77777777" w:rsidR="00994162" w:rsidRPr="00994162" w:rsidRDefault="00994162" w:rsidP="00994162">
      <w:pPr>
        <w:pStyle w:val="Bullet"/>
      </w:pPr>
      <w:r w:rsidRPr="00994162">
        <w:t>Compliance outcomes depend on interpretation rather than clear rules</w:t>
      </w:r>
    </w:p>
    <w:p w14:paraId="1A2F0AD1" w14:textId="77777777" w:rsidR="00994162" w:rsidRPr="00994162" w:rsidRDefault="00994162" w:rsidP="00994162">
      <w:pPr>
        <w:pStyle w:val="Bullet"/>
      </w:pPr>
      <w:r w:rsidRPr="00994162">
        <w:t>The system rewards process compliance over good outcomes</w:t>
      </w:r>
    </w:p>
    <w:p w14:paraId="19BEB950" w14:textId="77777777" w:rsidR="00994162" w:rsidRPr="00994162" w:rsidRDefault="00994162" w:rsidP="00994162">
      <w:pPr>
        <w:pStyle w:val="Bullet"/>
      </w:pPr>
      <w:r w:rsidRPr="00994162">
        <w:lastRenderedPageBreak/>
        <w:t>National consistency is not reliably delivered in practice</w:t>
      </w:r>
    </w:p>
    <w:p w14:paraId="44D7ED2E" w14:textId="5E4702F7" w:rsidR="00994162" w:rsidRDefault="00994162" w:rsidP="00B16217">
      <w:pPr>
        <w:pStyle w:val="Bullet"/>
      </w:pPr>
      <w:r w:rsidRPr="00994162">
        <w:t>Failures still occur despite growing</w:t>
      </w:r>
      <w:r w:rsidR="00877042">
        <w:t xml:space="preserve"> </w:t>
      </w:r>
      <w:r w:rsidRPr="00994162">
        <w:t>compliance effort</w:t>
      </w:r>
    </w:p>
    <w:p w14:paraId="5CEE8908" w14:textId="19B9DC3C" w:rsidR="00B16217" w:rsidRPr="00994162" w:rsidRDefault="00B16217" w:rsidP="00B16217">
      <w:pPr>
        <w:pStyle w:val="Bullet"/>
      </w:pPr>
      <w:r>
        <w:t>The NCC is being used to pursue policy aspirations</w:t>
      </w:r>
      <w:r w:rsidR="001E12E1">
        <w:t xml:space="preserve"> without considering </w:t>
      </w:r>
      <w:r w:rsidR="00260CF3">
        <w:t xml:space="preserve">non-regulatory </w:t>
      </w:r>
      <w:r w:rsidR="001E12E1">
        <w:t xml:space="preserve">options </w:t>
      </w:r>
    </w:p>
    <w:p w14:paraId="2AB2E39D" w14:textId="534167CE" w:rsidR="00994162" w:rsidRDefault="00994162" w:rsidP="00994162">
      <w:r>
        <w:t xml:space="preserve">This has weakened trust – among industry, regulators and the public – that compliance with the NCC consistently delivers safe, </w:t>
      </w:r>
      <w:r w:rsidR="00896785">
        <w:t>high</w:t>
      </w:r>
      <w:r w:rsidR="00896785" w:rsidRPr="025E2556">
        <w:rPr>
          <w:rFonts w:ascii="Cambria Math" w:hAnsi="Cambria Math" w:cs="Cambria Math"/>
        </w:rPr>
        <w:t>-</w:t>
      </w:r>
      <w:r w:rsidR="00896785">
        <w:t>quality</w:t>
      </w:r>
      <w:r>
        <w:t xml:space="preserve"> buildings. In turn, loss of confidence drives further regulation and assurance, reinforcing a cycle of rising cost and diminishing effectiveness.</w:t>
      </w:r>
    </w:p>
    <w:p w14:paraId="2BD2D913" w14:textId="77777777" w:rsidR="00994162" w:rsidRPr="002B6DE3" w:rsidRDefault="00994162" w:rsidP="00994162">
      <w:pPr>
        <w:pStyle w:val="Heading2"/>
      </w:pPr>
      <w:bookmarkStart w:id="19" w:name="_Toc227834509"/>
      <w:bookmarkStart w:id="20" w:name="_Toc228371008"/>
      <w:r w:rsidRPr="002B6DE3">
        <w:t>Why this matters now</w:t>
      </w:r>
      <w:bookmarkEnd w:id="19"/>
      <w:bookmarkEnd w:id="20"/>
    </w:p>
    <w:p w14:paraId="52DE7BFA" w14:textId="073DAE48" w:rsidR="00994162" w:rsidRDefault="00994162" w:rsidP="00994162">
      <w:r>
        <w:t xml:space="preserve">Australia faces sustained housing demand, productivity challenges and constrained industry capacity. In this context, a construction code that is complex, slow and uncertain imposes </w:t>
      </w:r>
      <w:proofErr w:type="gramStart"/>
      <w:r>
        <w:t>real</w:t>
      </w:r>
      <w:proofErr w:type="gramEnd"/>
      <w:r>
        <w:t xml:space="preserve"> economic and social costs.</w:t>
      </w:r>
    </w:p>
    <w:p w14:paraId="36FE7447" w14:textId="10C61B3D" w:rsidR="00693DCB" w:rsidRDefault="00994162" w:rsidP="00994162">
      <w:r>
        <w:t xml:space="preserve">Modernising the NCC is </w:t>
      </w:r>
      <w:r w:rsidR="002F7CF0">
        <w:t xml:space="preserve">not </w:t>
      </w:r>
      <w:r>
        <w:t>a technical exercise</w:t>
      </w:r>
      <w:r w:rsidR="00DF629B">
        <w:t xml:space="preserve"> – it </w:t>
      </w:r>
      <w:r>
        <w:t>is a system reform critical to housing delivery, productivity and public confidence. The challenge is to restore clarity, proportionality and national consistency – so that the NCC operates as a trusted foundation for safe, efficient and innovative construction.</w:t>
      </w:r>
    </w:p>
    <w:p w14:paraId="7F311DA9" w14:textId="717AA723" w:rsidR="00D2777A" w:rsidRDefault="00D2777A" w:rsidP="7097B545">
      <w:pPr>
        <w:spacing w:before="0" w:after="160" w:line="259" w:lineRule="auto"/>
        <w:sectPr w:rsidR="00D2777A" w:rsidSect="00570FD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pPr>
    </w:p>
    <w:tbl>
      <w:tblPr>
        <w:tblStyle w:val="TableGrid"/>
        <w:tblpPr w:leftFromText="180" w:rightFromText="180" w:vertAnchor="text" w:horzAnchor="margin" w:tblpX="-283" w:tblpY="-366"/>
        <w:tblW w:w="9647" w:type="dxa"/>
        <w:tblLook w:val="04A0" w:firstRow="1" w:lastRow="0" w:firstColumn="1" w:lastColumn="0" w:noHBand="0" w:noVBand="1"/>
      </w:tblPr>
      <w:tblGrid>
        <w:gridCol w:w="1787"/>
        <w:gridCol w:w="5520"/>
        <w:gridCol w:w="2340"/>
      </w:tblGrid>
      <w:tr w:rsidR="00994162" w:rsidRPr="0072320A" w14:paraId="125F227B" w14:textId="77777777" w:rsidTr="00D2777A">
        <w:trPr>
          <w:cnfStyle w:val="100000000000" w:firstRow="1" w:lastRow="0" w:firstColumn="0" w:lastColumn="0" w:oddVBand="0" w:evenVBand="0" w:oddHBand="0" w:evenHBand="0" w:firstRowFirstColumn="0" w:firstRowLastColumn="0" w:lastRowFirstColumn="0" w:lastRowLastColumn="0"/>
          <w:trHeight w:val="713"/>
        </w:trPr>
        <w:tc>
          <w:tcPr>
            <w:tcW w:w="9647" w:type="dxa"/>
            <w:gridSpan w:val="3"/>
            <w:vAlign w:val="center"/>
          </w:tcPr>
          <w:p w14:paraId="0C577639" w14:textId="0E9E8AFD" w:rsidR="00994162" w:rsidRPr="0072320A" w:rsidRDefault="00994162" w:rsidP="00D2777A">
            <w:pPr>
              <w:pStyle w:val="Heading3"/>
              <w:spacing w:before="0"/>
              <w:jc w:val="center"/>
              <w:rPr>
                <w:b/>
              </w:rPr>
            </w:pPr>
            <w:bookmarkStart w:id="21" w:name="_Toc227680334"/>
            <w:r>
              <w:rPr>
                <w:b/>
              </w:rPr>
              <w:lastRenderedPageBreak/>
              <w:t xml:space="preserve">Table 1: Spotlight: </w:t>
            </w:r>
            <w:r w:rsidRPr="0072320A">
              <w:rPr>
                <w:b/>
              </w:rPr>
              <w:t>Growing compliance costs</w:t>
            </w:r>
            <w:bookmarkEnd w:id="21"/>
          </w:p>
        </w:tc>
      </w:tr>
      <w:tr w:rsidR="00994162" w:rsidRPr="0072320A" w14:paraId="1677E511" w14:textId="77777777" w:rsidTr="00B316B0">
        <w:trPr>
          <w:trHeight w:val="258"/>
        </w:trPr>
        <w:tc>
          <w:tcPr>
            <w:tcW w:w="1787" w:type="dxa"/>
          </w:tcPr>
          <w:p w14:paraId="66BA7DE1" w14:textId="77777777" w:rsidR="00994162" w:rsidRPr="0072320A" w:rsidRDefault="00994162" w:rsidP="002A5F04">
            <w:pPr>
              <w:rPr>
                <w:b/>
                <w:bCs/>
                <w:sz w:val="20"/>
              </w:rPr>
            </w:pPr>
            <w:r w:rsidRPr="0072320A">
              <w:rPr>
                <w:b/>
                <w:bCs/>
                <w:sz w:val="20"/>
              </w:rPr>
              <w:t>Driver</w:t>
            </w:r>
          </w:p>
        </w:tc>
        <w:tc>
          <w:tcPr>
            <w:tcW w:w="5520" w:type="dxa"/>
          </w:tcPr>
          <w:p w14:paraId="1B7C1F98" w14:textId="77777777" w:rsidR="00994162" w:rsidRPr="0072320A" w:rsidRDefault="00994162" w:rsidP="002A5F04">
            <w:pPr>
              <w:rPr>
                <w:b/>
                <w:bCs/>
                <w:sz w:val="20"/>
              </w:rPr>
            </w:pPr>
            <w:r w:rsidRPr="0072320A">
              <w:rPr>
                <w:b/>
                <w:bCs/>
                <w:sz w:val="20"/>
              </w:rPr>
              <w:t>How this presents</w:t>
            </w:r>
          </w:p>
        </w:tc>
        <w:tc>
          <w:tcPr>
            <w:tcW w:w="2340" w:type="dxa"/>
          </w:tcPr>
          <w:p w14:paraId="03D4D18E" w14:textId="77777777" w:rsidR="00994162" w:rsidRPr="0072320A" w:rsidRDefault="00994162" w:rsidP="002A5F04">
            <w:pPr>
              <w:rPr>
                <w:b/>
                <w:bCs/>
                <w:sz w:val="20"/>
              </w:rPr>
            </w:pPr>
            <w:r w:rsidRPr="0072320A">
              <w:rPr>
                <w:b/>
                <w:bCs/>
                <w:sz w:val="20"/>
              </w:rPr>
              <w:t>Cost impact</w:t>
            </w:r>
          </w:p>
        </w:tc>
      </w:tr>
      <w:tr w:rsidR="00994162" w:rsidRPr="0072320A" w14:paraId="7E368BAE" w14:textId="77777777" w:rsidTr="00B316B0">
        <w:trPr>
          <w:trHeight w:val="1588"/>
        </w:trPr>
        <w:tc>
          <w:tcPr>
            <w:tcW w:w="1787" w:type="dxa"/>
          </w:tcPr>
          <w:p w14:paraId="109B84A9" w14:textId="77777777" w:rsidR="00994162" w:rsidRPr="0072320A" w:rsidRDefault="00994162" w:rsidP="002A5F04">
            <w:pPr>
              <w:rPr>
                <w:sz w:val="20"/>
              </w:rPr>
            </w:pPr>
            <w:r w:rsidRPr="0072320A">
              <w:rPr>
                <w:sz w:val="20"/>
              </w:rPr>
              <w:t>More regulation, layered over time</w:t>
            </w:r>
          </w:p>
        </w:tc>
        <w:tc>
          <w:tcPr>
            <w:tcW w:w="5520" w:type="dxa"/>
          </w:tcPr>
          <w:p w14:paraId="393D05CF" w14:textId="6E3F8D42" w:rsidR="00994162" w:rsidRPr="0072320A" w:rsidRDefault="00994162" w:rsidP="002A5F04">
            <w:pPr>
              <w:rPr>
                <w:sz w:val="20"/>
              </w:rPr>
            </w:pPr>
            <w:r w:rsidRPr="0072320A">
              <w:rPr>
                <w:sz w:val="20"/>
              </w:rPr>
              <w:t xml:space="preserve">Each building failure, safety incident, climate target or consumer protection concern adds new </w:t>
            </w:r>
            <w:r w:rsidR="004F535B">
              <w:rPr>
                <w:sz w:val="20"/>
              </w:rPr>
              <w:t>requirements</w:t>
            </w:r>
            <w:r w:rsidR="004F535B" w:rsidRPr="0072320A">
              <w:rPr>
                <w:sz w:val="20"/>
              </w:rPr>
              <w:t xml:space="preserve"> </w:t>
            </w:r>
            <w:r w:rsidRPr="0072320A">
              <w:rPr>
                <w:sz w:val="20"/>
              </w:rPr>
              <w:t>rather than replace old ones. The result is:</w:t>
            </w:r>
          </w:p>
          <w:p w14:paraId="7514BBCD" w14:textId="09F28AC0" w:rsidR="00994162" w:rsidRPr="009177E7" w:rsidRDefault="00994162" w:rsidP="00A84F2A">
            <w:pPr>
              <w:pStyle w:val="Bullet"/>
              <w:rPr>
                <w:sz w:val="20"/>
              </w:rPr>
            </w:pPr>
            <w:r w:rsidRPr="009177E7">
              <w:rPr>
                <w:sz w:val="20"/>
              </w:rPr>
              <w:t xml:space="preserve">Larger and more complex </w:t>
            </w:r>
            <w:r w:rsidRPr="49BC6421">
              <w:rPr>
                <w:sz w:val="20"/>
              </w:rPr>
              <w:t>code</w:t>
            </w:r>
          </w:p>
          <w:p w14:paraId="33AF17A3" w14:textId="34238BEE" w:rsidR="00994162" w:rsidRPr="009177E7" w:rsidRDefault="004416AB" w:rsidP="00A84F2A">
            <w:pPr>
              <w:pStyle w:val="Bullet"/>
              <w:rPr>
                <w:sz w:val="20"/>
              </w:rPr>
            </w:pPr>
            <w:r>
              <w:rPr>
                <w:sz w:val="20"/>
              </w:rPr>
              <w:t>D</w:t>
            </w:r>
            <w:r w:rsidRPr="004416AB">
              <w:rPr>
                <w:sz w:val="20"/>
              </w:rPr>
              <w:t xml:space="preserve">uplication </w:t>
            </w:r>
            <w:r w:rsidR="00243F71">
              <w:rPr>
                <w:sz w:val="20"/>
              </w:rPr>
              <w:t xml:space="preserve">of regulation </w:t>
            </w:r>
            <w:r>
              <w:rPr>
                <w:sz w:val="20"/>
              </w:rPr>
              <w:t>across</w:t>
            </w:r>
            <w:r w:rsidRPr="004416AB">
              <w:rPr>
                <w:sz w:val="20"/>
              </w:rPr>
              <w:t xml:space="preserve"> multiple locations e.g. </w:t>
            </w:r>
            <w:r w:rsidR="6E2E812B" w:rsidRPr="1F20C736">
              <w:rPr>
                <w:sz w:val="20"/>
              </w:rPr>
              <w:t>Standards Australia, jurisdictional variations and the NCC</w:t>
            </w:r>
            <w:r w:rsidR="6574AF41" w:rsidRPr="1F20C736">
              <w:rPr>
                <w:sz w:val="20"/>
              </w:rPr>
              <w:t xml:space="preserve"> overlapping content</w:t>
            </w:r>
          </w:p>
        </w:tc>
        <w:tc>
          <w:tcPr>
            <w:tcW w:w="2340" w:type="dxa"/>
          </w:tcPr>
          <w:p w14:paraId="5F2A8B80" w14:textId="77777777" w:rsidR="00994162" w:rsidRPr="0072320A" w:rsidRDefault="00994162" w:rsidP="002A5F04">
            <w:pPr>
              <w:rPr>
                <w:sz w:val="20"/>
              </w:rPr>
            </w:pPr>
            <w:r w:rsidRPr="0072320A">
              <w:rPr>
                <w:sz w:val="20"/>
              </w:rPr>
              <w:t>More time, specialists and documentation per project.</w:t>
            </w:r>
          </w:p>
        </w:tc>
      </w:tr>
      <w:tr w:rsidR="00994162" w:rsidRPr="0072320A" w14:paraId="243A4E16" w14:textId="77777777" w:rsidTr="00B316B0">
        <w:trPr>
          <w:trHeight w:val="1388"/>
        </w:trPr>
        <w:tc>
          <w:tcPr>
            <w:tcW w:w="1787" w:type="dxa"/>
          </w:tcPr>
          <w:p w14:paraId="0D999EC8" w14:textId="6876AD50" w:rsidR="00994162" w:rsidRPr="0072320A" w:rsidRDefault="00994162" w:rsidP="002A5F04">
            <w:pPr>
              <w:rPr>
                <w:sz w:val="20"/>
              </w:rPr>
            </w:pPr>
            <w:r w:rsidRPr="0072320A">
              <w:rPr>
                <w:sz w:val="20"/>
              </w:rPr>
              <w:t>Shift from prescriptive to performance-based regulation</w:t>
            </w:r>
          </w:p>
        </w:tc>
        <w:tc>
          <w:tcPr>
            <w:tcW w:w="5520" w:type="dxa"/>
          </w:tcPr>
          <w:p w14:paraId="596D08D7" w14:textId="55705E61" w:rsidR="00994162" w:rsidRPr="0072320A" w:rsidRDefault="00994162" w:rsidP="002A5F04">
            <w:pPr>
              <w:rPr>
                <w:sz w:val="20"/>
              </w:rPr>
            </w:pPr>
            <w:r w:rsidRPr="0072320A">
              <w:rPr>
                <w:sz w:val="20"/>
              </w:rPr>
              <w:t>Performance-based frameworks were intended to enable flexibility and innovation, but in practice they often lead to:</w:t>
            </w:r>
          </w:p>
          <w:p w14:paraId="46F9040F" w14:textId="4487F9D6" w:rsidR="00994162" w:rsidRPr="009177E7" w:rsidRDefault="00994162" w:rsidP="003E0FCA">
            <w:pPr>
              <w:pStyle w:val="Bullet"/>
              <w:rPr>
                <w:sz w:val="20"/>
              </w:rPr>
            </w:pPr>
            <w:r w:rsidRPr="009177E7">
              <w:rPr>
                <w:sz w:val="20"/>
              </w:rPr>
              <w:t>More consultant input (engineers, certifiers, fire, acoustics, energy modellers)</w:t>
            </w:r>
            <w:r w:rsidR="00986F0B" w:rsidRPr="009177E7">
              <w:rPr>
                <w:sz w:val="20"/>
              </w:rPr>
              <w:t xml:space="preserve"> and associated costs</w:t>
            </w:r>
          </w:p>
          <w:p w14:paraId="5A1D9920" w14:textId="0B16106E" w:rsidR="00994162" w:rsidRPr="009177E7" w:rsidRDefault="00994162" w:rsidP="003E0FCA">
            <w:pPr>
              <w:pStyle w:val="Bullet"/>
              <w:rPr>
                <w:sz w:val="20"/>
              </w:rPr>
            </w:pPr>
            <w:r w:rsidRPr="009177E7">
              <w:rPr>
                <w:sz w:val="20"/>
              </w:rPr>
              <w:t>Project</w:t>
            </w:r>
            <w:r w:rsidR="4604AADD" w:rsidRPr="10FA01F9">
              <w:rPr>
                <w:rFonts w:ascii="Cambria Math" w:hAnsi="Cambria Math" w:cs="Cambria Math"/>
                <w:sz w:val="20"/>
              </w:rPr>
              <w:t>-</w:t>
            </w:r>
            <w:r w:rsidRPr="009177E7">
              <w:rPr>
                <w:sz w:val="20"/>
              </w:rPr>
              <w:t>specific assessments instead of standard solutions</w:t>
            </w:r>
          </w:p>
          <w:p w14:paraId="3C884D1F" w14:textId="77777777" w:rsidR="00994162" w:rsidRPr="0072320A" w:rsidRDefault="00994162" w:rsidP="003E0FCA">
            <w:pPr>
              <w:pStyle w:val="Bullet"/>
              <w:rPr>
                <w:sz w:val="20"/>
              </w:rPr>
            </w:pPr>
            <w:r w:rsidRPr="009177E7">
              <w:rPr>
                <w:sz w:val="20"/>
              </w:rPr>
              <w:t>Greater uncertainty and risk allocation downstream</w:t>
            </w:r>
          </w:p>
        </w:tc>
        <w:tc>
          <w:tcPr>
            <w:tcW w:w="2340" w:type="dxa"/>
          </w:tcPr>
          <w:p w14:paraId="540378B3" w14:textId="77777777" w:rsidR="00994162" w:rsidRPr="0072320A" w:rsidRDefault="00994162" w:rsidP="002A5F04">
            <w:pPr>
              <w:rPr>
                <w:sz w:val="20"/>
              </w:rPr>
            </w:pPr>
            <w:r w:rsidRPr="0072320A">
              <w:rPr>
                <w:sz w:val="20"/>
              </w:rPr>
              <w:t>Higher upfront design costs and risk premiums.</w:t>
            </w:r>
          </w:p>
        </w:tc>
      </w:tr>
      <w:tr w:rsidR="00994162" w:rsidRPr="0072320A" w14:paraId="5ECCBB5C" w14:textId="77777777" w:rsidTr="00B316B0">
        <w:trPr>
          <w:trHeight w:val="1273"/>
        </w:trPr>
        <w:tc>
          <w:tcPr>
            <w:tcW w:w="1787" w:type="dxa"/>
          </w:tcPr>
          <w:p w14:paraId="6BD25A69" w14:textId="77777777" w:rsidR="00994162" w:rsidRPr="0072320A" w:rsidRDefault="00994162" w:rsidP="002A5F04">
            <w:pPr>
              <w:rPr>
                <w:sz w:val="20"/>
              </w:rPr>
            </w:pPr>
            <w:r w:rsidRPr="0072320A">
              <w:rPr>
                <w:sz w:val="20"/>
              </w:rPr>
              <w:t>Increased documentation and assurance requirements</w:t>
            </w:r>
          </w:p>
        </w:tc>
        <w:tc>
          <w:tcPr>
            <w:tcW w:w="5520" w:type="dxa"/>
          </w:tcPr>
          <w:p w14:paraId="70860FD3" w14:textId="77777777" w:rsidR="001E12E1" w:rsidRPr="00FA65DA" w:rsidRDefault="001E12E1" w:rsidP="00FA65DA">
            <w:pPr>
              <w:rPr>
                <w:rFonts w:eastAsia="Aptos"/>
                <w:sz w:val="20"/>
              </w:rPr>
            </w:pPr>
            <w:r w:rsidRPr="00FA65DA">
              <w:rPr>
                <w:rFonts w:eastAsia="Aptos"/>
                <w:sz w:val="20"/>
              </w:rPr>
              <w:t>To manage liability, there is increasing reliance on:</w:t>
            </w:r>
          </w:p>
          <w:p w14:paraId="621A0A96" w14:textId="2B50AF8A" w:rsidR="001E12E1" w:rsidRPr="009177E7" w:rsidRDefault="001E12E1" w:rsidP="003E0FCA">
            <w:pPr>
              <w:pStyle w:val="Bullet"/>
              <w:rPr>
                <w:rFonts w:eastAsia="Aptos"/>
                <w:sz w:val="20"/>
              </w:rPr>
            </w:pPr>
            <w:r w:rsidRPr="009177E7">
              <w:rPr>
                <w:rFonts w:eastAsia="Aptos"/>
                <w:sz w:val="20"/>
              </w:rPr>
              <w:t>Detailed evidence trails</w:t>
            </w:r>
          </w:p>
          <w:p w14:paraId="29F07B1E" w14:textId="77777777" w:rsidR="001E12E1" w:rsidRPr="009177E7" w:rsidRDefault="001E12E1" w:rsidP="003E0FCA">
            <w:pPr>
              <w:pStyle w:val="Bullet"/>
              <w:rPr>
                <w:rFonts w:eastAsia="Aptos"/>
                <w:sz w:val="20"/>
              </w:rPr>
            </w:pPr>
            <w:r w:rsidRPr="009177E7">
              <w:rPr>
                <w:rFonts w:eastAsia="Aptos"/>
                <w:sz w:val="20"/>
              </w:rPr>
              <w:t>Multiple sign</w:t>
            </w:r>
            <w:r w:rsidRPr="009177E7">
              <w:rPr>
                <w:sz w:val="20"/>
              </w:rPr>
              <w:noBreakHyphen/>
            </w:r>
            <w:r w:rsidRPr="009177E7">
              <w:rPr>
                <w:rFonts w:eastAsia="Aptos"/>
                <w:sz w:val="20"/>
              </w:rPr>
              <w:t>offs and certifications</w:t>
            </w:r>
          </w:p>
          <w:p w14:paraId="27E9C3E5" w14:textId="1445C612" w:rsidR="00994162" w:rsidRPr="00A84F2A" w:rsidRDefault="001E12E1" w:rsidP="003E0FCA">
            <w:pPr>
              <w:pStyle w:val="Bullet"/>
              <w:rPr>
                <w:rFonts w:eastAsia="Aptos"/>
                <w:sz w:val="20"/>
              </w:rPr>
            </w:pPr>
            <w:r w:rsidRPr="009177E7">
              <w:rPr>
                <w:rFonts w:eastAsia="Aptos"/>
                <w:sz w:val="20"/>
              </w:rPr>
              <w:t>Certifier approval at the completion of a building rather than progressively staged approvals</w:t>
            </w:r>
          </w:p>
        </w:tc>
        <w:tc>
          <w:tcPr>
            <w:tcW w:w="2340" w:type="dxa"/>
          </w:tcPr>
          <w:p w14:paraId="4E0CDED0" w14:textId="77777777" w:rsidR="00994162" w:rsidRPr="0072320A" w:rsidRDefault="00994162" w:rsidP="002A5F04">
            <w:pPr>
              <w:rPr>
                <w:sz w:val="20"/>
              </w:rPr>
            </w:pPr>
            <w:r w:rsidRPr="0072320A">
              <w:rPr>
                <w:sz w:val="20"/>
              </w:rPr>
              <w:t>Administrative burden grows faster than build cost inflation.</w:t>
            </w:r>
          </w:p>
        </w:tc>
      </w:tr>
      <w:tr w:rsidR="00994162" w:rsidRPr="0072320A" w14:paraId="29E0D15C" w14:textId="77777777" w:rsidTr="00B316B0">
        <w:trPr>
          <w:trHeight w:val="1059"/>
        </w:trPr>
        <w:tc>
          <w:tcPr>
            <w:tcW w:w="1787" w:type="dxa"/>
          </w:tcPr>
          <w:p w14:paraId="6F3CA48A" w14:textId="77777777" w:rsidR="00994162" w:rsidRPr="006C36F2" w:rsidRDefault="00994162" w:rsidP="002A5F04">
            <w:pPr>
              <w:rPr>
                <w:sz w:val="20"/>
              </w:rPr>
            </w:pPr>
            <w:r w:rsidRPr="006C36F2">
              <w:rPr>
                <w:sz w:val="20"/>
              </w:rPr>
              <w:t>Fragmented and inconsistent application</w:t>
            </w:r>
          </w:p>
          <w:p w14:paraId="04814676" w14:textId="77777777" w:rsidR="00994162" w:rsidRPr="0072320A" w:rsidRDefault="00994162" w:rsidP="002A5F04">
            <w:pPr>
              <w:rPr>
                <w:sz w:val="20"/>
              </w:rPr>
            </w:pPr>
          </w:p>
        </w:tc>
        <w:tc>
          <w:tcPr>
            <w:tcW w:w="5520" w:type="dxa"/>
          </w:tcPr>
          <w:p w14:paraId="6E78C7F3" w14:textId="77777777" w:rsidR="00994162" w:rsidRPr="0072320A" w:rsidRDefault="00994162" w:rsidP="002A5F04">
            <w:pPr>
              <w:rPr>
                <w:sz w:val="20"/>
              </w:rPr>
            </w:pPr>
            <w:r w:rsidRPr="0072320A">
              <w:rPr>
                <w:sz w:val="20"/>
              </w:rPr>
              <w:t>National codes applied through:</w:t>
            </w:r>
          </w:p>
          <w:p w14:paraId="2A9BA020" w14:textId="77777777" w:rsidR="00994162" w:rsidRPr="009177E7" w:rsidRDefault="00994162" w:rsidP="00E6528E">
            <w:pPr>
              <w:pStyle w:val="Bullet"/>
              <w:rPr>
                <w:sz w:val="20"/>
              </w:rPr>
            </w:pPr>
            <w:r w:rsidRPr="009177E7">
              <w:rPr>
                <w:sz w:val="20"/>
              </w:rPr>
              <w:t>State and local variations</w:t>
            </w:r>
          </w:p>
          <w:p w14:paraId="2F5AC65D" w14:textId="77777777" w:rsidR="00994162" w:rsidRPr="009177E7" w:rsidRDefault="00994162" w:rsidP="00E6528E">
            <w:pPr>
              <w:pStyle w:val="Bullet"/>
              <w:rPr>
                <w:sz w:val="20"/>
              </w:rPr>
            </w:pPr>
            <w:r w:rsidRPr="009177E7">
              <w:rPr>
                <w:sz w:val="20"/>
              </w:rPr>
              <w:t>Different interpretations by regulators, certifiers and councils</w:t>
            </w:r>
          </w:p>
          <w:p w14:paraId="4878B65A" w14:textId="77777777" w:rsidR="00994162" w:rsidRPr="0072320A" w:rsidRDefault="00994162" w:rsidP="00E6528E">
            <w:pPr>
              <w:pStyle w:val="Bullet"/>
              <w:rPr>
                <w:sz w:val="20"/>
              </w:rPr>
            </w:pPr>
            <w:r w:rsidRPr="009177E7">
              <w:rPr>
                <w:sz w:val="20"/>
              </w:rPr>
              <w:t>Inconsistent enforcement thresholds</w:t>
            </w:r>
          </w:p>
        </w:tc>
        <w:tc>
          <w:tcPr>
            <w:tcW w:w="2340" w:type="dxa"/>
          </w:tcPr>
          <w:p w14:paraId="59F868FE" w14:textId="77777777" w:rsidR="00994162" w:rsidRPr="0072320A" w:rsidRDefault="00994162" w:rsidP="002A5F04">
            <w:pPr>
              <w:pStyle w:val="Bullet"/>
              <w:numPr>
                <w:ilvl w:val="0"/>
                <w:numId w:val="0"/>
              </w:numPr>
              <w:rPr>
                <w:sz w:val="20"/>
              </w:rPr>
            </w:pPr>
            <w:r w:rsidRPr="0072320A">
              <w:rPr>
                <w:sz w:val="20"/>
              </w:rPr>
              <w:t>Re</w:t>
            </w:r>
            <w:r w:rsidRPr="0072320A">
              <w:rPr>
                <w:rFonts w:ascii="Cambria Math" w:hAnsi="Cambria Math" w:cs="Cambria Math"/>
                <w:sz w:val="20"/>
              </w:rPr>
              <w:t>‑</w:t>
            </w:r>
            <w:r w:rsidRPr="0072320A">
              <w:rPr>
                <w:sz w:val="20"/>
              </w:rPr>
              <w:t>work when moving across jurisdictions. Also “compliance by over-design” to manage uncertainty.</w:t>
            </w:r>
          </w:p>
        </w:tc>
      </w:tr>
      <w:tr w:rsidR="00994162" w:rsidRPr="0072320A" w14:paraId="275B230A" w14:textId="77777777" w:rsidTr="00D2777A">
        <w:trPr>
          <w:trHeight w:val="1911"/>
        </w:trPr>
        <w:tc>
          <w:tcPr>
            <w:tcW w:w="1787" w:type="dxa"/>
            <w:vAlign w:val="center"/>
          </w:tcPr>
          <w:p w14:paraId="30CC7E48" w14:textId="77777777" w:rsidR="00994162" w:rsidRPr="0072320A" w:rsidRDefault="00994162" w:rsidP="00D2777A">
            <w:pPr>
              <w:jc w:val="center"/>
              <w:rPr>
                <w:sz w:val="20"/>
              </w:rPr>
            </w:pPr>
            <w:r w:rsidRPr="0072320A">
              <w:rPr>
                <w:sz w:val="20"/>
              </w:rPr>
              <w:t>Risk transfer down the supply chain</w:t>
            </w:r>
          </w:p>
        </w:tc>
        <w:tc>
          <w:tcPr>
            <w:tcW w:w="5520" w:type="dxa"/>
          </w:tcPr>
          <w:p w14:paraId="2250DFD1" w14:textId="5309633F" w:rsidR="0F6B2DF5" w:rsidRPr="009177E7" w:rsidRDefault="00994162" w:rsidP="00FA65DA">
            <w:pPr>
              <w:rPr>
                <w:sz w:val="20"/>
              </w:rPr>
            </w:pPr>
            <w:r w:rsidRPr="0072320A">
              <w:rPr>
                <w:sz w:val="20"/>
              </w:rPr>
              <w:t>Regulatory complexity shifts risk to</w:t>
            </w:r>
            <w:r>
              <w:rPr>
                <w:sz w:val="20"/>
              </w:rPr>
              <w:t xml:space="preserve"> the certifier rather than being proportionately shared by d</w:t>
            </w:r>
            <w:r w:rsidRPr="0072320A">
              <w:rPr>
                <w:sz w:val="20"/>
              </w:rPr>
              <w:t>esigners</w:t>
            </w:r>
            <w:r>
              <w:rPr>
                <w:sz w:val="20"/>
              </w:rPr>
              <w:t>, b</w:t>
            </w:r>
            <w:r w:rsidRPr="0072320A">
              <w:rPr>
                <w:sz w:val="20"/>
              </w:rPr>
              <w:t>uilders</w:t>
            </w:r>
            <w:r>
              <w:rPr>
                <w:sz w:val="20"/>
              </w:rPr>
              <w:t>, and s</w:t>
            </w:r>
            <w:r w:rsidRPr="0072320A">
              <w:rPr>
                <w:sz w:val="20"/>
              </w:rPr>
              <w:t>ubcontractors and product suppliers</w:t>
            </w:r>
            <w:r>
              <w:rPr>
                <w:sz w:val="20"/>
              </w:rPr>
              <w:t>.</w:t>
            </w:r>
            <w:r w:rsidR="00166B6E" w:rsidRPr="0072320A" w:rsidDel="00166B6E">
              <w:rPr>
                <w:sz w:val="20"/>
              </w:rPr>
              <w:t xml:space="preserve"> </w:t>
            </w:r>
          </w:p>
          <w:p w14:paraId="0E8E3440" w14:textId="4371AE4E" w:rsidR="00994162" w:rsidRPr="0072320A" w:rsidRDefault="00994162" w:rsidP="002A5F04">
            <w:pPr>
              <w:rPr>
                <w:sz w:val="20"/>
              </w:rPr>
            </w:pPr>
            <w:r w:rsidRPr="0072320A">
              <w:rPr>
                <w:sz w:val="20"/>
              </w:rPr>
              <w:t>This drives:</w:t>
            </w:r>
          </w:p>
          <w:p w14:paraId="007721D8" w14:textId="77777777" w:rsidR="00994162" w:rsidRPr="009177E7" w:rsidRDefault="00994162" w:rsidP="00E6528E">
            <w:pPr>
              <w:pStyle w:val="Bullet"/>
              <w:rPr>
                <w:sz w:val="20"/>
              </w:rPr>
            </w:pPr>
            <w:r w:rsidRPr="009177E7">
              <w:rPr>
                <w:sz w:val="20"/>
              </w:rPr>
              <w:t>Conservative design choices</w:t>
            </w:r>
          </w:p>
          <w:p w14:paraId="7559FD7C" w14:textId="77777777" w:rsidR="00994162" w:rsidRPr="009177E7" w:rsidRDefault="00994162" w:rsidP="00E6528E">
            <w:pPr>
              <w:pStyle w:val="Bullet"/>
              <w:rPr>
                <w:sz w:val="20"/>
              </w:rPr>
            </w:pPr>
            <w:r w:rsidRPr="009177E7">
              <w:rPr>
                <w:sz w:val="20"/>
              </w:rPr>
              <w:t>Higher insurance and contingency allowances</w:t>
            </w:r>
          </w:p>
          <w:p w14:paraId="185E69B9" w14:textId="77777777" w:rsidR="00994162" w:rsidRPr="0072320A" w:rsidRDefault="00994162" w:rsidP="00E6528E">
            <w:pPr>
              <w:pStyle w:val="Bullet"/>
              <w:rPr>
                <w:sz w:val="20"/>
              </w:rPr>
            </w:pPr>
            <w:r w:rsidRPr="009177E7">
              <w:rPr>
                <w:sz w:val="20"/>
              </w:rPr>
              <w:t>Reduced uptake of new products and methods</w:t>
            </w:r>
          </w:p>
        </w:tc>
        <w:tc>
          <w:tcPr>
            <w:tcW w:w="2340" w:type="dxa"/>
          </w:tcPr>
          <w:p w14:paraId="790A9DF8" w14:textId="77777777" w:rsidR="00994162" w:rsidRPr="0072320A" w:rsidRDefault="00994162" w:rsidP="002A5F04">
            <w:pPr>
              <w:pStyle w:val="Bullet"/>
              <w:numPr>
                <w:ilvl w:val="0"/>
                <w:numId w:val="0"/>
              </w:numPr>
              <w:rPr>
                <w:sz w:val="20"/>
              </w:rPr>
            </w:pPr>
            <w:r w:rsidRPr="0072320A">
              <w:rPr>
                <w:sz w:val="20"/>
              </w:rPr>
              <w:t>Hidden costs embedded in prices and reduced productivity.</w:t>
            </w:r>
          </w:p>
        </w:tc>
      </w:tr>
      <w:tr w:rsidR="00994162" w:rsidRPr="0072320A" w14:paraId="16B30F5F" w14:textId="77777777" w:rsidTr="00B316B0">
        <w:trPr>
          <w:trHeight w:val="787"/>
        </w:trPr>
        <w:tc>
          <w:tcPr>
            <w:tcW w:w="1787" w:type="dxa"/>
          </w:tcPr>
          <w:p w14:paraId="6E5BF87E" w14:textId="2F841594" w:rsidR="00994162" w:rsidRPr="0072320A" w:rsidRDefault="00E801B6" w:rsidP="002A5F04">
            <w:pPr>
              <w:rPr>
                <w:sz w:val="20"/>
              </w:rPr>
            </w:pPr>
            <w:r>
              <w:rPr>
                <w:sz w:val="20"/>
              </w:rPr>
              <w:t>Perceived d</w:t>
            </w:r>
            <w:r w:rsidR="00994162" w:rsidRPr="0072320A">
              <w:rPr>
                <w:sz w:val="20"/>
              </w:rPr>
              <w:t>isproportionate impact on low</w:t>
            </w:r>
            <w:r w:rsidR="00E37B5B">
              <w:rPr>
                <w:sz w:val="20"/>
              </w:rPr>
              <w:t>-</w:t>
            </w:r>
            <w:r w:rsidR="00994162" w:rsidRPr="0072320A">
              <w:rPr>
                <w:sz w:val="20"/>
              </w:rPr>
              <w:t>risk buildings</w:t>
            </w:r>
          </w:p>
        </w:tc>
        <w:tc>
          <w:tcPr>
            <w:tcW w:w="5520" w:type="dxa"/>
          </w:tcPr>
          <w:p w14:paraId="5958ED03" w14:textId="3A0DCA80" w:rsidR="00994162" w:rsidRPr="004E1053" w:rsidRDefault="00994162" w:rsidP="004E1053">
            <w:pPr>
              <w:rPr>
                <w:sz w:val="20"/>
              </w:rPr>
            </w:pPr>
            <w:r w:rsidRPr="004E1053">
              <w:rPr>
                <w:sz w:val="20"/>
              </w:rPr>
              <w:t xml:space="preserve">Overtime </w:t>
            </w:r>
            <w:r w:rsidR="005B22C1" w:rsidRPr="004E1053">
              <w:rPr>
                <w:sz w:val="20"/>
              </w:rPr>
              <w:t>more</w:t>
            </w:r>
            <w:r w:rsidR="00A77F46" w:rsidRPr="004E1053">
              <w:rPr>
                <w:sz w:val="20"/>
              </w:rPr>
              <w:t xml:space="preserve"> </w:t>
            </w:r>
            <w:r w:rsidR="005B22C1" w:rsidRPr="004E1053">
              <w:rPr>
                <w:sz w:val="20"/>
              </w:rPr>
              <w:t>DTS</w:t>
            </w:r>
            <w:r w:rsidR="002505CF" w:rsidRPr="004E1053">
              <w:rPr>
                <w:sz w:val="20"/>
              </w:rPr>
              <w:t xml:space="preserve"> </w:t>
            </w:r>
            <w:r w:rsidR="00555B3A" w:rsidRPr="004E1053">
              <w:rPr>
                <w:sz w:val="20"/>
              </w:rPr>
              <w:t xml:space="preserve">provisions have been added for </w:t>
            </w:r>
            <w:r w:rsidRPr="004E1053">
              <w:rPr>
                <w:sz w:val="20"/>
              </w:rPr>
              <w:t>lower risk (Class 1) buildings</w:t>
            </w:r>
            <w:r w:rsidRPr="009177E7">
              <w:rPr>
                <w:sz w:val="20"/>
              </w:rPr>
              <w:t>.</w:t>
            </w:r>
            <w:r w:rsidRPr="004E1053">
              <w:rPr>
                <w:sz w:val="20"/>
              </w:rPr>
              <w:t xml:space="preserve"> As a result, the NCC</w:t>
            </w:r>
            <w:r w:rsidR="00555B3A" w:rsidRPr="004E1053">
              <w:rPr>
                <w:sz w:val="20"/>
              </w:rPr>
              <w:t xml:space="preserve"> is perceived as</w:t>
            </w:r>
            <w:r w:rsidRPr="004E1053">
              <w:rPr>
                <w:sz w:val="20"/>
              </w:rPr>
              <w:t>:</w:t>
            </w:r>
          </w:p>
          <w:p w14:paraId="6AA3265B" w14:textId="7CDFE50F" w:rsidR="00724B88" w:rsidRPr="009177E7" w:rsidRDefault="00994162" w:rsidP="004C6B03">
            <w:pPr>
              <w:pStyle w:val="Bullet"/>
              <w:rPr>
                <w:sz w:val="20"/>
              </w:rPr>
            </w:pPr>
            <w:r w:rsidRPr="009177E7">
              <w:rPr>
                <w:sz w:val="20"/>
              </w:rPr>
              <w:t>Appl</w:t>
            </w:r>
            <w:r w:rsidR="00555B3A">
              <w:rPr>
                <w:sz w:val="20"/>
              </w:rPr>
              <w:t xml:space="preserve">ying </w:t>
            </w:r>
            <w:r w:rsidRPr="009177E7">
              <w:rPr>
                <w:sz w:val="20"/>
              </w:rPr>
              <w:t>high-assurance requirements regardless of risk</w:t>
            </w:r>
          </w:p>
          <w:p w14:paraId="0B3494D3" w14:textId="346362B7" w:rsidR="00994162" w:rsidRPr="009177E7" w:rsidRDefault="00724B88" w:rsidP="004C6B03">
            <w:pPr>
              <w:pStyle w:val="Bullet"/>
              <w:rPr>
                <w:sz w:val="20"/>
              </w:rPr>
            </w:pPr>
            <w:r w:rsidRPr="009177E7">
              <w:rPr>
                <w:sz w:val="20"/>
              </w:rPr>
              <w:t>Treat</w:t>
            </w:r>
            <w:r w:rsidR="00555B3A">
              <w:rPr>
                <w:sz w:val="20"/>
              </w:rPr>
              <w:t>ing</w:t>
            </w:r>
            <w:r w:rsidRPr="009177E7">
              <w:rPr>
                <w:sz w:val="20"/>
              </w:rPr>
              <w:t xml:space="preserve"> simple, repeatable buildings like complex ones</w:t>
            </w:r>
          </w:p>
        </w:tc>
        <w:tc>
          <w:tcPr>
            <w:tcW w:w="2340" w:type="dxa"/>
          </w:tcPr>
          <w:p w14:paraId="7B3E0E2F" w14:textId="77777777" w:rsidR="00994162" w:rsidRPr="0072320A" w:rsidRDefault="00994162" w:rsidP="002A5F04">
            <w:pPr>
              <w:pStyle w:val="Bullet"/>
              <w:numPr>
                <w:ilvl w:val="0"/>
                <w:numId w:val="0"/>
              </w:numPr>
              <w:rPr>
                <w:sz w:val="20"/>
              </w:rPr>
            </w:pPr>
            <w:r w:rsidRPr="0072320A">
              <w:rPr>
                <w:sz w:val="20"/>
              </w:rPr>
              <w:t>Smaller projects and volume housing absorb relatively higher compliance costs.</w:t>
            </w:r>
          </w:p>
        </w:tc>
      </w:tr>
    </w:tbl>
    <w:p w14:paraId="6E61715F" w14:textId="77777777" w:rsidR="00994162" w:rsidRDefault="00994162" w:rsidP="00994162">
      <w:pPr>
        <w:sectPr w:rsidR="00994162" w:rsidSect="00994162">
          <w:pgSz w:w="11906" w:h="16838"/>
          <w:pgMar w:top="1440" w:right="1440" w:bottom="1440" w:left="1440" w:header="708" w:footer="708" w:gutter="0"/>
          <w:cols w:space="708"/>
          <w:docGrid w:linePitch="360"/>
        </w:sectPr>
      </w:pPr>
    </w:p>
    <w:p w14:paraId="2B473CC1" w14:textId="77777777" w:rsidR="00994162" w:rsidRDefault="00994162" w:rsidP="00994162">
      <w:pPr>
        <w:pStyle w:val="Heading1"/>
      </w:pPr>
      <w:bookmarkStart w:id="22" w:name="_Toc227834510"/>
      <w:bookmarkStart w:id="23" w:name="_Toc228371009"/>
      <w:r>
        <w:lastRenderedPageBreak/>
        <w:t>Chapter 2: Work underway by the Australian Government</w:t>
      </w:r>
      <w:bookmarkEnd w:id="22"/>
      <w:bookmarkEnd w:id="23"/>
      <w:r>
        <w:t xml:space="preserve"> </w:t>
      </w:r>
    </w:p>
    <w:p w14:paraId="66F279AC" w14:textId="77777777" w:rsidR="00994162" w:rsidRPr="00D10B5C" w:rsidRDefault="00994162" w:rsidP="000A7453">
      <w:r w:rsidRPr="00D10B5C">
        <w:t xml:space="preserve">The Australian Government recognises that excessive </w:t>
      </w:r>
      <w:r>
        <w:t>red tape</w:t>
      </w:r>
      <w:r w:rsidRPr="00D10B5C">
        <w:t xml:space="preserve"> is constraining construction productivity, delaying housing delivery and increasing costs for consumers. </w:t>
      </w:r>
    </w:p>
    <w:p w14:paraId="63127BE8" w14:textId="77777777" w:rsidR="00484C44" w:rsidRDefault="00B8259B" w:rsidP="000A7453">
      <w:r w:rsidRPr="00B8259B">
        <w:t>In August 2025, following the Economic Reform Roundtable, the Government committed to reducing regulatory barriers holding back construction productivity and housing supply. This commitment reinforced National Cabinet’s</w:t>
      </w:r>
      <w:r w:rsidR="005739BF">
        <w:t xml:space="preserve"> </w:t>
      </w:r>
      <w:r w:rsidRPr="00B8259B">
        <w:t xml:space="preserve">existing agreement under the </w:t>
      </w:r>
      <w:r w:rsidRPr="00B8259B">
        <w:rPr>
          <w:b/>
          <w:bCs/>
        </w:rPr>
        <w:t>National Planning Reform Blueprint</w:t>
      </w:r>
      <w:r w:rsidRPr="00B8259B">
        <w:t xml:space="preserve">, with most measures now partially or fully delivered. The Government has also invested $50 million through the </w:t>
      </w:r>
      <w:r w:rsidRPr="00B8259B">
        <w:rPr>
          <w:b/>
          <w:bCs/>
        </w:rPr>
        <w:t>Housing Support Program</w:t>
      </w:r>
      <w:r w:rsidRPr="00B8259B">
        <w:t xml:space="preserve"> to strengthen planning capacity across state and local governments. </w:t>
      </w:r>
    </w:p>
    <w:p w14:paraId="68FEA688" w14:textId="05608672" w:rsidR="00B8259B" w:rsidRPr="00B8259B" w:rsidRDefault="00B8259B" w:rsidP="000A7453">
      <w:r w:rsidRPr="00B8259B">
        <w:t xml:space="preserve">Following the Economic Reform Roundtable, the Government also established a new strike team within the Department of Climate Change, Energy, the Environment and Water to accelerate assessment of the more than 26,000 homes. </w:t>
      </w:r>
    </w:p>
    <w:p w14:paraId="3683DD53" w14:textId="0C4B91B5" w:rsidR="00C419D4" w:rsidRDefault="00B8259B" w:rsidP="000A7453">
      <w:r w:rsidRPr="00B8259B">
        <w:t xml:space="preserve">The Government has also reformed the </w:t>
      </w:r>
      <w:r w:rsidRPr="00FC2AE8">
        <w:rPr>
          <w:b/>
          <w:i/>
        </w:rPr>
        <w:t>Environment Protection and Biodiversity Conservation Act 1999</w:t>
      </w:r>
      <w:r w:rsidRPr="00FC2AE8">
        <w:rPr>
          <w:b/>
        </w:rPr>
        <w:t xml:space="preserve"> </w:t>
      </w:r>
      <w:r w:rsidRPr="00076E06">
        <w:t xml:space="preserve">(EPBC Act) </w:t>
      </w:r>
      <w:r w:rsidRPr="00B8259B">
        <w:t>to deliver stronger environmental protections, faster project approvals and more transparency. These reforms will simplify and streamline the approvals process for housing developments in areas where it is appropriate to build. Since the reforms came into place, the Government has announced the development of a bilateral agreement with Western Australia which provides an opportunity to promote economic growth and progress key projects in Western Australia, including housing, energy and critical minerals</w:t>
      </w:r>
      <w:r w:rsidR="00994162" w:rsidRPr="002C5052">
        <w:t>.</w:t>
      </w:r>
      <w:r w:rsidR="00C419D4">
        <w:t xml:space="preserve"> </w:t>
      </w:r>
    </w:p>
    <w:p w14:paraId="6A7733BE" w14:textId="187572E1" w:rsidR="00994162" w:rsidRPr="00D10B5C" w:rsidRDefault="00994162" w:rsidP="000A7453">
      <w:r w:rsidRPr="00D10B5C">
        <w:t xml:space="preserve">In October 2025, Building Ministers agreed to </w:t>
      </w:r>
      <w:r w:rsidRPr="00952EAC">
        <w:rPr>
          <w:b/>
          <w:bCs/>
        </w:rPr>
        <w:t>streamline the NCC and to pause</w:t>
      </w:r>
      <w:r w:rsidRPr="00D10B5C">
        <w:t xml:space="preserve"> further residential changes following NCC 2025,</w:t>
      </w:r>
      <w:r w:rsidR="00BD144A">
        <w:t xml:space="preserve"> </w:t>
      </w:r>
      <w:r w:rsidR="00BD144A" w:rsidRPr="00BD144A">
        <w:t xml:space="preserve">except for essential quality and safety measures, </w:t>
      </w:r>
      <w:r w:rsidRPr="00D10B5C">
        <w:t>until the end of the National Housing Accord period in mid</w:t>
      </w:r>
      <w:r w:rsidRPr="00D10B5C">
        <w:rPr>
          <w:rFonts w:ascii="Cambria Math" w:hAnsi="Cambria Math" w:cs="Cambria Math"/>
        </w:rPr>
        <w:t>‑</w:t>
      </w:r>
      <w:r w:rsidRPr="00D10B5C">
        <w:t>2029. This decision reflects a shared concern that frequent and cumulative regulatory change has contributed to complexity, uncertainty and rising compliance costs.</w:t>
      </w:r>
    </w:p>
    <w:p w14:paraId="7A08EF37" w14:textId="4EF9029E" w:rsidR="00994162" w:rsidRPr="00D10B5C" w:rsidRDefault="00994162" w:rsidP="00994162">
      <w:r>
        <w:t>The NCC Modernisation Project is focusing on</w:t>
      </w:r>
      <w:r w:rsidRPr="00D10B5C">
        <w:t xml:space="preserve"> four priority areas:</w:t>
      </w:r>
    </w:p>
    <w:p w14:paraId="2BF531BA" w14:textId="77777777" w:rsidR="007B4214" w:rsidRPr="00994162" w:rsidRDefault="007B4214" w:rsidP="007B4214">
      <w:pPr>
        <w:pStyle w:val="Bullet"/>
      </w:pPr>
      <w:r w:rsidRPr="00994162">
        <w:t>usability and accessibility of the NCC</w:t>
      </w:r>
    </w:p>
    <w:p w14:paraId="127C2722" w14:textId="77777777" w:rsidR="007B4214" w:rsidRPr="00994162" w:rsidRDefault="007B4214" w:rsidP="007B4214">
      <w:pPr>
        <w:pStyle w:val="Bullet"/>
      </w:pPr>
      <w:r w:rsidRPr="00994162">
        <w:t>complexity and regulatory burden</w:t>
      </w:r>
    </w:p>
    <w:p w14:paraId="43CE0019" w14:textId="77777777" w:rsidR="00994162" w:rsidRPr="00994162" w:rsidRDefault="00994162" w:rsidP="00994162">
      <w:pPr>
        <w:pStyle w:val="Bullet"/>
      </w:pPr>
      <w:r w:rsidRPr="00994162">
        <w:t>governance and decision</w:t>
      </w:r>
      <w:r w:rsidRPr="00994162">
        <w:rPr>
          <w:rFonts w:ascii="Cambria Math" w:hAnsi="Cambria Math" w:cs="Cambria Math"/>
        </w:rPr>
        <w:t>‑</w:t>
      </w:r>
      <w:r w:rsidRPr="00994162">
        <w:t>making processes</w:t>
      </w:r>
    </w:p>
    <w:p w14:paraId="02AC452F" w14:textId="16B954EE" w:rsidR="00994162" w:rsidRPr="00994162" w:rsidRDefault="00994162" w:rsidP="00994162">
      <w:pPr>
        <w:pStyle w:val="Bullet"/>
      </w:pPr>
      <w:r w:rsidRPr="00994162">
        <w:t>innovation and housing diversity</w:t>
      </w:r>
      <w:r w:rsidR="004578E3">
        <w:t>.</w:t>
      </w:r>
    </w:p>
    <w:p w14:paraId="25E6BF25" w14:textId="77777777" w:rsidR="00994162" w:rsidRDefault="00994162" w:rsidP="000A7453">
      <w:r>
        <w:t>T</w:t>
      </w:r>
      <w:r w:rsidRPr="00D10B5C">
        <w:t xml:space="preserve">argeted action is already underway to remove regulatory barriers affecting modern construction methods. Through the </w:t>
      </w:r>
      <w:r w:rsidRPr="002C5052">
        <w:rPr>
          <w:b/>
          <w:bCs/>
        </w:rPr>
        <w:t>National Productivity Fund</w:t>
      </w:r>
      <w:r w:rsidRPr="00D10B5C">
        <w:t>, $120 million has been made available to states and territories to reduce red tape blocking modular and prefabricated construction. Projects include:</w:t>
      </w:r>
    </w:p>
    <w:p w14:paraId="203FA239" w14:textId="77777777" w:rsidR="00994162" w:rsidRPr="00994162" w:rsidRDefault="00994162" w:rsidP="00994162">
      <w:pPr>
        <w:pStyle w:val="Bullet"/>
      </w:pPr>
      <w:r w:rsidRPr="00994162">
        <w:t>legislating nationally consistent definitions for prefabricated and modular construction</w:t>
      </w:r>
    </w:p>
    <w:p w14:paraId="443F1C87" w14:textId="77777777" w:rsidR="00994162" w:rsidRPr="00994162" w:rsidRDefault="00994162" w:rsidP="00994162">
      <w:pPr>
        <w:pStyle w:val="Bullet"/>
      </w:pPr>
      <w:r w:rsidRPr="00994162">
        <w:t>establishing a national voluntary manufacturer certification scheme to support NCC compliance and chains of responsibility</w:t>
      </w:r>
    </w:p>
    <w:p w14:paraId="44364D3F" w14:textId="77777777" w:rsidR="00994162" w:rsidRPr="00994162" w:rsidRDefault="00994162" w:rsidP="00994162">
      <w:pPr>
        <w:pStyle w:val="Bullet"/>
      </w:pPr>
      <w:r w:rsidRPr="00994162">
        <w:t>ensuring regulatory neutrality between modern and conventional construction methods in planning and building legislation</w:t>
      </w:r>
    </w:p>
    <w:p w14:paraId="723E3A6F" w14:textId="242F0F7D" w:rsidR="00994162" w:rsidRPr="00994162" w:rsidRDefault="00994162" w:rsidP="00994162">
      <w:pPr>
        <w:pStyle w:val="Bullet"/>
      </w:pPr>
      <w:r w:rsidRPr="00994162">
        <w:t>ensuring regulatory neutrality in consumer protection frameworks</w:t>
      </w:r>
      <w:r w:rsidR="00292009">
        <w:t>.</w:t>
      </w:r>
    </w:p>
    <w:p w14:paraId="3391AE32" w14:textId="202CDC84" w:rsidR="0083050C" w:rsidRPr="0083050C" w:rsidRDefault="00994162" w:rsidP="000A7453">
      <w:r w:rsidRPr="00D10B5C">
        <w:t>T</w:t>
      </w:r>
      <w:r w:rsidR="00564184" w:rsidRPr="00564184">
        <w:t>he</w:t>
      </w:r>
      <w:r w:rsidR="00564184">
        <w:t xml:space="preserve">se initiatives </w:t>
      </w:r>
      <w:r w:rsidR="00564184" w:rsidRPr="00564184">
        <w:t xml:space="preserve">are </w:t>
      </w:r>
      <w:r w:rsidR="0083050C" w:rsidRPr="0083050C">
        <w:t>helping to improve the resilience of the construction industry, which will hopefully help the industry to weather the impacts of the Middle East conflict more effectively than during COVID.</w:t>
      </w:r>
    </w:p>
    <w:p w14:paraId="0CFDFFDC" w14:textId="54EA4C21" w:rsidR="00564184" w:rsidRDefault="0090741B" w:rsidP="000A7453">
      <w:r>
        <w:lastRenderedPageBreak/>
        <w:t>While t</w:t>
      </w:r>
      <w:r w:rsidR="00564184" w:rsidRPr="00D10B5C">
        <w:t xml:space="preserve">hese initiatives demonstrate clear momentum and a strong commitment to reform, consultation on NCC Modernisation </w:t>
      </w:r>
      <w:r w:rsidR="00AD0520">
        <w:t>Project</w:t>
      </w:r>
      <w:r w:rsidR="00216077" w:rsidRPr="00D10B5C">
        <w:t xml:space="preserve"> </w:t>
      </w:r>
      <w:r w:rsidR="00564184" w:rsidRPr="00D10B5C">
        <w:t xml:space="preserve">indicates </w:t>
      </w:r>
      <w:r w:rsidR="00564184">
        <w:t>further work is required to</w:t>
      </w:r>
      <w:r w:rsidR="00564184" w:rsidRPr="00D10B5C">
        <w:t xml:space="preserve"> address the structural issues affecting the NCC.</w:t>
      </w:r>
    </w:p>
    <w:p w14:paraId="3F1187ED" w14:textId="30C9D283" w:rsidR="00994162" w:rsidRDefault="00994162" w:rsidP="000A7453">
      <w:pPr>
        <w:rPr>
          <w:rFonts w:ascii="Calibri" w:hAnsi="Calibri" w:cs="Arial"/>
          <w:b/>
          <w:color w:val="5D779D" w:themeColor="accent3"/>
          <w:kern w:val="32"/>
          <w:sz w:val="44"/>
          <w:szCs w:val="36"/>
        </w:rPr>
      </w:pPr>
      <w:r w:rsidRPr="00D10B5C">
        <w:t>Stakeholders consistently emphasised that complexity, inconsistency and compliance costs are being generated by the way the NCC itself is structured, governed and applied. Without a more fundamental modernisation of the Code and its supporting systems, existing reforms</w:t>
      </w:r>
      <w:r w:rsidR="007F03E0">
        <w:t xml:space="preserve"> </w:t>
      </w:r>
      <w:r w:rsidRPr="00D10B5C">
        <w:t>risk delivering incremental improvement without resolving the underlying causes of delay, cost escalation and loss of confidence.</w:t>
      </w:r>
      <w:r>
        <w:br w:type="page"/>
      </w:r>
    </w:p>
    <w:p w14:paraId="5D4DF193" w14:textId="358EB70F" w:rsidR="00994162" w:rsidRPr="00276756" w:rsidRDefault="00994162" w:rsidP="00994162">
      <w:pPr>
        <w:pStyle w:val="Heading1"/>
      </w:pPr>
      <w:bookmarkStart w:id="24" w:name="_Toc227834511"/>
      <w:bookmarkStart w:id="25" w:name="_Toc228371010"/>
      <w:r w:rsidRPr="00276756">
        <w:lastRenderedPageBreak/>
        <w:t>Chapter 3: How did we engage</w:t>
      </w:r>
      <w:bookmarkEnd w:id="24"/>
      <w:bookmarkEnd w:id="25"/>
    </w:p>
    <w:p w14:paraId="12397836" w14:textId="2E130B09" w:rsidR="00994162" w:rsidRDefault="00994162" w:rsidP="005A2CCA">
      <w:r>
        <w:t>The NCC Modernisation Project has been informed by extensive consultation with industry, governments and the community. This has been led by three project leads: Rebecca Billings, Dan O’Brien and David McCarthy</w:t>
      </w:r>
      <w:r w:rsidR="004E7C49">
        <w:t>,</w:t>
      </w:r>
      <w:r>
        <w:t xml:space="preserve"> who have provided specialist advice based on their strong executive experience across regulatory governance, construction delivery, and public sector management.</w:t>
      </w:r>
    </w:p>
    <w:p w14:paraId="4FD222CC" w14:textId="77777777" w:rsidR="00306766" w:rsidRDefault="00306766" w:rsidP="00306766">
      <w:r>
        <w:t>Engagement has been designed to test the scale of concern with the current operation of the NCC, identify areas of consensus, and highlight issues requiring deeper examination before final actions are agreed with Building Ministers.</w:t>
      </w:r>
    </w:p>
    <w:p w14:paraId="4C26E503" w14:textId="08816BDA" w:rsidR="00994162" w:rsidRDefault="00994162" w:rsidP="005A2CCA">
      <w:r>
        <w:t xml:space="preserve">Earlier this year, the Australian Government released the </w:t>
      </w:r>
      <w:hyperlink r:id="rId25" w:history="1">
        <w:r w:rsidRPr="00AD0520">
          <w:rPr>
            <w:rStyle w:val="Hyperlink"/>
          </w:rPr>
          <w:t>Streamlining and Modernising the NCC Discussion Paper</w:t>
        </w:r>
      </w:hyperlink>
      <w:r>
        <w:t>, inviting views on how the NCC and its governing arrangements could be improved to reduce construction costs, lift productivity and better support housing supply.</w:t>
      </w:r>
    </w:p>
    <w:p w14:paraId="0BE353F2" w14:textId="270A49C4" w:rsidR="00F878D3" w:rsidRPr="00F878D3" w:rsidRDefault="00F878D3" w:rsidP="005A2CCA">
      <w:r>
        <w:t>Th</w:t>
      </w:r>
      <w:r w:rsidRPr="00F878D3">
        <w:t>e NCC is too important to get wrong</w:t>
      </w:r>
      <w:r w:rsidR="00FE013F">
        <w:t>,</w:t>
      </w:r>
      <w:r>
        <w:t xml:space="preserve"> and c</w:t>
      </w:r>
      <w:r w:rsidRPr="00F878D3">
        <w:t xml:space="preserve">onsultation </w:t>
      </w:r>
      <w:r>
        <w:t>has been</w:t>
      </w:r>
      <w:r w:rsidRPr="00F878D3">
        <w:t xml:space="preserve"> critical to this project</w:t>
      </w:r>
      <w:r>
        <w:t xml:space="preserve">. The NCC </w:t>
      </w:r>
      <w:r w:rsidRPr="00F878D3">
        <w:t>sits at the very heart of how Australia designs, constructs and occupies its buildings. Extensive engagement has provided a broad and robust evidence base</w:t>
      </w:r>
      <w:r w:rsidR="00E95734">
        <w:t xml:space="preserve"> for the project</w:t>
      </w:r>
      <w:r w:rsidR="005A2CCA">
        <w:t>,</w:t>
      </w:r>
      <w:r w:rsidRPr="00F878D3">
        <w:t xml:space="preserve"> identifying key challenges, issues and risks experienced by NCC users</w:t>
      </w:r>
      <w:r w:rsidR="00E95734">
        <w:t xml:space="preserve"> and </w:t>
      </w:r>
      <w:r w:rsidRPr="00F878D3">
        <w:t>directly inform</w:t>
      </w:r>
      <w:r w:rsidR="00E95734">
        <w:t>ing</w:t>
      </w:r>
      <w:r w:rsidRPr="00F878D3">
        <w:t xml:space="preserve"> </w:t>
      </w:r>
      <w:r w:rsidR="00E95734">
        <w:t xml:space="preserve">and shaping </w:t>
      </w:r>
      <w:r w:rsidRPr="00F878D3">
        <w:t>this report and the final outcomes, ensuring the project is grounded in practical experience.</w:t>
      </w:r>
    </w:p>
    <w:p w14:paraId="0B2C7DC8" w14:textId="429A0B0A" w:rsidR="00994162" w:rsidRDefault="00163789" w:rsidP="00994162">
      <w:r w:rsidRPr="00163789">
        <w:t>Consultation was undertaken through multiple channels to capture a broad range of views, including</w:t>
      </w:r>
      <w:r w:rsidR="00994162">
        <w:t>:</w:t>
      </w:r>
    </w:p>
    <w:p w14:paraId="44E22564" w14:textId="77777777" w:rsidR="00994162" w:rsidRPr="00994162" w:rsidRDefault="00994162" w:rsidP="00994162">
      <w:pPr>
        <w:pStyle w:val="Bullet"/>
      </w:pPr>
      <w:r w:rsidRPr="00994162">
        <w:t>targeted workshops with key user groups</w:t>
      </w:r>
    </w:p>
    <w:p w14:paraId="32C14EF6" w14:textId="77777777" w:rsidR="00994162" w:rsidRPr="00994162" w:rsidRDefault="00994162" w:rsidP="00994162">
      <w:pPr>
        <w:pStyle w:val="Bullet"/>
      </w:pPr>
      <w:r w:rsidRPr="00994162">
        <w:t>bilateral discussions with industry, professional bodies and governments</w:t>
      </w:r>
    </w:p>
    <w:p w14:paraId="3CFF00D8" w14:textId="77777777" w:rsidR="00994162" w:rsidRPr="00994162" w:rsidRDefault="00994162" w:rsidP="00994162">
      <w:pPr>
        <w:pStyle w:val="Bullet"/>
      </w:pPr>
      <w:r w:rsidRPr="00994162">
        <w:t>an open public submission process</w:t>
      </w:r>
    </w:p>
    <w:p w14:paraId="1DD03144" w14:textId="77777777" w:rsidR="00994162" w:rsidRDefault="00994162" w:rsidP="00994162">
      <w:r>
        <w:t>In total, consultation included:</w:t>
      </w:r>
    </w:p>
    <w:p w14:paraId="56FECC87" w14:textId="0B265EBC" w:rsidR="00994162" w:rsidRPr="00994162" w:rsidRDefault="3AEC71BA" w:rsidP="00994162">
      <w:pPr>
        <w:pStyle w:val="Bullet"/>
      </w:pPr>
      <w:r>
        <w:t>six</w:t>
      </w:r>
      <w:r w:rsidR="00994162" w:rsidRPr="00994162">
        <w:t xml:space="preserve"> workshops across key user groups, involving </w:t>
      </w:r>
      <w:r w:rsidR="4768D75B">
        <w:t>42</w:t>
      </w:r>
      <w:r w:rsidR="00994162" w:rsidRPr="00994162">
        <w:t xml:space="preserve"> participants</w:t>
      </w:r>
    </w:p>
    <w:p w14:paraId="4EECE66D" w14:textId="7F115002" w:rsidR="00994162" w:rsidRDefault="47D15987" w:rsidP="4BAE83B8">
      <w:pPr>
        <w:pStyle w:val="Bullet"/>
      </w:pPr>
      <w:r>
        <w:t>2</w:t>
      </w:r>
      <w:r w:rsidR="499AC3CD">
        <w:t>1</w:t>
      </w:r>
      <w:r>
        <w:t xml:space="preserve"> discussions with key industry stakeholders</w:t>
      </w:r>
      <w:r w:rsidR="005E2D5E">
        <w:t>;</w:t>
      </w:r>
      <w:r>
        <w:t xml:space="preserve"> 7 of these meetings were with the A</w:t>
      </w:r>
      <w:r w:rsidR="0E139554">
        <w:t xml:space="preserve">ustralian </w:t>
      </w:r>
      <w:r>
        <w:t>B</w:t>
      </w:r>
      <w:r w:rsidR="180FFC85">
        <w:t xml:space="preserve">uildings </w:t>
      </w:r>
      <w:r>
        <w:t>C</w:t>
      </w:r>
      <w:r w:rsidR="1CC3D87F">
        <w:t xml:space="preserve">ode </w:t>
      </w:r>
      <w:r>
        <w:t>B</w:t>
      </w:r>
      <w:r w:rsidR="55D3A6CE">
        <w:t>oard’s (ABCB)</w:t>
      </w:r>
      <w:r>
        <w:t xml:space="preserve"> CEO and representatives</w:t>
      </w:r>
    </w:p>
    <w:p w14:paraId="7E539A14" w14:textId="78061533" w:rsidR="00994162" w:rsidRDefault="00994162" w:rsidP="00994162">
      <w:pPr>
        <w:pStyle w:val="Bullet"/>
      </w:pPr>
      <w:r w:rsidRPr="00994162">
        <w:t>213 submissions received</w:t>
      </w:r>
      <w:r>
        <w:t xml:space="preserve"> through the online consultation process</w:t>
      </w:r>
    </w:p>
    <w:p w14:paraId="684AFB82" w14:textId="58FEF642" w:rsidR="00994162" w:rsidRDefault="00994162" w:rsidP="00994162">
      <w:r>
        <w:t>Contributors included members of the public, community and advocacy organisations, industry participants, professional and peak bodies, academics and researchers, and Commonwealth, state and local government agencies.</w:t>
      </w:r>
    </w:p>
    <w:p w14:paraId="1F9F8903" w14:textId="77777777" w:rsidR="00994162" w:rsidRDefault="00994162" w:rsidP="00994162">
      <w:r>
        <w:t>Submissions and consultations revealed a high degree of alignment across stakeholder groups. While views differed on specific solutions, there was strong and consistent agreement on:</w:t>
      </w:r>
    </w:p>
    <w:p w14:paraId="46580950" w14:textId="77777777" w:rsidR="00994162" w:rsidRPr="00994162" w:rsidRDefault="00994162" w:rsidP="00994162">
      <w:pPr>
        <w:pStyle w:val="Bullet"/>
      </w:pPr>
      <w:r w:rsidRPr="00994162">
        <w:t>the scale and impact of growing NCC complexity</w:t>
      </w:r>
    </w:p>
    <w:p w14:paraId="3A6A1802" w14:textId="77777777" w:rsidR="00994162" w:rsidRPr="00994162" w:rsidRDefault="00994162" w:rsidP="00994162">
      <w:pPr>
        <w:pStyle w:val="Bullet"/>
      </w:pPr>
      <w:r w:rsidRPr="00994162">
        <w:t>the rising cost and uncertainty associated with demonstrating compliance</w:t>
      </w:r>
    </w:p>
    <w:p w14:paraId="1327C551" w14:textId="77777777" w:rsidR="00994162" w:rsidRPr="00994162" w:rsidRDefault="00994162" w:rsidP="00994162">
      <w:pPr>
        <w:pStyle w:val="Bullet"/>
      </w:pPr>
      <w:r w:rsidRPr="00994162">
        <w:t>the erosion of national consistency over time</w:t>
      </w:r>
    </w:p>
    <w:p w14:paraId="77C97DED" w14:textId="77777777" w:rsidR="00994162" w:rsidRPr="00994162" w:rsidRDefault="00994162" w:rsidP="00994162">
      <w:pPr>
        <w:pStyle w:val="Bullet"/>
      </w:pPr>
      <w:r w:rsidRPr="00994162">
        <w:t>the need for reform that improves usability, certainty and proportionality without compromising safety</w:t>
      </w:r>
    </w:p>
    <w:p w14:paraId="35B1B311" w14:textId="2AEB010F" w:rsidR="00994162" w:rsidRDefault="00994162" w:rsidP="00CF4896">
      <w:r>
        <w:t>All non</w:t>
      </w:r>
      <w:r w:rsidR="009548A9">
        <w:t>-</w:t>
      </w:r>
      <w:r>
        <w:t xml:space="preserve">confidential submissions have been published on </w:t>
      </w:r>
      <w:hyperlink r:id="rId26" w:history="1">
        <w:r w:rsidRPr="00A95094">
          <w:rPr>
            <w:rStyle w:val="Hyperlink"/>
          </w:rPr>
          <w:t>Treasury</w:t>
        </w:r>
        <w:r w:rsidRPr="00A95094">
          <w:rPr>
            <w:rStyle w:val="Hyperlink"/>
            <w:rFonts w:ascii="Aptos" w:hAnsi="Aptos" w:cs="Aptos"/>
          </w:rPr>
          <w:t>’</w:t>
        </w:r>
        <w:r w:rsidRPr="00A95094">
          <w:rPr>
            <w:rStyle w:val="Hyperlink"/>
          </w:rPr>
          <w:t>s consultation hub</w:t>
        </w:r>
      </w:hyperlink>
      <w:r>
        <w:t xml:space="preserve"> to support transparency and ongoing engagement.</w:t>
      </w:r>
      <w:r w:rsidR="5194ACBF">
        <w:t xml:space="preserve"> </w:t>
      </w:r>
      <w:r>
        <w:t>Insights from consultation directly informed the structure of this interim report, including the identification of five reform directions and the distinction between areas of broad consensus</w:t>
      </w:r>
      <w:r w:rsidR="00685E55" w:rsidRPr="00C906E6">
        <w:t>, issues for immediate action</w:t>
      </w:r>
      <w:r>
        <w:t xml:space="preserve"> and issues requiring further analysis</w:t>
      </w:r>
      <w:r w:rsidR="00C906E6" w:rsidRPr="00C906E6">
        <w:t xml:space="preserve"> in the next phase of the project</w:t>
      </w:r>
      <w:r w:rsidRPr="00C906E6">
        <w:t>.</w:t>
      </w:r>
      <w:r>
        <w:t xml:space="preserve"> Engagement will continue as these issues are explored in more detail ahead of the final report to Building Ministers later this year. </w:t>
      </w:r>
      <w:r>
        <w:br w:type="page"/>
      </w:r>
    </w:p>
    <w:p w14:paraId="1691A05B" w14:textId="7DB4EA8C" w:rsidR="00994162" w:rsidRPr="00276756" w:rsidRDefault="00994162" w:rsidP="00994162">
      <w:pPr>
        <w:pStyle w:val="Heading1"/>
      </w:pPr>
      <w:bookmarkStart w:id="26" w:name="_Toc227834512"/>
      <w:bookmarkStart w:id="27" w:name="_Toc228371011"/>
      <w:r w:rsidRPr="00276756">
        <w:lastRenderedPageBreak/>
        <w:t>Chapter 4: What we</w:t>
      </w:r>
      <w:r w:rsidR="009548A9">
        <w:t xml:space="preserve"> ha</w:t>
      </w:r>
      <w:r>
        <w:t>ve</w:t>
      </w:r>
      <w:r w:rsidRPr="00276756">
        <w:t xml:space="preserve"> heard</w:t>
      </w:r>
      <w:bookmarkEnd w:id="26"/>
      <w:bookmarkEnd w:id="27"/>
    </w:p>
    <w:p w14:paraId="6BC18B36" w14:textId="08AE7C6A" w:rsidR="00994162" w:rsidRPr="009421F9" w:rsidRDefault="00994162" w:rsidP="000A7453">
      <w:r w:rsidRPr="009421F9">
        <w:t xml:space="preserve">Consultation revealed a strong and consistent message: </w:t>
      </w:r>
      <w:r w:rsidR="00EB4778">
        <w:t xml:space="preserve">while the </w:t>
      </w:r>
      <w:r w:rsidR="00EB4778" w:rsidRPr="008621F3">
        <w:t xml:space="preserve">NCC </w:t>
      </w:r>
      <w:r w:rsidR="00EB4778">
        <w:t>provides Australians</w:t>
      </w:r>
      <w:r w:rsidR="00EB4778" w:rsidRPr="008621F3">
        <w:t xml:space="preserve"> </w:t>
      </w:r>
      <w:r w:rsidR="00EB4778">
        <w:t>with safe, quality buildings, it</w:t>
      </w:r>
      <w:r w:rsidRPr="009421F9">
        <w:t xml:space="preserve"> is no longer operating as a clear, nationally consistent and proportionate regulatory framework. While stakeholders differ on specific solutions, there is broad alignment on the nature of the problem and the priority areas for reform.</w:t>
      </w:r>
    </w:p>
    <w:p w14:paraId="7B0693BF" w14:textId="77777777" w:rsidR="00994162" w:rsidRDefault="00994162" w:rsidP="000A7453">
      <w:r w:rsidRPr="009421F9">
        <w:t>Five reform directions emerged repeatedly across submissions and discussions. Together, they are aimed at restoring clarity, certainty, trust and national consistency, while reducing unnecessary compliance costs and supporting housing delivery.</w:t>
      </w:r>
    </w:p>
    <w:p w14:paraId="465EED6A" w14:textId="6E8B202E" w:rsidR="00994162" w:rsidRPr="009421F9" w:rsidRDefault="00AA4955" w:rsidP="00994162">
      <w:r>
        <w:t>R</w:t>
      </w:r>
      <w:r w:rsidR="00994162">
        <w:t>eform directions include:</w:t>
      </w:r>
    </w:p>
    <w:p w14:paraId="42C6CC0E" w14:textId="0B0AEFDC" w:rsidR="00994162" w:rsidRDefault="00994162" w:rsidP="00D94F33">
      <w:pPr>
        <w:pStyle w:val="OutlineNumbered1"/>
        <w:numPr>
          <w:ilvl w:val="0"/>
          <w:numId w:val="27"/>
        </w:numPr>
        <w:spacing w:after="160" w:line="278" w:lineRule="auto"/>
      </w:pPr>
      <w:r w:rsidRPr="00B14F93">
        <w:t>Simplify NCC access and use</w:t>
      </w:r>
    </w:p>
    <w:p w14:paraId="5F8F190A" w14:textId="77777777" w:rsidR="00994162" w:rsidRDefault="00994162" w:rsidP="00994162">
      <w:pPr>
        <w:pStyle w:val="Bullet"/>
        <w:numPr>
          <w:ilvl w:val="0"/>
          <w:numId w:val="27"/>
        </w:numPr>
      </w:pPr>
      <w:r w:rsidRPr="00B14F93">
        <w:t>Recommit to a national market</w:t>
      </w:r>
    </w:p>
    <w:p w14:paraId="1A2402BF" w14:textId="6470AFE3" w:rsidR="00555B6F" w:rsidRPr="00555B6F" w:rsidRDefault="00555B6F" w:rsidP="00555B6F">
      <w:pPr>
        <w:pStyle w:val="ListParagraph"/>
        <w:numPr>
          <w:ilvl w:val="0"/>
          <w:numId w:val="27"/>
        </w:numPr>
      </w:pPr>
      <w:r w:rsidRPr="00555B6F">
        <w:t>Tougher, more rigorous cost-benefit analysis</w:t>
      </w:r>
      <w:r w:rsidR="00C906E6">
        <w:t xml:space="preserve"> and decision making</w:t>
      </w:r>
    </w:p>
    <w:p w14:paraId="691573CC" w14:textId="6AE2175A" w:rsidR="00D94F33" w:rsidRDefault="00D94F33" w:rsidP="00994162">
      <w:pPr>
        <w:pStyle w:val="Bullet"/>
        <w:numPr>
          <w:ilvl w:val="0"/>
          <w:numId w:val="27"/>
        </w:numPr>
      </w:pPr>
      <w:r w:rsidRPr="00D94F33">
        <w:t>Enable clear pathways to innovation and new products</w:t>
      </w:r>
    </w:p>
    <w:p w14:paraId="1E36F99B" w14:textId="77777777" w:rsidR="00994162" w:rsidRDefault="00994162" w:rsidP="00994162">
      <w:pPr>
        <w:pStyle w:val="Bullet"/>
        <w:numPr>
          <w:ilvl w:val="0"/>
          <w:numId w:val="27"/>
        </w:numPr>
      </w:pPr>
      <w:r w:rsidRPr="00FC044A">
        <w:t>Reduce the cost of demonstrating compliance</w:t>
      </w:r>
    </w:p>
    <w:p w14:paraId="07331D97" w14:textId="77777777" w:rsidR="00994162" w:rsidRDefault="00994162">
      <w:pPr>
        <w:spacing w:before="0" w:after="160" w:line="259" w:lineRule="auto"/>
        <w:rPr>
          <w:rFonts w:ascii="Calibri" w:hAnsi="Calibri" w:cs="Arial"/>
          <w:iCs/>
          <w:color w:val="2C384A" w:themeColor="accent1"/>
          <w:kern w:val="32"/>
          <w:sz w:val="36"/>
          <w:szCs w:val="28"/>
        </w:rPr>
      </w:pPr>
      <w:r>
        <w:br w:type="page"/>
      </w:r>
    </w:p>
    <w:p w14:paraId="63C61AC8" w14:textId="5C74C840" w:rsidR="00994162" w:rsidRDefault="00994162" w:rsidP="00994162">
      <w:pPr>
        <w:pStyle w:val="Heading2"/>
      </w:pPr>
      <w:bookmarkStart w:id="28" w:name="_Toc227834513"/>
      <w:bookmarkStart w:id="29" w:name="_Toc228371012"/>
      <w:r>
        <w:lastRenderedPageBreak/>
        <w:t xml:space="preserve">Reform direction 1: </w:t>
      </w:r>
      <w:r w:rsidRPr="00173ED3">
        <w:t xml:space="preserve">Simplify </w:t>
      </w:r>
      <w:r>
        <w:t>NCC access and use</w:t>
      </w:r>
      <w:bookmarkEnd w:id="28"/>
      <w:bookmarkEnd w:id="29"/>
    </w:p>
    <w:p w14:paraId="41FE623E" w14:textId="3D195706" w:rsidR="00994162" w:rsidRDefault="00994162" w:rsidP="00994162">
      <w:pPr>
        <w:pStyle w:val="Heading3"/>
      </w:pPr>
      <w:bookmarkStart w:id="30" w:name="_Toc227680339"/>
      <w:bookmarkStart w:id="31" w:name="_Toc227680398"/>
      <w:bookmarkStart w:id="32" w:name="_Toc227765685"/>
      <w:r>
        <w:t>What we</w:t>
      </w:r>
      <w:r w:rsidR="00E6039B">
        <w:t>’ve</w:t>
      </w:r>
      <w:r>
        <w:t xml:space="preserve"> heard</w:t>
      </w:r>
      <w:bookmarkEnd w:id="30"/>
      <w:bookmarkEnd w:id="31"/>
      <w:bookmarkEnd w:id="32"/>
    </w:p>
    <w:p w14:paraId="570BBA77" w14:textId="692C1F99" w:rsidR="00994162" w:rsidRDefault="00994162" w:rsidP="000F1C7F">
      <w:pPr>
        <w:pStyle w:val="Bullet"/>
      </w:pPr>
      <w:r>
        <w:t xml:space="preserve">Stakeholders consistently identified usability as a fundamental barrier to effective compliance. </w:t>
      </w:r>
      <w:r w:rsidR="00102E93">
        <w:t>Feedback indicated that the NCC can be</w:t>
      </w:r>
      <w:r>
        <w:t xml:space="preserve"> difficult to navigate, overly complex </w:t>
      </w:r>
      <w:r w:rsidR="00834872">
        <w:t>in some areas</w:t>
      </w:r>
      <w:r>
        <w:t xml:space="preserve"> and poorly aligned with how it is used in practice, particularly on site.</w:t>
      </w:r>
      <w:r w:rsidR="001F0DF0">
        <w:t xml:space="preserve"> </w:t>
      </w:r>
    </w:p>
    <w:p w14:paraId="77FD4E2E" w14:textId="3D31B8D6" w:rsidR="00994162" w:rsidRDefault="00994162" w:rsidP="000F1C7F">
      <w:pPr>
        <w:pStyle w:val="Bullet"/>
      </w:pPr>
      <w:r w:rsidRPr="00010041">
        <w:t xml:space="preserve">Rather than adopt </w:t>
      </w:r>
      <w:r w:rsidR="00546E41">
        <w:t xml:space="preserve">and refer to </w:t>
      </w:r>
      <w:r w:rsidRPr="00010041">
        <w:t xml:space="preserve">the </w:t>
      </w:r>
      <w:r w:rsidR="000C76CB">
        <w:t>NCC</w:t>
      </w:r>
      <w:r w:rsidR="000C76CB" w:rsidRPr="00010041">
        <w:t xml:space="preserve"> </w:t>
      </w:r>
      <w:r w:rsidRPr="00010041">
        <w:t>during the design process</w:t>
      </w:r>
      <w:r w:rsidR="004B65E5">
        <w:t>,</w:t>
      </w:r>
      <w:r w:rsidRPr="00010041">
        <w:t xml:space="preserve"> there is strong evidence emerging that designers have become reliant on “NCC consultants” and other “experts” to ensure that their designs are compliant.</w:t>
      </w:r>
      <w:r w:rsidR="00915968">
        <w:t xml:space="preserve"> </w:t>
      </w:r>
      <w:r w:rsidR="000C76CB">
        <w:t>Increasingly, these c</w:t>
      </w:r>
      <w:r w:rsidR="00915968" w:rsidRPr="00915968">
        <w:t xml:space="preserve">onsultants are </w:t>
      </w:r>
      <w:r w:rsidR="000C76CB">
        <w:t>used as part of a</w:t>
      </w:r>
      <w:r w:rsidR="00915968" w:rsidRPr="00915968">
        <w:t xml:space="preserve"> risk mitigation strategy</w:t>
      </w:r>
      <w:r w:rsidR="000C76CB">
        <w:t xml:space="preserve"> to transfer risk</w:t>
      </w:r>
      <w:r w:rsidR="00915968" w:rsidRPr="00915968">
        <w:t>.</w:t>
      </w:r>
    </w:p>
    <w:p w14:paraId="5106B941" w14:textId="7E414884" w:rsidR="00653C49" w:rsidRDefault="00653C49" w:rsidP="000F1C7F">
      <w:pPr>
        <w:pStyle w:val="Bullet"/>
      </w:pPr>
      <w:bookmarkStart w:id="33" w:name="_Toc227680340"/>
      <w:bookmarkStart w:id="34" w:name="_Toc227680399"/>
      <w:r w:rsidRPr="00653C49">
        <w:t>There was strong agreement that complexity does not reflect unwillingness to comply, but rather a system that has become too hard to interpret and apply.</w:t>
      </w:r>
    </w:p>
    <w:p w14:paraId="0C2829E9" w14:textId="1FBB959E" w:rsidR="004F303A" w:rsidRPr="004F303A" w:rsidRDefault="004F303A" w:rsidP="000F1C7F">
      <w:pPr>
        <w:pStyle w:val="Bullet"/>
      </w:pPr>
      <w:r w:rsidRPr="00FA65DA">
        <w:t>Stakeholders contrasted this with earlier iterations of the NCC as a more practical, site</w:t>
      </w:r>
      <w:r w:rsidRPr="00FA65DA">
        <w:noBreakHyphen/>
        <w:t xml:space="preserve">focused tool, observing that efforts to make the </w:t>
      </w:r>
      <w:r w:rsidR="00C07EB9">
        <w:t>C</w:t>
      </w:r>
      <w:r w:rsidRPr="00FA65DA">
        <w:t xml:space="preserve">ode serve </w:t>
      </w:r>
      <w:r>
        <w:t>a wider range of</w:t>
      </w:r>
      <w:r w:rsidRPr="00FA65DA">
        <w:t xml:space="preserve"> purposes have instead diluted its clarity and effectiveness in practice.</w:t>
      </w:r>
    </w:p>
    <w:bookmarkEnd w:id="33"/>
    <w:bookmarkEnd w:id="34"/>
    <w:p w14:paraId="470C3DCE" w14:textId="77777777" w:rsidR="008C3DD4" w:rsidRDefault="002A0CA7" w:rsidP="002A0CA7">
      <w:pPr>
        <w:pStyle w:val="Bullet"/>
      </w:pPr>
      <w:r>
        <w:t>While most stakeholders support the use of AI to simplify access, some s</w:t>
      </w:r>
      <w:r w:rsidRPr="000E1148">
        <w:t>takeholders caution against rushing an AI</w:t>
      </w:r>
      <w:r w:rsidRPr="00FA6144">
        <w:rPr>
          <w:rFonts w:ascii="Cambria Math" w:hAnsi="Cambria Math" w:cs="Cambria Math"/>
        </w:rPr>
        <w:t>‑</w:t>
      </w:r>
      <w:r w:rsidRPr="000E1148">
        <w:t>enabled tool, given the NCC</w:t>
      </w:r>
      <w:r w:rsidRPr="00FA6144">
        <w:rPr>
          <w:rFonts w:cs="Calibri Light"/>
        </w:rPr>
        <w:t>’</w:t>
      </w:r>
      <w:r w:rsidRPr="000E1148">
        <w:t>s performance</w:t>
      </w:r>
      <w:r w:rsidRPr="00FA6144">
        <w:rPr>
          <w:rFonts w:ascii="Cambria Math" w:hAnsi="Cambria Math" w:cs="Cambria Math"/>
        </w:rPr>
        <w:t>‑</w:t>
      </w:r>
      <w:r w:rsidRPr="000E1148">
        <w:t>based nature.</w:t>
      </w:r>
    </w:p>
    <w:p w14:paraId="1611FAA2" w14:textId="24A0C758" w:rsidR="002A0CA7" w:rsidRPr="004F303A" w:rsidRDefault="002A0CA7" w:rsidP="002A0CA7">
      <w:pPr>
        <w:pStyle w:val="Bullet"/>
      </w:pPr>
      <w:r w:rsidRPr="000E1148">
        <w:t xml:space="preserve">Performance </w:t>
      </w:r>
      <w:r>
        <w:t>r</w:t>
      </w:r>
      <w:r w:rsidRPr="000E1148">
        <w:t>equirements are intentionally non</w:t>
      </w:r>
      <w:r w:rsidRPr="00FA6144">
        <w:rPr>
          <w:rFonts w:ascii="Cambria Math" w:hAnsi="Cambria Math" w:cs="Cambria Math"/>
        </w:rPr>
        <w:t>‑</w:t>
      </w:r>
      <w:r w:rsidRPr="000E1148">
        <w:t>prescriptive, meaning an AI tool would need to make judgements about compliance</w:t>
      </w:r>
      <w:r w:rsidRPr="00FA6144">
        <w:rPr>
          <w:rFonts w:cs="Calibri Light"/>
        </w:rPr>
        <w:t xml:space="preserve"> – </w:t>
      </w:r>
      <w:r>
        <w:t xml:space="preserve">potentially </w:t>
      </w:r>
      <w:r w:rsidRPr="000E1148">
        <w:t>requiring the Code to be rewritten as rules rather than outcomes.</w:t>
      </w:r>
      <w:r>
        <w:t xml:space="preserve"> This is a more complex task than simply putting the Code into an existing AI tool.</w:t>
      </w:r>
    </w:p>
    <w:p w14:paraId="4D4750F2" w14:textId="71D2809F" w:rsidR="00994162" w:rsidRDefault="005621BA" w:rsidP="00994162">
      <w:pPr>
        <w:pStyle w:val="Heading3"/>
      </w:pPr>
      <w:r w:rsidRPr="009C035E">
        <w:t>Immediate a</w:t>
      </w:r>
      <w:r w:rsidR="00621B51" w:rsidRPr="009C035E">
        <w:t>ctions</w:t>
      </w:r>
      <w:r>
        <w:t xml:space="preserve"> to consider</w:t>
      </w:r>
    </w:p>
    <w:p w14:paraId="06E3AB9F" w14:textId="14D81ED4" w:rsidR="00994162" w:rsidRPr="00994162" w:rsidRDefault="00994162" w:rsidP="00994162">
      <w:pPr>
        <w:pStyle w:val="Bullet"/>
      </w:pPr>
      <w:r w:rsidRPr="00994162">
        <w:t>Remove barriers to access, including paywalls on referenced standards, to improve understanding and compliance.</w:t>
      </w:r>
      <w:r w:rsidR="00D51117">
        <w:t xml:space="preserve"> </w:t>
      </w:r>
      <w:r w:rsidR="000B0D96">
        <w:t xml:space="preserve">Industry has </w:t>
      </w:r>
      <w:r w:rsidR="000F4349">
        <w:t xml:space="preserve">consistently raised </w:t>
      </w:r>
      <w:r w:rsidR="00EB70D7">
        <w:t>access to free standards</w:t>
      </w:r>
      <w:r w:rsidR="00CA44A4">
        <w:t xml:space="preserve"> </w:t>
      </w:r>
      <w:r w:rsidR="00993DB2">
        <w:t xml:space="preserve">as a barrier, including in </w:t>
      </w:r>
      <w:r w:rsidR="000F0741">
        <w:t>pre-</w:t>
      </w:r>
      <w:r w:rsidR="00993DB2">
        <w:t>budget submissions</w:t>
      </w:r>
      <w:r w:rsidR="000F0741">
        <w:t>.</w:t>
      </w:r>
    </w:p>
    <w:p w14:paraId="07EA3C34" w14:textId="6E06E584" w:rsidR="00A454B7" w:rsidRPr="00A454B7" w:rsidRDefault="00994162" w:rsidP="007A114B">
      <w:pPr>
        <w:pStyle w:val="Bullet"/>
      </w:pPr>
      <w:r w:rsidRPr="00A454B7">
        <w:t>Reduce duplication, ambiguity and unnecessary complexity</w:t>
      </w:r>
      <w:r w:rsidR="000D4E1B" w:rsidRPr="00A454B7">
        <w:t xml:space="preserve"> </w:t>
      </w:r>
      <w:r w:rsidR="00A454B7" w:rsidRPr="00A454B7">
        <w:t xml:space="preserve">caused by </w:t>
      </w:r>
      <w:r w:rsidR="00230D8E" w:rsidRPr="00A454B7">
        <w:t xml:space="preserve">overlapping </w:t>
      </w:r>
      <w:r w:rsidR="00A454B7" w:rsidRPr="00A454B7">
        <w:t>requirements</w:t>
      </w:r>
      <w:r w:rsidR="001A2DF1" w:rsidRPr="00A454B7">
        <w:t xml:space="preserve"> across</w:t>
      </w:r>
      <w:r w:rsidR="006C74DE" w:rsidRPr="00A454B7">
        <w:t xml:space="preserve"> the NCC, </w:t>
      </w:r>
      <w:r w:rsidR="00A454B7" w:rsidRPr="00A454B7">
        <w:t xml:space="preserve">referenced Australian </w:t>
      </w:r>
      <w:r w:rsidR="006C74DE" w:rsidRPr="00A454B7">
        <w:t>Standards</w:t>
      </w:r>
      <w:r w:rsidR="00A454B7" w:rsidRPr="00A454B7">
        <w:t>,</w:t>
      </w:r>
      <w:r w:rsidR="006C74DE" w:rsidRPr="00A454B7">
        <w:t xml:space="preserve"> and </w:t>
      </w:r>
      <w:r w:rsidR="00A454B7" w:rsidRPr="00A454B7">
        <w:t>inconsistent</w:t>
      </w:r>
      <w:r w:rsidR="006C74DE" w:rsidRPr="00A454B7">
        <w:t xml:space="preserve"> state and territory variations</w:t>
      </w:r>
      <w:r w:rsidRPr="00A454B7">
        <w:t>.</w:t>
      </w:r>
      <w:r w:rsidR="006A74C7">
        <w:t xml:space="preserve"> </w:t>
      </w:r>
    </w:p>
    <w:p w14:paraId="5E68D00B" w14:textId="2D26F029" w:rsidR="006423FC" w:rsidRDefault="00756E3E" w:rsidP="00994162">
      <w:pPr>
        <w:pStyle w:val="Bullet"/>
      </w:pPr>
      <w:r>
        <w:t>Rewrite the NCC to support</w:t>
      </w:r>
      <w:r w:rsidR="00994162" w:rsidRPr="00994162">
        <w:t xml:space="preserve"> digital</w:t>
      </w:r>
      <w:r w:rsidR="00994162">
        <w:t xml:space="preserve"> accessibility, with strong interest in modern digital tools to support navigation and compliance</w:t>
      </w:r>
      <w:r w:rsidR="00C30CDD">
        <w:t xml:space="preserve"> (drawing in requirements beyond NCC, as appropriate)</w:t>
      </w:r>
      <w:r w:rsidR="00994162">
        <w:t>.</w:t>
      </w:r>
      <w:r w:rsidR="00871F68">
        <w:t xml:space="preserve"> </w:t>
      </w:r>
    </w:p>
    <w:p w14:paraId="3C0A7780" w14:textId="4583F23C" w:rsidR="00994162" w:rsidRDefault="00D27E15" w:rsidP="009C035E">
      <w:pPr>
        <w:pStyle w:val="Dash"/>
      </w:pPr>
      <w:r>
        <w:t>The ABCB</w:t>
      </w:r>
      <w:r w:rsidR="00871F68">
        <w:t xml:space="preserve"> is </w:t>
      </w:r>
      <w:r>
        <w:t xml:space="preserve">scoping options </w:t>
      </w:r>
      <w:r w:rsidR="008D76F3" w:rsidRPr="008D76F3">
        <w:t>for an</w:t>
      </w:r>
      <w:r>
        <w:t xml:space="preserve"> AI</w:t>
      </w:r>
      <w:r w:rsidR="008D76F3" w:rsidRPr="008D76F3">
        <w:rPr>
          <w:rFonts w:ascii="Cambria Math" w:hAnsi="Cambria Math" w:cs="Cambria Math"/>
        </w:rPr>
        <w:t>‑</w:t>
      </w:r>
      <w:r>
        <w:t>enabled digital tool</w:t>
      </w:r>
      <w:r w:rsidR="0053016C">
        <w:t>,</w:t>
      </w:r>
      <w:r w:rsidR="0053016C" w:rsidRPr="0053016C">
        <w:t xml:space="preserve"> including how it can write the Code to support AI accuracy in the future</w:t>
      </w:r>
      <w:r w:rsidR="00994162">
        <w:t>.</w:t>
      </w:r>
    </w:p>
    <w:p w14:paraId="78973566" w14:textId="77777777" w:rsidR="00994162" w:rsidRDefault="00994162" w:rsidP="00994162">
      <w:pPr>
        <w:pStyle w:val="Heading3"/>
      </w:pPr>
      <w:bookmarkStart w:id="35" w:name="_Toc227680341"/>
      <w:bookmarkStart w:id="36" w:name="_Toc227680400"/>
      <w:bookmarkStart w:id="37" w:name="_Toc227765687"/>
      <w:r>
        <w:t>Issues requiring further exploration</w:t>
      </w:r>
      <w:bookmarkEnd w:id="35"/>
      <w:bookmarkEnd w:id="36"/>
      <w:bookmarkEnd w:id="37"/>
    </w:p>
    <w:p w14:paraId="6CD36095" w14:textId="3815DA65" w:rsidR="000F0268" w:rsidRPr="009C035E" w:rsidRDefault="000F0268" w:rsidP="00060963">
      <w:pPr>
        <w:pStyle w:val="Bullet"/>
      </w:pPr>
      <w:r w:rsidRPr="009C035E">
        <w:t>Provid</w:t>
      </w:r>
      <w:r w:rsidR="00A117EB">
        <w:t>e</w:t>
      </w:r>
      <w:r w:rsidRPr="009C035E">
        <w:t xml:space="preserve"> regulatory certainty on when and how NCC changes are introduced, reducing compliance risk and managing transition costs.</w:t>
      </w:r>
    </w:p>
    <w:p w14:paraId="710DC24E" w14:textId="77777777" w:rsidR="00A117EB" w:rsidRDefault="00F06B32" w:rsidP="00A117EB">
      <w:pPr>
        <w:pStyle w:val="Bullet"/>
      </w:pPr>
      <w:r>
        <w:t>Redraft</w:t>
      </w:r>
      <w:r w:rsidR="00536837" w:rsidRPr="00536837">
        <w:t xml:space="preserve"> the NCC to better meet the needs of its different users (including builders, designers and certifiers), </w:t>
      </w:r>
      <w:r w:rsidR="00536837" w:rsidRPr="009C035E">
        <w:t>including clarifying the intent and application of some legal requirements to reduce ambiguity and unintended confusion.</w:t>
      </w:r>
      <w:r w:rsidR="003B1733">
        <w:t xml:space="preserve"> </w:t>
      </w:r>
    </w:p>
    <w:p w14:paraId="629F7A72" w14:textId="5FDC8377" w:rsidR="00536837" w:rsidRDefault="00694635" w:rsidP="00A117EB">
      <w:pPr>
        <w:pStyle w:val="Bullet"/>
      </w:pPr>
      <w:r>
        <w:t xml:space="preserve">The ABCB has developed a </w:t>
      </w:r>
      <w:hyperlink r:id="rId27" w:history="1">
        <w:r w:rsidRPr="00781311">
          <w:rPr>
            <w:rStyle w:val="Hyperlink"/>
          </w:rPr>
          <w:t>consolidated performance requirements handbook</w:t>
        </w:r>
      </w:hyperlink>
      <w:r>
        <w:t xml:space="preserve"> w</w:t>
      </w:r>
      <w:r w:rsidRPr="00C851AA">
        <w:t xml:space="preserve">hich captures the mandatory legal requirements under the NCC in a single, clear reference to support consistent </w:t>
      </w:r>
      <w:r w:rsidRPr="00C851AA">
        <w:lastRenderedPageBreak/>
        <w:t>interpretation and application across jurisdictions.</w:t>
      </w:r>
      <w:r w:rsidR="00734D67">
        <w:t xml:space="preserve"> This c</w:t>
      </w:r>
      <w:r w:rsidR="007F4D8C">
        <w:t xml:space="preserve">ould be </w:t>
      </w:r>
      <w:r w:rsidR="0029451E">
        <w:t xml:space="preserve">reviewed </w:t>
      </w:r>
      <w:r w:rsidR="00CA0DA2">
        <w:t xml:space="preserve">periodically to ensure </w:t>
      </w:r>
      <w:r w:rsidR="000C6B08">
        <w:t xml:space="preserve">clarity for </w:t>
      </w:r>
      <w:r w:rsidR="00667EB7">
        <w:t>users.</w:t>
      </w:r>
    </w:p>
    <w:p w14:paraId="1B23F313" w14:textId="00BE208F" w:rsidR="00060963" w:rsidRPr="00060963" w:rsidRDefault="00F06B32" w:rsidP="00060963">
      <w:pPr>
        <w:pStyle w:val="Bullet"/>
      </w:pPr>
      <w:r>
        <w:t>Consider</w:t>
      </w:r>
      <w:r w:rsidR="00EB4890">
        <w:t xml:space="preserve"> t</w:t>
      </w:r>
      <w:r w:rsidR="0098511B">
        <w:t>arget</w:t>
      </w:r>
      <w:r w:rsidR="00060963" w:rsidRPr="00060963">
        <w:t xml:space="preserve"> audience </w:t>
      </w:r>
      <w:r w:rsidR="0008777F">
        <w:t xml:space="preserve">requirements, ensuring </w:t>
      </w:r>
      <w:r w:rsidR="00023264">
        <w:t xml:space="preserve">the </w:t>
      </w:r>
      <w:r w:rsidR="00074067">
        <w:t>NCC’s</w:t>
      </w:r>
      <w:r w:rsidR="00060963" w:rsidRPr="00060963">
        <w:t xml:space="preserve"> level of complexity matches the skills and qualifications of practitioners.</w:t>
      </w:r>
    </w:p>
    <w:p w14:paraId="749E30AD" w14:textId="50167DBE" w:rsidR="006B132F" w:rsidRDefault="00547468" w:rsidP="008F1556">
      <w:pPr>
        <w:pStyle w:val="Bullet"/>
        <w:spacing w:after="160" w:line="259" w:lineRule="auto"/>
      </w:pPr>
      <w:r>
        <w:t>Restructur</w:t>
      </w:r>
      <w:r w:rsidR="00A117EB">
        <w:t>e</w:t>
      </w:r>
      <w:r>
        <w:t xml:space="preserve"> the </w:t>
      </w:r>
      <w:r w:rsidR="00DA23FD">
        <w:t>NCC</w:t>
      </w:r>
      <w:r>
        <w:t xml:space="preserve"> to give </w:t>
      </w:r>
      <w:r w:rsidR="005A0738">
        <w:t xml:space="preserve">more prominence </w:t>
      </w:r>
      <w:r w:rsidR="00411DCE">
        <w:t xml:space="preserve">to its legal requirements as a </w:t>
      </w:r>
      <w:r w:rsidR="00C76820">
        <w:t>performance-based</w:t>
      </w:r>
      <w:r w:rsidR="00411DCE">
        <w:t xml:space="preserve"> code </w:t>
      </w:r>
      <w:r w:rsidR="00A44329">
        <w:t>as well as</w:t>
      </w:r>
      <w:r w:rsidR="00195671">
        <w:t xml:space="preserve"> </w:t>
      </w:r>
      <w:r w:rsidR="00195671" w:rsidRPr="00195671">
        <w:t>explicit guidance on how and when non</w:t>
      </w:r>
      <w:r w:rsidR="00195671" w:rsidRPr="00195671">
        <w:noBreakHyphen/>
        <w:t>mandatory provisions such as DTS and performance solutions</w:t>
      </w:r>
      <w:r w:rsidR="00C32F9A">
        <w:t xml:space="preserve"> can be used to demonstrate compliance</w:t>
      </w:r>
      <w:r w:rsidR="00993C40">
        <w:t>.</w:t>
      </w:r>
    </w:p>
    <w:p w14:paraId="7B7F581D" w14:textId="323F4BF2" w:rsidR="00C56134" w:rsidRPr="00C56134" w:rsidRDefault="00A117EB" w:rsidP="00C56134">
      <w:pPr>
        <w:pStyle w:val="Bullet"/>
      </w:pPr>
      <w:r>
        <w:t>Implement d</w:t>
      </w:r>
      <w:r w:rsidR="00C56134" w:rsidRPr="00C56134">
        <w:t>efault recognition of commonly used compliant performance solutions to remove the cost of repeated assessments of the same solution.</w:t>
      </w:r>
    </w:p>
    <w:p w14:paraId="35777591" w14:textId="469E8BFE" w:rsidR="00E807FD" w:rsidRDefault="00E807FD" w:rsidP="009C035E">
      <w:pPr>
        <w:pStyle w:val="Bullet"/>
        <w:numPr>
          <w:ilvl w:val="0"/>
          <w:numId w:val="0"/>
        </w:numPr>
      </w:pPr>
    </w:p>
    <w:p w14:paraId="381E274D" w14:textId="77777777" w:rsidR="00AA395D" w:rsidRDefault="00AA395D" w:rsidP="00AA395D">
      <w:pPr>
        <w:pStyle w:val="Bullet"/>
        <w:numPr>
          <w:ilvl w:val="0"/>
          <w:numId w:val="0"/>
        </w:numPr>
        <w:ind w:left="284" w:hanging="284"/>
      </w:pPr>
    </w:p>
    <w:p w14:paraId="103E22ED" w14:textId="068FF6D5" w:rsidR="00060963" w:rsidRPr="00C56134" w:rsidRDefault="00060963" w:rsidP="002D17C0">
      <w:pPr>
        <w:pStyle w:val="Bullet"/>
        <w:numPr>
          <w:ilvl w:val="0"/>
          <w:numId w:val="0"/>
        </w:numPr>
      </w:pPr>
    </w:p>
    <w:tbl>
      <w:tblPr>
        <w:tblW w:w="5000" w:type="pct"/>
        <w:shd w:val="clear" w:color="auto" w:fill="F2F2F2"/>
        <w:tblCellMar>
          <w:top w:w="227" w:type="dxa"/>
          <w:left w:w="227" w:type="dxa"/>
          <w:bottom w:w="227" w:type="dxa"/>
          <w:right w:w="227" w:type="dxa"/>
        </w:tblCellMar>
        <w:tblLook w:val="0600" w:firstRow="0" w:lastRow="0" w:firstColumn="0" w:lastColumn="0" w:noHBand="1" w:noVBand="1"/>
      </w:tblPr>
      <w:tblGrid>
        <w:gridCol w:w="9072"/>
      </w:tblGrid>
      <w:tr w:rsidR="00406325" w14:paraId="3CBE30BB" w14:textId="77777777" w:rsidTr="22D842AF">
        <w:tc>
          <w:tcPr>
            <w:tcW w:w="5000" w:type="pct"/>
            <w:shd w:val="clear" w:color="auto" w:fill="F2F2F2" w:themeFill="background1" w:themeFillShade="F2"/>
            <w:hideMark/>
          </w:tcPr>
          <w:p w14:paraId="37C8A0E4" w14:textId="3134043A" w:rsidR="00406325" w:rsidRPr="009C3551" w:rsidRDefault="001B06BF" w:rsidP="00BC775A">
            <w:pPr>
              <w:pStyle w:val="BoxHeading"/>
            </w:pPr>
            <w:r>
              <w:lastRenderedPageBreak/>
              <w:t>Snapshot</w:t>
            </w:r>
            <w:r w:rsidR="00406325">
              <w:t>:</w:t>
            </w:r>
            <w:r>
              <w:t xml:space="preserve"> </w:t>
            </w:r>
            <w:r w:rsidR="00DA3AAF">
              <w:t xml:space="preserve">NCC structure </w:t>
            </w:r>
            <w:r w:rsidR="3E5EDF9B">
              <w:t>can create</w:t>
            </w:r>
            <w:r w:rsidR="00852F76">
              <w:t xml:space="preserve"> confusion</w:t>
            </w:r>
            <w:r w:rsidR="00CC1CE2">
              <w:t xml:space="preserve"> </w:t>
            </w:r>
            <w:r w:rsidR="3E5EDF9B">
              <w:t>and inefficiency</w:t>
            </w:r>
          </w:p>
          <w:p w14:paraId="31C8FD88" w14:textId="77777777" w:rsidR="00C945A3" w:rsidRDefault="00C945A3" w:rsidP="39035996">
            <w:pPr>
              <w:pStyle w:val="Bullet"/>
              <w:numPr>
                <w:ilvl w:val="0"/>
                <w:numId w:val="0"/>
              </w:numPr>
              <w:rPr>
                <w:lang w:eastAsia="en-US"/>
              </w:rPr>
            </w:pPr>
            <w:r>
              <w:rPr>
                <w:lang w:eastAsia="en-US"/>
              </w:rPr>
              <w:t>Some builders – particularly small and medium-sized operators – report that the NCC is difficult to use in practice, as it does not align well with the day-to-day sequence of building activity.</w:t>
            </w:r>
          </w:p>
          <w:p w14:paraId="06B3291F" w14:textId="77777777" w:rsidR="00C945A3" w:rsidRDefault="00C945A3" w:rsidP="39035996">
            <w:pPr>
              <w:pStyle w:val="Bullet"/>
              <w:numPr>
                <w:ilvl w:val="0"/>
                <w:numId w:val="0"/>
              </w:numPr>
              <w:rPr>
                <w:lang w:eastAsia="en-US"/>
              </w:rPr>
            </w:pPr>
            <w:proofErr w:type="gramStart"/>
            <w:r>
              <w:rPr>
                <w:lang w:eastAsia="en-US"/>
              </w:rPr>
              <w:t>With the exception of</w:t>
            </w:r>
            <w:proofErr w:type="gramEnd"/>
            <w:r>
              <w:rPr>
                <w:lang w:eastAsia="en-US"/>
              </w:rPr>
              <w:t xml:space="preserve"> the Housing Provisions, which are organised around how a home is physically constructed, the NCC is largely structured by building classifications and technical themes, rather than by construction stages.</w:t>
            </w:r>
          </w:p>
          <w:p w14:paraId="223D2E28" w14:textId="3DE409E4" w:rsidR="00C945A3" w:rsidRDefault="00C945A3" w:rsidP="39035996">
            <w:pPr>
              <w:pStyle w:val="Bullet"/>
              <w:numPr>
                <w:ilvl w:val="0"/>
                <w:numId w:val="0"/>
              </w:numPr>
              <w:rPr>
                <w:lang w:eastAsia="en-US"/>
              </w:rPr>
            </w:pPr>
            <w:r>
              <w:rPr>
                <w:lang w:eastAsia="en-US"/>
              </w:rPr>
              <w:t xml:space="preserve">Over successive editions, new requirements have been layered onto this structure, resulting in a Code </w:t>
            </w:r>
            <w:r w:rsidR="00886E05">
              <w:rPr>
                <w:lang w:eastAsia="en-US"/>
              </w:rPr>
              <w:t>with</w:t>
            </w:r>
            <w:r>
              <w:rPr>
                <w:lang w:eastAsia="en-US"/>
              </w:rPr>
              <w:t xml:space="preserve"> increasingly complex </w:t>
            </w:r>
            <w:r w:rsidR="00886E05">
              <w:rPr>
                <w:lang w:eastAsia="en-US"/>
              </w:rPr>
              <w:t xml:space="preserve">navigation, </w:t>
            </w:r>
            <w:r>
              <w:rPr>
                <w:lang w:eastAsia="en-US"/>
              </w:rPr>
              <w:t>lots of cross-referencing and references to external Australian Standards.</w:t>
            </w:r>
          </w:p>
          <w:p w14:paraId="2020683C" w14:textId="77777777" w:rsidR="00C945A3" w:rsidRDefault="00C945A3" w:rsidP="39035996">
            <w:pPr>
              <w:pStyle w:val="Bullet"/>
              <w:numPr>
                <w:ilvl w:val="0"/>
                <w:numId w:val="0"/>
              </w:numPr>
              <w:rPr>
                <w:lang w:eastAsia="en-US"/>
              </w:rPr>
            </w:pPr>
            <w:r>
              <w:rPr>
                <w:lang w:eastAsia="en-US"/>
              </w:rPr>
              <w:t>In residential construction, work is typically delivered in clear, logical stages. However, housing requirements are now dispersed across multiple sections and volumes of the NCC, rather than presented in a single, linear pathway.</w:t>
            </w:r>
          </w:p>
          <w:p w14:paraId="164B8603" w14:textId="705C519B" w:rsidR="00C945A3" w:rsidRDefault="00C945A3" w:rsidP="39035996">
            <w:pPr>
              <w:pStyle w:val="Bullet"/>
              <w:numPr>
                <w:ilvl w:val="0"/>
                <w:numId w:val="0"/>
              </w:numPr>
              <w:rPr>
                <w:lang w:eastAsia="en-US"/>
              </w:rPr>
            </w:pPr>
            <w:r>
              <w:rPr>
                <w:lang w:eastAsia="en-US"/>
              </w:rPr>
              <w:t xml:space="preserve">For example, completing a bathroom can require builders to navigate at least six different NCC sections, in addition to energy efficiency and </w:t>
            </w:r>
            <w:r w:rsidR="001E3A27">
              <w:rPr>
                <w:lang w:eastAsia="en-US"/>
              </w:rPr>
              <w:t>liveable</w:t>
            </w:r>
            <w:r>
              <w:rPr>
                <w:lang w:eastAsia="en-US"/>
              </w:rPr>
              <w:t xml:space="preserve"> housing requirements that sit elsewhere in the Code.</w:t>
            </w:r>
          </w:p>
          <w:p w14:paraId="6A60EE1D" w14:textId="299BF161" w:rsidR="00C945A3" w:rsidRDefault="00C945A3" w:rsidP="39035996">
            <w:pPr>
              <w:pStyle w:val="Bullet"/>
              <w:numPr>
                <w:ilvl w:val="0"/>
                <w:numId w:val="0"/>
              </w:numPr>
              <w:rPr>
                <w:lang w:eastAsia="en-US"/>
              </w:rPr>
            </w:pPr>
            <w:r>
              <w:rPr>
                <w:lang w:eastAsia="en-US"/>
              </w:rPr>
              <w:t xml:space="preserve">Users must therefore interpret </w:t>
            </w:r>
            <w:r w:rsidR="00770027">
              <w:rPr>
                <w:lang w:eastAsia="en-US"/>
              </w:rPr>
              <w:t>p</w:t>
            </w:r>
            <w:r>
              <w:rPr>
                <w:lang w:eastAsia="en-US"/>
              </w:rPr>
              <w:t xml:space="preserve">erformance </w:t>
            </w:r>
            <w:r w:rsidR="00770027">
              <w:rPr>
                <w:lang w:eastAsia="en-US"/>
              </w:rPr>
              <w:t>r</w:t>
            </w:r>
            <w:r>
              <w:rPr>
                <w:lang w:eastAsia="en-US"/>
              </w:rPr>
              <w:t>equirements out of sequence, jumping between multiple NCC parts and paywalled Australian Standards to understand what applies at each stage of the build.</w:t>
            </w:r>
          </w:p>
          <w:p w14:paraId="26D10BCB" w14:textId="3D1A8151" w:rsidR="00721107" w:rsidRDefault="00C945A3" w:rsidP="39035996">
            <w:pPr>
              <w:pStyle w:val="Bullet"/>
              <w:numPr>
                <w:ilvl w:val="0"/>
                <w:numId w:val="0"/>
              </w:numPr>
              <w:rPr>
                <w:lang w:eastAsia="en-US"/>
              </w:rPr>
            </w:pPr>
            <w:r>
              <w:rPr>
                <w:lang w:eastAsia="en-US"/>
              </w:rPr>
              <w:t>This can result in</w:t>
            </w:r>
            <w:r w:rsidR="00D05E6F">
              <w:rPr>
                <w:lang w:eastAsia="en-US"/>
              </w:rPr>
              <w:t xml:space="preserve"> more</w:t>
            </w:r>
            <w:r w:rsidR="00E76482">
              <w:rPr>
                <w:lang w:eastAsia="en-US"/>
              </w:rPr>
              <w:t xml:space="preserve"> time spent </w:t>
            </w:r>
            <w:r w:rsidR="00D05E6F">
              <w:rPr>
                <w:lang w:eastAsia="en-US"/>
              </w:rPr>
              <w:t xml:space="preserve">navigating and </w:t>
            </w:r>
            <w:r w:rsidR="00E76482">
              <w:rPr>
                <w:lang w:eastAsia="en-US"/>
              </w:rPr>
              <w:t xml:space="preserve">interpreting </w:t>
            </w:r>
            <w:r>
              <w:rPr>
                <w:lang w:eastAsia="en-US"/>
              </w:rPr>
              <w:t xml:space="preserve">the Code and </w:t>
            </w:r>
            <w:r w:rsidR="00E76482">
              <w:rPr>
                <w:lang w:eastAsia="en-US"/>
              </w:rPr>
              <w:t xml:space="preserve">greater reliance on </w:t>
            </w:r>
            <w:r>
              <w:rPr>
                <w:lang w:eastAsia="en-US"/>
              </w:rPr>
              <w:t xml:space="preserve">external </w:t>
            </w:r>
            <w:r w:rsidR="00E76482">
              <w:rPr>
                <w:lang w:eastAsia="en-US"/>
              </w:rPr>
              <w:t xml:space="preserve">consultants </w:t>
            </w:r>
            <w:r>
              <w:rPr>
                <w:lang w:eastAsia="en-US"/>
              </w:rPr>
              <w:t>– adding to</w:t>
            </w:r>
            <w:r w:rsidR="00E76482">
              <w:rPr>
                <w:lang w:eastAsia="en-US"/>
              </w:rPr>
              <w:t xml:space="preserve"> </w:t>
            </w:r>
            <w:r w:rsidR="00191566">
              <w:rPr>
                <w:lang w:eastAsia="en-US"/>
              </w:rPr>
              <w:t xml:space="preserve">the </w:t>
            </w:r>
            <w:r>
              <w:rPr>
                <w:lang w:eastAsia="en-US"/>
              </w:rPr>
              <w:t>time and cost of building</w:t>
            </w:r>
            <w:r w:rsidR="00E76482">
              <w:rPr>
                <w:lang w:eastAsia="en-US"/>
              </w:rPr>
              <w:t>.</w:t>
            </w:r>
          </w:p>
        </w:tc>
      </w:tr>
      <w:tr w:rsidR="003D0572" w14:paraId="4CAA48A4" w14:textId="77777777" w:rsidTr="22D842AF">
        <w:tc>
          <w:tcPr>
            <w:tcW w:w="5000" w:type="pct"/>
            <w:shd w:val="clear" w:color="auto" w:fill="F2F2F2" w:themeFill="background1" w:themeFillShade="F2"/>
            <w:hideMark/>
          </w:tcPr>
          <w:p w14:paraId="0F86842C" w14:textId="2F48F2DA" w:rsidR="003D0572" w:rsidRDefault="003D0572" w:rsidP="0071418A">
            <w:pPr>
              <w:pStyle w:val="BoxHeading"/>
              <w:rPr>
                <w:sz w:val="28"/>
                <w:szCs w:val="28"/>
                <w:lang w:eastAsia="en-US"/>
              </w:rPr>
            </w:pPr>
            <w:r w:rsidRPr="00A70D90">
              <w:rPr>
                <w:sz w:val="28"/>
                <w:szCs w:val="28"/>
                <w:lang w:eastAsia="en-US"/>
              </w:rPr>
              <w:lastRenderedPageBreak/>
              <w:t xml:space="preserve">Case study: </w:t>
            </w:r>
            <w:r w:rsidR="00A70D90" w:rsidRPr="008F1556">
              <w:rPr>
                <w:sz w:val="28"/>
                <w:szCs w:val="28"/>
                <w:lang w:eastAsia="en-US"/>
              </w:rPr>
              <w:t>The opportunity of d</w:t>
            </w:r>
            <w:r w:rsidRPr="00A70D90">
              <w:rPr>
                <w:sz w:val="28"/>
                <w:szCs w:val="28"/>
                <w:lang w:eastAsia="en-US"/>
              </w:rPr>
              <w:t>igital tool</w:t>
            </w:r>
            <w:r w:rsidR="00A70D90" w:rsidRPr="00A70D90">
              <w:rPr>
                <w:sz w:val="28"/>
                <w:szCs w:val="28"/>
                <w:lang w:eastAsia="en-US"/>
              </w:rPr>
              <w:t>s</w:t>
            </w:r>
          </w:p>
          <w:p w14:paraId="3BEB766C" w14:textId="1C5C73BF" w:rsidR="00867CCD" w:rsidRPr="00867CCD" w:rsidRDefault="00867CCD" w:rsidP="0071418A">
            <w:pPr>
              <w:pStyle w:val="Bullet"/>
            </w:pPr>
            <w:r w:rsidRPr="008F1556">
              <w:t>Digital tools make regulation usable</w:t>
            </w:r>
            <w:r w:rsidRPr="00867CCD">
              <w:t xml:space="preserve"> by tailoring requirements to the user and task, improving search</w:t>
            </w:r>
            <w:r w:rsidR="003A5D4C">
              <w:t xml:space="preserve"> </w:t>
            </w:r>
            <w:r w:rsidR="0052699C">
              <w:t>functions</w:t>
            </w:r>
            <w:r w:rsidRPr="00867CCD">
              <w:t xml:space="preserve">, and showing how provisions and standards fit together. </w:t>
            </w:r>
            <w:r w:rsidRPr="008F1556">
              <w:t>They support consistency and reduce risk</w:t>
            </w:r>
            <w:r w:rsidRPr="00867CCD">
              <w:t xml:space="preserve"> by </w:t>
            </w:r>
            <w:r w:rsidR="00BB1252">
              <w:t>sourcing</w:t>
            </w:r>
            <w:r w:rsidRPr="00867CCD">
              <w:t xml:space="preserve"> guidance, examples and prompts at the point of need. </w:t>
            </w:r>
          </w:p>
          <w:p w14:paraId="1A104377" w14:textId="4003A779" w:rsidR="001F72BC" w:rsidRDefault="00867CCD" w:rsidP="00867CCD">
            <w:pPr>
              <w:pStyle w:val="Bullet"/>
            </w:pPr>
            <w:r>
              <w:t>However</w:t>
            </w:r>
            <w:r w:rsidR="00097B7B">
              <w:t>,</w:t>
            </w:r>
            <w:r>
              <w:t xml:space="preserve"> to be </w:t>
            </w:r>
            <w:r w:rsidR="00925CB6">
              <w:t xml:space="preserve">useful, these tools </w:t>
            </w:r>
            <w:r w:rsidRPr="008F1556">
              <w:t>depend on</w:t>
            </w:r>
            <w:r w:rsidR="00925CB6">
              <w:t xml:space="preserve"> </w:t>
            </w:r>
            <w:r w:rsidRPr="00867CCD">
              <w:t xml:space="preserve">clear, consistent, modular </w:t>
            </w:r>
            <w:r w:rsidR="00925CB6">
              <w:t>regulation and requirements</w:t>
            </w:r>
            <w:r w:rsidRPr="00867CCD">
              <w:t xml:space="preserve"> with explicit intent and outcomes</w:t>
            </w:r>
            <w:r w:rsidR="00925CB6">
              <w:t xml:space="preserve">. </w:t>
            </w:r>
          </w:p>
          <w:p w14:paraId="70307DA2" w14:textId="6F31B8C9" w:rsidR="008922EB" w:rsidRPr="008922EB" w:rsidRDefault="001F72BC" w:rsidP="0071418A">
            <w:pPr>
              <w:pStyle w:val="Bullet"/>
            </w:pPr>
            <w:r>
              <w:t xml:space="preserve">Digital </w:t>
            </w:r>
            <w:r w:rsidR="00867CCD" w:rsidRPr="00867CCD">
              <w:t xml:space="preserve">tools </w:t>
            </w:r>
            <w:r>
              <w:t>canno</w:t>
            </w:r>
            <w:r w:rsidR="00867CCD" w:rsidRPr="00867CCD">
              <w:t>t compensate for poor design</w:t>
            </w:r>
            <w:r>
              <w:t xml:space="preserve"> and</w:t>
            </w:r>
            <w:r w:rsidR="008922EB" w:rsidRPr="008F1556">
              <w:t xml:space="preserve"> regulation must be digitally ready</w:t>
            </w:r>
            <w:r w:rsidR="001F1925">
              <w:t>,</w:t>
            </w:r>
            <w:r w:rsidR="008922EB" w:rsidRPr="008922EB">
              <w:t xml:space="preserve"> machine</w:t>
            </w:r>
            <w:r w:rsidR="008922EB" w:rsidRPr="008922EB">
              <w:noBreakHyphen/>
              <w:t>readable, well</w:t>
            </w:r>
            <w:r w:rsidR="008922EB" w:rsidRPr="008922EB">
              <w:noBreakHyphen/>
              <w:t xml:space="preserve">defined, </w:t>
            </w:r>
            <w:r w:rsidR="00781957">
              <w:t xml:space="preserve">accessible (including not behind paywalls), </w:t>
            </w:r>
            <w:r w:rsidR="008922EB" w:rsidRPr="008922EB">
              <w:t>supported by clear guidance, and designed around how users apply it in practice.</w:t>
            </w:r>
          </w:p>
          <w:p w14:paraId="0F509130" w14:textId="7C06443A" w:rsidR="008922EB" w:rsidRPr="008922EB" w:rsidRDefault="008922EB" w:rsidP="008922EB">
            <w:pPr>
              <w:pStyle w:val="Bullet"/>
            </w:pPr>
            <w:r w:rsidRPr="008F1556">
              <w:t xml:space="preserve">For the NCC, </w:t>
            </w:r>
            <w:r w:rsidR="00781957">
              <w:t>digital and AI-enabled tools</w:t>
            </w:r>
            <w:r w:rsidRPr="008F1556">
              <w:t xml:space="preserve"> present a major opportunity</w:t>
            </w:r>
            <w:r w:rsidRPr="008922EB">
              <w:t xml:space="preserve"> to lift usability and compliance by moving to a truly digital</w:t>
            </w:r>
            <w:r w:rsidRPr="008922EB">
              <w:noBreakHyphen/>
              <w:t>first Code</w:t>
            </w:r>
            <w:r w:rsidR="00267CF5">
              <w:t xml:space="preserve"> – </w:t>
            </w:r>
            <w:r w:rsidRPr="008922EB">
              <w:t xml:space="preserve">improving navigation across </w:t>
            </w:r>
            <w:r w:rsidR="0031174D">
              <w:t>p</w:t>
            </w:r>
            <w:r w:rsidRPr="008922EB">
              <w:t>erformance</w:t>
            </w:r>
            <w:r w:rsidR="0031174D">
              <w:t xml:space="preserve"> requirements</w:t>
            </w:r>
            <w:r w:rsidRPr="008922EB">
              <w:t xml:space="preserve"> and DTS pathways, reducing misinterpretation, and supporting more consistent national application.</w:t>
            </w:r>
          </w:p>
          <w:p w14:paraId="03FBE29F" w14:textId="1B23AC13" w:rsidR="00086889" w:rsidRDefault="00086889" w:rsidP="00504802">
            <w:pPr>
              <w:pStyle w:val="Bullet"/>
              <w:rPr>
                <w:lang w:eastAsia="en-US"/>
              </w:rPr>
            </w:pPr>
            <w:proofErr w:type="gramStart"/>
            <w:r>
              <w:t>A number of</w:t>
            </w:r>
            <w:proofErr w:type="gramEnd"/>
            <w:r>
              <w:t xml:space="preserve"> </w:t>
            </w:r>
            <w:r w:rsidR="006B6E1D">
              <w:t>digital tools already exist to support NCC users:</w:t>
            </w:r>
          </w:p>
          <w:p w14:paraId="6CD1C58C" w14:textId="2ADF7336" w:rsidR="00C640AD" w:rsidRDefault="00504802" w:rsidP="00C640AD">
            <w:pPr>
              <w:pStyle w:val="Dash"/>
              <w:rPr>
                <w:lang w:eastAsia="en-US"/>
              </w:rPr>
            </w:pPr>
            <w:r w:rsidRPr="00F44258">
              <w:t xml:space="preserve">The </w:t>
            </w:r>
            <w:hyperlink r:id="rId28" w:history="1">
              <w:r w:rsidRPr="008F1556">
                <w:rPr>
                  <w:rStyle w:val="Hyperlink"/>
                </w:rPr>
                <w:t>Building Tools</w:t>
              </w:r>
            </w:hyperlink>
            <w:r w:rsidRPr="00F44258">
              <w:t xml:space="preserve"> </w:t>
            </w:r>
            <w:r w:rsidR="00C640AD">
              <w:t>app</w:t>
            </w:r>
            <w:r w:rsidRPr="00F44258">
              <w:t xml:space="preserve"> translat</w:t>
            </w:r>
            <w:r w:rsidR="00F44258">
              <w:t>es</w:t>
            </w:r>
            <w:r w:rsidRPr="00F44258">
              <w:t xml:space="preserve"> NCC Housing</w:t>
            </w:r>
            <w:r w:rsidRPr="00BC1ABB">
              <w:t xml:space="preserve"> requirements into structured, build</w:t>
            </w:r>
            <w:r w:rsidRPr="00BC1ABB">
              <w:noBreakHyphen/>
              <w:t>stage guidance</w:t>
            </w:r>
            <w:r w:rsidR="00C640AD">
              <w:t xml:space="preserve"> via</w:t>
            </w:r>
            <w:r w:rsidRPr="00BC1ABB">
              <w:t xml:space="preserve"> </w:t>
            </w:r>
            <w:r w:rsidR="00C640AD" w:rsidRPr="00C640AD">
              <w:rPr>
                <w:lang w:eastAsia="en-US"/>
              </w:rPr>
              <w:t>interactiv</w:t>
            </w:r>
            <w:r w:rsidR="00C640AD">
              <w:rPr>
                <w:lang w:eastAsia="en-US"/>
              </w:rPr>
              <w:t xml:space="preserve">e </w:t>
            </w:r>
            <w:r w:rsidR="00C640AD" w:rsidRPr="00C640AD">
              <w:rPr>
                <w:lang w:eastAsia="en-US"/>
              </w:rPr>
              <w:t>graphi</w:t>
            </w:r>
            <w:r w:rsidR="00C640AD">
              <w:rPr>
                <w:lang w:eastAsia="en-US"/>
              </w:rPr>
              <w:t>cal images</w:t>
            </w:r>
            <w:r w:rsidR="00C640AD" w:rsidRPr="00C640AD">
              <w:rPr>
                <w:lang w:eastAsia="en-US"/>
              </w:rPr>
              <w:t xml:space="preserve">. It </w:t>
            </w:r>
            <w:r w:rsidR="008F5743">
              <w:rPr>
                <w:lang w:eastAsia="en-US"/>
              </w:rPr>
              <w:t xml:space="preserve">supports builders and designers to </w:t>
            </w:r>
            <w:r w:rsidR="002116F9">
              <w:rPr>
                <w:lang w:eastAsia="en-US"/>
              </w:rPr>
              <w:t xml:space="preserve">be compliant </w:t>
            </w:r>
            <w:r w:rsidR="008F5743">
              <w:rPr>
                <w:lang w:eastAsia="en-US"/>
              </w:rPr>
              <w:t xml:space="preserve">with NCC 2022 </w:t>
            </w:r>
            <w:r w:rsidR="002116F9">
              <w:rPr>
                <w:lang w:eastAsia="en-US"/>
              </w:rPr>
              <w:t>with the aim to</w:t>
            </w:r>
            <w:r w:rsidR="00C640AD" w:rsidRPr="00C640AD">
              <w:rPr>
                <w:lang w:eastAsia="en-US"/>
              </w:rPr>
              <w:t xml:space="preserve"> reduc</w:t>
            </w:r>
            <w:r w:rsidR="002116F9">
              <w:rPr>
                <w:lang w:eastAsia="en-US"/>
              </w:rPr>
              <w:t>e</w:t>
            </w:r>
            <w:r w:rsidR="00C640AD" w:rsidRPr="00C640AD">
              <w:rPr>
                <w:lang w:eastAsia="en-US"/>
              </w:rPr>
              <w:t xml:space="preserve"> costly errors</w:t>
            </w:r>
            <w:r w:rsidR="002116F9">
              <w:rPr>
                <w:lang w:eastAsia="en-US"/>
              </w:rPr>
              <w:t xml:space="preserve"> and defects in construction</w:t>
            </w:r>
            <w:r w:rsidR="00C640AD" w:rsidRPr="00C640AD">
              <w:rPr>
                <w:lang w:eastAsia="en-US"/>
              </w:rPr>
              <w:t>.</w:t>
            </w:r>
          </w:p>
          <w:p w14:paraId="28B25663" w14:textId="738572C7" w:rsidR="004963C5" w:rsidRDefault="7A4E13A4" w:rsidP="00B261B6">
            <w:pPr>
              <w:pStyle w:val="Dash"/>
              <w:rPr>
                <w:lang w:eastAsia="en-US"/>
              </w:rPr>
            </w:pPr>
            <w:hyperlink r:id="rId29">
              <w:proofErr w:type="spellStart"/>
              <w:r w:rsidRPr="22D842AF">
                <w:rPr>
                  <w:rStyle w:val="Hyperlink"/>
                  <w:lang w:eastAsia="en-US"/>
                </w:rPr>
                <w:t>AskNCC</w:t>
              </w:r>
              <w:proofErr w:type="spellEnd"/>
            </w:hyperlink>
            <w:r w:rsidR="004963C5" w:rsidRPr="004963C5">
              <w:rPr>
                <w:lang w:eastAsia="en-US"/>
              </w:rPr>
              <w:t xml:space="preserve"> is an AI Assistant that can instantly draw out specific information from </w:t>
            </w:r>
            <w:r w:rsidRPr="230310EC">
              <w:rPr>
                <w:lang w:eastAsia="en-US"/>
              </w:rPr>
              <w:t>NCC</w:t>
            </w:r>
            <w:r w:rsidR="5838D16D" w:rsidRPr="230310EC">
              <w:rPr>
                <w:lang w:eastAsia="en-US"/>
              </w:rPr>
              <w:t xml:space="preserve"> </w:t>
            </w:r>
            <w:r w:rsidRPr="230310EC">
              <w:rPr>
                <w:lang w:eastAsia="en-US"/>
              </w:rPr>
              <w:t>as</w:t>
            </w:r>
            <w:r w:rsidRPr="22D842AF">
              <w:rPr>
                <w:lang w:eastAsia="en-US"/>
              </w:rPr>
              <w:t xml:space="preserve"> required.</w:t>
            </w:r>
            <w:r w:rsidR="004963C5" w:rsidRPr="004963C5">
              <w:rPr>
                <w:lang w:eastAsia="en-US"/>
              </w:rPr>
              <w:t xml:space="preserve"> This solution provides users with immediate access to relevant construction specifications and requirements in a concise and condensed format.</w:t>
            </w:r>
          </w:p>
          <w:p w14:paraId="36894F0C" w14:textId="17746CC5" w:rsidR="00276CC2" w:rsidRDefault="0081057E" w:rsidP="008F1556">
            <w:pPr>
              <w:pStyle w:val="Dash"/>
              <w:rPr>
                <w:lang w:eastAsia="en-US"/>
              </w:rPr>
            </w:pPr>
            <w:hyperlink r:id="rId30" w:history="1">
              <w:proofErr w:type="spellStart"/>
              <w:r w:rsidRPr="0081057E">
                <w:rPr>
                  <w:rStyle w:val="Hyperlink"/>
                  <w:lang w:eastAsia="en-US"/>
                </w:rPr>
                <w:t>My</w:t>
              </w:r>
              <w:r w:rsidR="00AF541C" w:rsidRPr="008F1556">
                <w:rPr>
                  <w:rStyle w:val="Hyperlink"/>
                </w:rPr>
                <w:t>Codey</w:t>
              </w:r>
              <w:proofErr w:type="spellEnd"/>
            </w:hyperlink>
            <w:r w:rsidR="00AF541C" w:rsidRPr="008F1556">
              <w:rPr>
                <w:lang w:eastAsia="en-US"/>
              </w:rPr>
              <w:t xml:space="preserve"> is an AI</w:t>
            </w:r>
            <w:r w:rsidR="00267CF5">
              <w:rPr>
                <w:lang w:eastAsia="en-US"/>
              </w:rPr>
              <w:t>-</w:t>
            </w:r>
            <w:r w:rsidR="00AF541C" w:rsidRPr="008F1556">
              <w:rPr>
                <w:lang w:eastAsia="en-US"/>
              </w:rPr>
              <w:t>enabled, web</w:t>
            </w:r>
            <w:r w:rsidR="00AF541C" w:rsidRPr="008F1556">
              <w:rPr>
                <w:lang w:eastAsia="en-US"/>
              </w:rPr>
              <w:noBreakHyphen/>
              <w:t xml:space="preserve">based tool for the Australian construction sector that provides information on </w:t>
            </w:r>
            <w:r w:rsidR="00915946">
              <w:rPr>
                <w:lang w:eastAsia="en-US"/>
              </w:rPr>
              <w:t>construction and WHS</w:t>
            </w:r>
            <w:r w:rsidR="00AF541C" w:rsidRPr="008F1556">
              <w:rPr>
                <w:lang w:eastAsia="en-US"/>
              </w:rPr>
              <w:t xml:space="preserve"> obligations </w:t>
            </w:r>
            <w:r w:rsidR="00D06C01" w:rsidRPr="00986C8A">
              <w:rPr>
                <w:lang w:eastAsia="en-US"/>
              </w:rPr>
              <w:t xml:space="preserve">drawing on </w:t>
            </w:r>
            <w:r w:rsidR="00986C8A" w:rsidRPr="00986C8A">
              <w:rPr>
                <w:lang w:eastAsia="en-US"/>
              </w:rPr>
              <w:t xml:space="preserve">jurisdiction-specific </w:t>
            </w:r>
            <w:r w:rsidR="00986C8A" w:rsidRPr="008F1556">
              <w:rPr>
                <w:lang w:eastAsia="en-US"/>
              </w:rPr>
              <w:t xml:space="preserve">legislation. </w:t>
            </w:r>
            <w:r w:rsidR="00AF541C" w:rsidRPr="008F1556">
              <w:rPr>
                <w:lang w:eastAsia="en-US"/>
              </w:rPr>
              <w:t>It allows users to select a state or territory and ask plain</w:t>
            </w:r>
            <w:r w:rsidR="00AF541C" w:rsidRPr="008F1556">
              <w:rPr>
                <w:lang w:eastAsia="en-US"/>
              </w:rPr>
              <w:noBreakHyphen/>
              <w:t xml:space="preserve">language questions to receive guidance to support compliance and understanding of requirements. </w:t>
            </w:r>
          </w:p>
        </w:tc>
      </w:tr>
    </w:tbl>
    <w:p w14:paraId="2D88E468" w14:textId="77777777" w:rsidR="00742CF4" w:rsidRDefault="00742CF4" w:rsidP="008F1556">
      <w:pPr>
        <w:rPr>
          <w:rFonts w:ascii="Calibri" w:hAnsi="Calibri" w:cs="Arial"/>
          <w:color w:val="2C384A" w:themeColor="accent1"/>
          <w:kern w:val="32"/>
          <w:sz w:val="36"/>
          <w:szCs w:val="28"/>
        </w:rPr>
      </w:pPr>
      <w:r>
        <w:br w:type="page"/>
      </w:r>
    </w:p>
    <w:p w14:paraId="58AEAAF1" w14:textId="6E0DB377" w:rsidR="00994162" w:rsidRPr="00C06680" w:rsidRDefault="00994162" w:rsidP="00994162">
      <w:pPr>
        <w:pStyle w:val="Heading2"/>
      </w:pPr>
      <w:bookmarkStart w:id="38" w:name="_Toc227834514"/>
      <w:bookmarkStart w:id="39" w:name="_Toc228371013"/>
      <w:r>
        <w:lastRenderedPageBreak/>
        <w:t>Reform direction 2: Recommit to a national market</w:t>
      </w:r>
      <w:bookmarkEnd w:id="38"/>
      <w:bookmarkEnd w:id="39"/>
    </w:p>
    <w:p w14:paraId="2C299745" w14:textId="77777777" w:rsidR="006820B9" w:rsidRDefault="006820B9" w:rsidP="006820B9">
      <w:pPr>
        <w:pStyle w:val="Heading3"/>
      </w:pPr>
      <w:bookmarkStart w:id="40" w:name="_Toc227680343"/>
      <w:bookmarkStart w:id="41" w:name="_Toc227680402"/>
      <w:bookmarkStart w:id="42" w:name="_Toc227765689"/>
      <w:r>
        <w:t>What we’ve heard</w:t>
      </w:r>
    </w:p>
    <w:bookmarkEnd w:id="40"/>
    <w:bookmarkEnd w:id="41"/>
    <w:bookmarkEnd w:id="42"/>
    <w:p w14:paraId="17B73146" w14:textId="3FEFDFE4" w:rsidR="008E4AFD" w:rsidRDefault="008E4AFD" w:rsidP="008E4AFD">
      <w:pPr>
        <w:pStyle w:val="Bullet"/>
      </w:pPr>
      <w:r>
        <w:t xml:space="preserve">Variations to the </w:t>
      </w:r>
      <w:r w:rsidR="006C72EA">
        <w:t>C</w:t>
      </w:r>
      <w:r>
        <w:t xml:space="preserve">ode and its interpretation at the state and local levels </w:t>
      </w:r>
      <w:r w:rsidR="005E7DC3">
        <w:t xml:space="preserve">reduce national consistency and </w:t>
      </w:r>
      <w:r w:rsidR="005E7DC3" w:rsidRPr="000D095B">
        <w:t>increas</w:t>
      </w:r>
      <w:r w:rsidR="005E7DC3">
        <w:t xml:space="preserve">e </w:t>
      </w:r>
      <w:r w:rsidR="005E7DC3" w:rsidRPr="000D095B">
        <w:t>complexity, compliance risk and costs</w:t>
      </w:r>
      <w:r w:rsidR="00CE436A">
        <w:t xml:space="preserve"> for users</w:t>
      </w:r>
      <w:r w:rsidR="005E7DC3">
        <w:t xml:space="preserve">, particularly for </w:t>
      </w:r>
      <w:r w:rsidR="005E7DC3" w:rsidRPr="000D095B">
        <w:t xml:space="preserve">those operating across borders. </w:t>
      </w:r>
    </w:p>
    <w:p w14:paraId="02E3E3A5" w14:textId="44AF64B4" w:rsidR="005E7DC3" w:rsidRPr="000D095B" w:rsidRDefault="00CE436A" w:rsidP="008E4AFD">
      <w:pPr>
        <w:pStyle w:val="Bullet"/>
      </w:pPr>
      <w:r>
        <w:t>V</w:t>
      </w:r>
      <w:r w:rsidR="005E7DC3" w:rsidRPr="000D095B">
        <w:t>ariations undermine economies of scale, constrain productivity gains, and limit the effectiveness of innovation, modern construction methods and digital compliance tools.</w:t>
      </w:r>
    </w:p>
    <w:p w14:paraId="1F7DCC43" w14:textId="1F383C86" w:rsidR="00994162" w:rsidRPr="00AB3CE8" w:rsidRDefault="00994162" w:rsidP="00865DD7">
      <w:pPr>
        <w:pStyle w:val="Bullet"/>
      </w:pPr>
      <w:r w:rsidRPr="00994162">
        <w:t>Varie</w:t>
      </w:r>
      <w:r>
        <w:t>d NCC implementation schedules create uncertainty for industry</w:t>
      </w:r>
      <w:r w:rsidR="00CE1E72">
        <w:t>.</w:t>
      </w:r>
    </w:p>
    <w:p w14:paraId="5BA1B416" w14:textId="54AC53CB" w:rsidR="006B2098" w:rsidRDefault="006B2098" w:rsidP="00865DD7">
      <w:pPr>
        <w:pStyle w:val="Bullet"/>
      </w:pPr>
      <w:r w:rsidRPr="006B2098">
        <w:t xml:space="preserve">Improving national consistency of the </w:t>
      </w:r>
      <w:r>
        <w:t>NCC</w:t>
      </w:r>
      <w:r w:rsidRPr="006B2098">
        <w:t xml:space="preserve"> </w:t>
      </w:r>
      <w:r>
        <w:t>will</w:t>
      </w:r>
      <w:r w:rsidRPr="006B2098">
        <w:t xml:space="preserve"> help stimulate productivity growth in the construction sector, boost housing supply, and reduce housing prices over the medium-term.</w:t>
      </w:r>
      <w:r w:rsidR="00F61A04">
        <w:t xml:space="preserve"> </w:t>
      </w:r>
    </w:p>
    <w:p w14:paraId="5F954BB5" w14:textId="77777777" w:rsidR="005621BA" w:rsidRPr="00C6010A" w:rsidRDefault="005621BA" w:rsidP="005621BA">
      <w:pPr>
        <w:pStyle w:val="Heading3"/>
      </w:pPr>
      <w:r w:rsidRPr="009C035E">
        <w:t>Immediate actions</w:t>
      </w:r>
      <w:r w:rsidRPr="00C6010A">
        <w:t xml:space="preserve"> to consider</w:t>
      </w:r>
    </w:p>
    <w:p w14:paraId="78A406FB" w14:textId="791D1059" w:rsidR="002F49A1" w:rsidRPr="002F49A1" w:rsidRDefault="000A53C6" w:rsidP="002F49A1">
      <w:pPr>
        <w:pStyle w:val="Bullet"/>
      </w:pPr>
      <w:r w:rsidRPr="00C6010A">
        <w:t>S</w:t>
      </w:r>
      <w:r w:rsidR="002F49A1" w:rsidRPr="00C6010A">
        <w:t>tates</w:t>
      </w:r>
      <w:r w:rsidR="002F49A1" w:rsidRPr="002F49A1">
        <w:t xml:space="preserve"> and territories </w:t>
      </w:r>
      <w:r w:rsidRPr="00C6010A">
        <w:t xml:space="preserve">recommit </w:t>
      </w:r>
      <w:r w:rsidR="002F49A1" w:rsidRPr="002F49A1">
        <w:t xml:space="preserve">to </w:t>
      </w:r>
      <w:r w:rsidR="0028600C">
        <w:t>reduce</w:t>
      </w:r>
      <w:r w:rsidR="002F49A1" w:rsidRPr="002F49A1">
        <w:t xml:space="preserve"> variations and uphold nationally agreed timeframes.</w:t>
      </w:r>
      <w:r w:rsidR="00277E1F" w:rsidRPr="00C6010A">
        <w:t xml:space="preserve"> </w:t>
      </w:r>
    </w:p>
    <w:p w14:paraId="05FD7D3A" w14:textId="0FCAD385" w:rsidR="00994162" w:rsidRPr="00AF7967" w:rsidRDefault="00994162" w:rsidP="00994162">
      <w:pPr>
        <w:pStyle w:val="Bullet"/>
      </w:pPr>
      <w:r w:rsidRPr="00C6010A">
        <w:t>Improve</w:t>
      </w:r>
      <w:r w:rsidRPr="00994162">
        <w:t xml:space="preserve"> data sharing across jurisdictions to create feedback loops on the use </w:t>
      </w:r>
      <w:r w:rsidR="00AD061D">
        <w:t xml:space="preserve">of </w:t>
      </w:r>
      <w:r w:rsidRPr="00994162">
        <w:t>performance solutions, complaints</w:t>
      </w:r>
      <w:r w:rsidRPr="00AF7967">
        <w:t>, evidence of defects and emerging risks.</w:t>
      </w:r>
    </w:p>
    <w:p w14:paraId="68B9C7ED" w14:textId="77777777" w:rsidR="00994162" w:rsidRDefault="00994162" w:rsidP="00994162">
      <w:pPr>
        <w:pStyle w:val="Heading3"/>
      </w:pPr>
      <w:bookmarkStart w:id="43" w:name="_Toc227680345"/>
      <w:bookmarkStart w:id="44" w:name="_Toc227680404"/>
      <w:bookmarkStart w:id="45" w:name="_Toc227765691"/>
      <w:r>
        <w:t>Issues requiring further exploration</w:t>
      </w:r>
      <w:bookmarkEnd w:id="43"/>
      <w:bookmarkEnd w:id="44"/>
      <w:bookmarkEnd w:id="45"/>
    </w:p>
    <w:p w14:paraId="0B8AF9E6" w14:textId="77777777" w:rsidR="00E728CC" w:rsidRDefault="00E728CC" w:rsidP="00E728CC">
      <w:pPr>
        <w:pStyle w:val="Bullet"/>
      </w:pPr>
      <w:r>
        <w:t>Introduce m</w:t>
      </w:r>
      <w:r w:rsidR="00994162" w:rsidRPr="00994162">
        <w:t>echanisms to maintain national consistency over time, including limits on variations and options for stronger national legal or governance models.</w:t>
      </w:r>
      <w:r w:rsidR="00277E1F">
        <w:t xml:space="preserve"> </w:t>
      </w:r>
    </w:p>
    <w:p w14:paraId="3A37AF3B" w14:textId="202376A2" w:rsidR="00994162" w:rsidRPr="00994162" w:rsidRDefault="00277E1F" w:rsidP="00E728CC">
      <w:pPr>
        <w:pStyle w:val="Bullet"/>
      </w:pPr>
      <w:r>
        <w:t xml:space="preserve">While a new Intergovernmental Agreement </w:t>
      </w:r>
      <w:r w:rsidR="004801D0">
        <w:t xml:space="preserve">(IGA) </w:t>
      </w:r>
      <w:r>
        <w:t xml:space="preserve">is </w:t>
      </w:r>
      <w:r w:rsidR="000A02A5" w:rsidRPr="000A02A5">
        <w:t>in</w:t>
      </w:r>
      <w:r w:rsidR="0037696E">
        <w:t xml:space="preserve"> final </w:t>
      </w:r>
      <w:r w:rsidR="000A02A5" w:rsidRPr="000A02A5">
        <w:t xml:space="preserve">jurisdictional </w:t>
      </w:r>
      <w:r w:rsidR="0037696E">
        <w:t>review and sign</w:t>
      </w:r>
      <w:r w:rsidR="000A02A5" w:rsidRPr="00E728CC">
        <w:rPr>
          <w:rFonts w:ascii="Cambria Math" w:hAnsi="Cambria Math" w:cs="Cambria Math"/>
        </w:rPr>
        <w:t>-</w:t>
      </w:r>
      <w:r w:rsidR="0037696E">
        <w:t xml:space="preserve">off, there is an opportunity </w:t>
      </w:r>
      <w:r w:rsidR="007B356B" w:rsidRPr="007B356B">
        <w:t xml:space="preserve">to </w:t>
      </w:r>
      <w:r w:rsidR="0037696E">
        <w:t xml:space="preserve">consider </w:t>
      </w:r>
      <w:r w:rsidR="004801D0">
        <w:t xml:space="preserve">future governance </w:t>
      </w:r>
      <w:r w:rsidR="007B356B" w:rsidRPr="007B356B">
        <w:t>arrangements</w:t>
      </w:r>
      <w:r w:rsidR="000A02A5" w:rsidRPr="000A02A5">
        <w:t>,</w:t>
      </w:r>
      <w:r w:rsidR="00FE154C">
        <w:t xml:space="preserve"> including how </w:t>
      </w:r>
      <w:r w:rsidR="00C16D37">
        <w:t>national harmonisation</w:t>
      </w:r>
      <w:r w:rsidR="000A02A5" w:rsidRPr="000A02A5">
        <w:t xml:space="preserve"> will be maintained in the timing and implementation of the Code by states and territories</w:t>
      </w:r>
      <w:r w:rsidR="00C16D37">
        <w:t>.</w:t>
      </w:r>
    </w:p>
    <w:p w14:paraId="629D58A3" w14:textId="77777777" w:rsidR="00A8508F" w:rsidRDefault="00A8508F" w:rsidP="00010EFC">
      <w:pPr>
        <w:pStyle w:val="Bullet"/>
      </w:pPr>
      <w:r>
        <w:t xml:space="preserve">Improve </w:t>
      </w:r>
      <w:r w:rsidRPr="00994162">
        <w:t xml:space="preserve">transparency around why state </w:t>
      </w:r>
      <w:r>
        <w:t xml:space="preserve">and territory </w:t>
      </w:r>
      <w:r w:rsidRPr="00994162">
        <w:t>variations arise and whether their impacts are proportionate</w:t>
      </w:r>
      <w:r>
        <w:t>, with agreed handling or criteria for unavoidable variations (e.g. based on geography and effects of climate).</w:t>
      </w:r>
    </w:p>
    <w:p w14:paraId="495E4187" w14:textId="77777777" w:rsidR="00A8508F" w:rsidRPr="00994162" w:rsidRDefault="00A8508F" w:rsidP="00010EFC">
      <w:pPr>
        <w:pStyle w:val="Bullet"/>
      </w:pPr>
      <w:r>
        <w:t>Increase n</w:t>
      </w:r>
      <w:r w:rsidRPr="00994162">
        <w:t xml:space="preserve">ational consistency on compliance </w:t>
      </w:r>
      <w:r>
        <w:t>demonstration (</w:t>
      </w:r>
      <w:r w:rsidRPr="00994162">
        <w:t>e.g. agreed set of compliance gates</w:t>
      </w:r>
      <w:r>
        <w:t>).</w:t>
      </w:r>
      <w:r w:rsidRPr="00994162">
        <w:t xml:space="preserve"> </w:t>
      </w:r>
    </w:p>
    <w:p w14:paraId="4004A97E" w14:textId="77777777" w:rsidR="00A8508F" w:rsidRDefault="00A8508F" w:rsidP="00A8508F">
      <w:pPr>
        <w:pStyle w:val="Bullet"/>
      </w:pPr>
      <w:r>
        <w:t xml:space="preserve">Improve </w:t>
      </w:r>
      <w:r w:rsidRPr="00994162">
        <w:t>clarity</w:t>
      </w:r>
      <w:r>
        <w:t xml:space="preserve"> on the evidence required for performance solutions.</w:t>
      </w:r>
    </w:p>
    <w:tbl>
      <w:tblPr>
        <w:tblW w:w="5000" w:type="pct"/>
        <w:shd w:val="clear" w:color="auto" w:fill="F2F2F2"/>
        <w:tblCellMar>
          <w:top w:w="227" w:type="dxa"/>
          <w:left w:w="227" w:type="dxa"/>
          <w:bottom w:w="227" w:type="dxa"/>
          <w:right w:w="227" w:type="dxa"/>
        </w:tblCellMar>
        <w:tblLook w:val="0600" w:firstRow="0" w:lastRow="0" w:firstColumn="0" w:lastColumn="0" w:noHBand="1" w:noVBand="1"/>
      </w:tblPr>
      <w:tblGrid>
        <w:gridCol w:w="9072"/>
      </w:tblGrid>
      <w:tr w:rsidR="00CE1E72" w14:paraId="1B247F14" w14:textId="77777777" w:rsidTr="7109A0AF">
        <w:tc>
          <w:tcPr>
            <w:tcW w:w="5000" w:type="pct"/>
            <w:shd w:val="clear" w:color="auto" w:fill="F2F2F2" w:themeFill="background1" w:themeFillShade="F2"/>
            <w:hideMark/>
          </w:tcPr>
          <w:p w14:paraId="0E2E8B73" w14:textId="493D677A" w:rsidR="00CE1E72" w:rsidRPr="00DA1D86" w:rsidRDefault="00994162" w:rsidP="00BC775A">
            <w:pPr>
              <w:pStyle w:val="BoxHeading"/>
            </w:pPr>
            <w:r>
              <w:lastRenderedPageBreak/>
              <w:br w:type="page"/>
            </w:r>
            <w:r w:rsidR="00E63BF2" w:rsidRPr="00246073">
              <w:rPr>
                <w:sz w:val="28"/>
                <w:szCs w:val="28"/>
                <w:lang w:eastAsia="en-US"/>
              </w:rPr>
              <w:t>Evidence snapshot</w:t>
            </w:r>
            <w:r w:rsidR="00CE1E72" w:rsidRPr="00246073">
              <w:rPr>
                <w:sz w:val="28"/>
                <w:szCs w:val="28"/>
                <w:lang w:eastAsia="en-US"/>
              </w:rPr>
              <w:t xml:space="preserve">: </w:t>
            </w:r>
            <w:r w:rsidR="007053BB" w:rsidRPr="00246073">
              <w:rPr>
                <w:sz w:val="28"/>
                <w:szCs w:val="28"/>
                <w:lang w:eastAsia="en-US"/>
              </w:rPr>
              <w:t>Towards a single national code</w:t>
            </w:r>
          </w:p>
          <w:p w14:paraId="021B44C1" w14:textId="15CB399C" w:rsidR="00D21A35" w:rsidRDefault="00277FBC" w:rsidP="002A3939">
            <w:pPr>
              <w:pStyle w:val="Bullet"/>
              <w:rPr>
                <w:lang w:eastAsia="en-US"/>
              </w:rPr>
            </w:pPr>
            <w:hyperlink r:id="rId31">
              <w:r w:rsidRPr="7109A0AF">
                <w:rPr>
                  <w:rStyle w:val="Hyperlink"/>
                  <w:lang w:eastAsia="en-US"/>
                </w:rPr>
                <w:t xml:space="preserve">A 2012 </w:t>
              </w:r>
              <w:r w:rsidR="007C60B9" w:rsidRPr="7109A0AF">
                <w:rPr>
                  <w:rStyle w:val="Hyperlink"/>
                  <w:lang w:eastAsia="en-US"/>
                </w:rPr>
                <w:t xml:space="preserve">report by </w:t>
              </w:r>
              <w:r w:rsidR="003521F1" w:rsidRPr="7109A0AF">
                <w:rPr>
                  <w:rStyle w:val="Hyperlink"/>
                  <w:lang w:eastAsia="en-US"/>
                </w:rPr>
                <w:t>t</w:t>
              </w:r>
              <w:r w:rsidR="0086735C" w:rsidRPr="7109A0AF">
                <w:rPr>
                  <w:rStyle w:val="Hyperlink"/>
                  <w:lang w:eastAsia="en-US"/>
                </w:rPr>
                <w:t>he Centre for International Economics (CIE)</w:t>
              </w:r>
            </w:hyperlink>
            <w:r w:rsidR="003521F1">
              <w:rPr>
                <w:lang w:eastAsia="en-US"/>
              </w:rPr>
              <w:t xml:space="preserve"> for the </w:t>
            </w:r>
            <w:r w:rsidR="003521F1" w:rsidRPr="72EDE27F">
              <w:rPr>
                <w:lang w:eastAsia="en-US"/>
              </w:rPr>
              <w:t>ABCB</w:t>
            </w:r>
            <w:r w:rsidR="7B00C5BF" w:rsidRPr="3B12E2CC">
              <w:rPr>
                <w:lang w:eastAsia="en-US"/>
              </w:rPr>
              <w:t>,</w:t>
            </w:r>
            <w:r w:rsidR="0086735C">
              <w:rPr>
                <w:lang w:eastAsia="en-US"/>
              </w:rPr>
              <w:t xml:space="preserve"> found </w:t>
            </w:r>
            <w:r w:rsidR="007C60B9" w:rsidRPr="007C60B9">
              <w:rPr>
                <w:lang w:eastAsia="en-US"/>
              </w:rPr>
              <w:t xml:space="preserve">that moving to </w:t>
            </w:r>
            <w:r w:rsidR="007C60B9" w:rsidRPr="0086735C">
              <w:rPr>
                <w:lang w:eastAsia="en-US"/>
              </w:rPr>
              <w:t xml:space="preserve">a </w:t>
            </w:r>
            <w:r w:rsidR="007C60B9" w:rsidRPr="008F1556">
              <w:rPr>
                <w:lang w:eastAsia="en-US"/>
              </w:rPr>
              <w:t>single nationally consistent technical code</w:t>
            </w:r>
            <w:r w:rsidR="007C60B9" w:rsidRPr="0086735C">
              <w:rPr>
                <w:lang w:eastAsia="en-US"/>
              </w:rPr>
              <w:t xml:space="preserve"> delivered </w:t>
            </w:r>
            <w:r w:rsidR="007C60B9" w:rsidRPr="008F1556">
              <w:rPr>
                <w:lang w:eastAsia="en-US"/>
              </w:rPr>
              <w:t>substantial productivity and efficiency gains</w:t>
            </w:r>
            <w:r w:rsidR="007C60B9" w:rsidRPr="007C60B9">
              <w:rPr>
                <w:lang w:eastAsia="en-US"/>
              </w:rPr>
              <w:t>.</w:t>
            </w:r>
          </w:p>
          <w:p w14:paraId="61B62FF3" w14:textId="73D81B75" w:rsidR="00D21A35" w:rsidRDefault="00D21A35" w:rsidP="008F1556">
            <w:pPr>
              <w:pStyle w:val="Bullet"/>
              <w:rPr>
                <w:lang w:eastAsia="en-US"/>
              </w:rPr>
            </w:pPr>
            <w:r>
              <w:rPr>
                <w:lang w:eastAsia="en-US"/>
              </w:rPr>
              <w:t>The CIE</w:t>
            </w:r>
            <w:r w:rsidR="002361C8">
              <w:rPr>
                <w:lang w:eastAsia="en-US"/>
              </w:rPr>
              <w:t xml:space="preserve"> </w:t>
            </w:r>
            <w:r>
              <w:rPr>
                <w:lang w:eastAsia="en-US"/>
              </w:rPr>
              <w:t xml:space="preserve">estimated </w:t>
            </w:r>
            <w:r w:rsidR="002361C8">
              <w:rPr>
                <w:lang w:eastAsia="en-US"/>
              </w:rPr>
              <w:t xml:space="preserve">the impact </w:t>
            </w:r>
            <w:r w:rsidR="00EC4BDB">
              <w:rPr>
                <w:lang w:eastAsia="en-US"/>
              </w:rPr>
              <w:t xml:space="preserve">of </w:t>
            </w:r>
            <w:r w:rsidR="002361C8">
              <w:rPr>
                <w:lang w:eastAsia="en-US"/>
              </w:rPr>
              <w:t xml:space="preserve">three significant reforms: </w:t>
            </w:r>
            <w:r w:rsidR="002361C8" w:rsidRPr="002361C8">
              <w:rPr>
                <w:lang w:eastAsia="en-US"/>
              </w:rPr>
              <w:t>the development of a single national technical code in the early 1990s</w:t>
            </w:r>
            <w:r w:rsidR="002361C8">
              <w:rPr>
                <w:lang w:eastAsia="en-US"/>
              </w:rPr>
              <w:t xml:space="preserve">; </w:t>
            </w:r>
            <w:r w:rsidR="002361C8" w:rsidRPr="002361C8">
              <w:rPr>
                <w:lang w:eastAsia="en-US"/>
              </w:rPr>
              <w:t xml:space="preserve">the introduction of a </w:t>
            </w:r>
            <w:r w:rsidR="00CF25EA" w:rsidRPr="002361C8">
              <w:rPr>
                <w:lang w:eastAsia="en-US"/>
              </w:rPr>
              <w:t>performance-based</w:t>
            </w:r>
            <w:r w:rsidR="002361C8" w:rsidRPr="002361C8">
              <w:rPr>
                <w:lang w:eastAsia="en-US"/>
              </w:rPr>
              <w:t xml:space="preserve"> building code in the mid-1990s</w:t>
            </w:r>
            <w:r w:rsidR="002361C8">
              <w:rPr>
                <w:lang w:eastAsia="en-US"/>
              </w:rPr>
              <w:t>;</w:t>
            </w:r>
            <w:r w:rsidR="002361C8" w:rsidRPr="002361C8">
              <w:rPr>
                <w:lang w:eastAsia="en-US"/>
              </w:rPr>
              <w:t xml:space="preserve"> and the integration of plumbing and construction into the </w:t>
            </w:r>
            <w:r w:rsidR="002361C8">
              <w:rPr>
                <w:lang w:eastAsia="en-US"/>
              </w:rPr>
              <w:t>NCC</w:t>
            </w:r>
            <w:r w:rsidR="002361C8" w:rsidRPr="002361C8">
              <w:rPr>
                <w:lang w:eastAsia="en-US"/>
              </w:rPr>
              <w:t xml:space="preserve"> in 2011</w:t>
            </w:r>
            <w:r>
              <w:rPr>
                <w:lang w:eastAsia="en-US"/>
              </w:rPr>
              <w:t>.</w:t>
            </w:r>
          </w:p>
          <w:p w14:paraId="2AB557F9" w14:textId="77777777" w:rsidR="00D21A35" w:rsidRDefault="00D21A35" w:rsidP="007C60B9">
            <w:pPr>
              <w:pStyle w:val="Bullet"/>
              <w:rPr>
                <w:lang w:eastAsia="en-US"/>
              </w:rPr>
            </w:pPr>
            <w:r>
              <w:rPr>
                <w:lang w:eastAsia="en-US"/>
              </w:rPr>
              <w:t>The CIE found:</w:t>
            </w:r>
          </w:p>
          <w:p w14:paraId="2EE7D4F7" w14:textId="77777777" w:rsidR="00D21A35" w:rsidRDefault="007053BB" w:rsidP="00D21A35">
            <w:pPr>
              <w:pStyle w:val="Dash"/>
              <w:rPr>
                <w:lang w:eastAsia="en-US"/>
              </w:rPr>
            </w:pPr>
            <w:r>
              <w:rPr>
                <w:lang w:eastAsia="en-US"/>
              </w:rPr>
              <w:t xml:space="preserve">moving to </w:t>
            </w:r>
            <w:r w:rsidR="0086735C">
              <w:rPr>
                <w:lang w:eastAsia="en-US"/>
              </w:rPr>
              <w:t>a</w:t>
            </w:r>
            <w:r w:rsidR="007C60B9" w:rsidRPr="007C60B9">
              <w:rPr>
                <w:lang w:eastAsia="en-US"/>
              </w:rPr>
              <w:t xml:space="preserve"> national code </w:t>
            </w:r>
            <w:r w:rsidR="007C60B9" w:rsidRPr="008F1556">
              <w:rPr>
                <w:b/>
                <w:bCs/>
                <w:lang w:eastAsia="en-US"/>
              </w:rPr>
              <w:t xml:space="preserve">lowered </w:t>
            </w:r>
            <w:r w:rsidR="007C60B9" w:rsidRPr="00D21A35">
              <w:rPr>
                <w:b/>
                <w:bCs/>
                <w:lang w:eastAsia="en-US"/>
              </w:rPr>
              <w:t>business compliance costs</w:t>
            </w:r>
            <w:r w:rsidR="007C60B9" w:rsidRPr="007053BB">
              <w:rPr>
                <w:lang w:eastAsia="en-US"/>
              </w:rPr>
              <w:t>, particularly for firms operating across multiple states, by simplifying design, certification</w:t>
            </w:r>
            <w:r w:rsidR="007C60B9" w:rsidRPr="007C60B9">
              <w:rPr>
                <w:lang w:eastAsia="en-US"/>
              </w:rPr>
              <w:t xml:space="preserve">, training and product approval processes. </w:t>
            </w:r>
          </w:p>
          <w:p w14:paraId="5D7A1944" w14:textId="11A26119" w:rsidR="007C60B9" w:rsidRPr="007C60B9" w:rsidRDefault="007C60B9" w:rsidP="008F1556">
            <w:pPr>
              <w:pStyle w:val="Dash"/>
              <w:rPr>
                <w:lang w:eastAsia="en-US"/>
              </w:rPr>
            </w:pPr>
            <w:r w:rsidRPr="007C60B9">
              <w:rPr>
                <w:lang w:eastAsia="en-US"/>
              </w:rPr>
              <w:t xml:space="preserve">the </w:t>
            </w:r>
            <w:r w:rsidRPr="00D21A35">
              <w:rPr>
                <w:b/>
                <w:bCs/>
                <w:lang w:eastAsia="en-US"/>
              </w:rPr>
              <w:t xml:space="preserve">annual economic benefit of a single national technical code </w:t>
            </w:r>
            <w:r w:rsidR="00D21A35">
              <w:rPr>
                <w:b/>
                <w:bCs/>
                <w:lang w:eastAsia="en-US"/>
              </w:rPr>
              <w:t>is</w:t>
            </w:r>
            <w:r w:rsidRPr="00D21A35">
              <w:rPr>
                <w:b/>
                <w:bCs/>
                <w:lang w:eastAsia="en-US"/>
              </w:rPr>
              <w:t xml:space="preserve"> around $300 million</w:t>
            </w:r>
            <w:r w:rsidRPr="007C60B9">
              <w:rPr>
                <w:lang w:eastAsia="en-US"/>
              </w:rPr>
              <w:t>, with benefits accruing to both residential and commercial construction at broadly similar levels.</w:t>
            </w:r>
            <w:r w:rsidR="00D21A35" w:rsidRPr="007C60B9">
              <w:rPr>
                <w:lang w:eastAsia="en-US"/>
              </w:rPr>
              <w:t xml:space="preserve"> </w:t>
            </w:r>
          </w:p>
          <w:p w14:paraId="60261526" w14:textId="2F08AAB3" w:rsidR="007C60B9" w:rsidRDefault="00983806" w:rsidP="007C60B9">
            <w:pPr>
              <w:pStyle w:val="Bullet"/>
              <w:rPr>
                <w:lang w:eastAsia="en-US"/>
              </w:rPr>
            </w:pPr>
            <w:r>
              <w:rPr>
                <w:lang w:eastAsia="en-US"/>
              </w:rPr>
              <w:t>Importantly, t</w:t>
            </w:r>
            <w:r w:rsidR="007C60B9" w:rsidRPr="007C60B9">
              <w:rPr>
                <w:lang w:eastAsia="en-US"/>
              </w:rPr>
              <w:t xml:space="preserve">he CIE found that </w:t>
            </w:r>
            <w:r w:rsidR="007C60B9" w:rsidRPr="007C60B9">
              <w:rPr>
                <w:b/>
                <w:bCs/>
                <w:lang w:eastAsia="en-US"/>
              </w:rPr>
              <w:t>only around half of the potential benefits</w:t>
            </w:r>
            <w:r w:rsidR="007C60B9" w:rsidRPr="007C60B9">
              <w:rPr>
                <w:lang w:eastAsia="en-US"/>
              </w:rPr>
              <w:t xml:space="preserve"> of national consistency had been realised, </w:t>
            </w:r>
            <w:r>
              <w:rPr>
                <w:lang w:eastAsia="en-US"/>
              </w:rPr>
              <w:t>with</w:t>
            </w:r>
            <w:r w:rsidR="007C60B9" w:rsidRPr="007C60B9">
              <w:rPr>
                <w:lang w:eastAsia="en-US"/>
              </w:rPr>
              <w:t xml:space="preserve"> further gains </w:t>
            </w:r>
            <w:r>
              <w:rPr>
                <w:lang w:eastAsia="en-US"/>
              </w:rPr>
              <w:t>to</w:t>
            </w:r>
            <w:r w:rsidR="007C60B9" w:rsidRPr="007C60B9">
              <w:rPr>
                <w:lang w:eastAsia="en-US"/>
              </w:rPr>
              <w:t xml:space="preserve"> </w:t>
            </w:r>
            <w:r w:rsidR="00EC4BDB">
              <w:rPr>
                <w:lang w:eastAsia="en-US"/>
              </w:rPr>
              <w:t xml:space="preserve">be </w:t>
            </w:r>
            <w:r w:rsidR="007C60B9" w:rsidRPr="007C60B9">
              <w:rPr>
                <w:lang w:eastAsia="en-US"/>
              </w:rPr>
              <w:t>captured by reducing remaining variations and implementation constraints.</w:t>
            </w:r>
          </w:p>
          <w:p w14:paraId="1E5CBAFA" w14:textId="77777777" w:rsidR="00CE1E72" w:rsidRDefault="00000313" w:rsidP="008F1556">
            <w:pPr>
              <w:pStyle w:val="Bullet"/>
              <w:rPr>
                <w:lang w:eastAsia="en-US"/>
              </w:rPr>
            </w:pPr>
            <w:r>
              <w:rPr>
                <w:lang w:eastAsia="en-US"/>
              </w:rPr>
              <w:t>State variations contribute approximately 600 extra pages to NCC 2022.</w:t>
            </w:r>
          </w:p>
          <w:p w14:paraId="5BB5425A" w14:textId="77777777" w:rsidR="00025EDC" w:rsidRDefault="00025EDC" w:rsidP="00025EDC">
            <w:pPr>
              <w:pStyle w:val="Bullet"/>
              <w:rPr>
                <w:lang w:eastAsia="en-US"/>
              </w:rPr>
            </w:pPr>
            <w:r>
              <w:rPr>
                <w:lang w:eastAsia="en-US"/>
              </w:rPr>
              <w:t>More broadly, Australia’s productivity growth has slowed due to structural economic changes and reduced competitive dynamism, diminishing returns from past reforms. Well-functioning competitive markets are central to lifting productivity by allocating resources more efficiently, enabling more productive firms to expand, and driving higher wages, innovation, better products and lower prices.</w:t>
            </w:r>
          </w:p>
          <w:p w14:paraId="2AA871DA" w14:textId="31466651" w:rsidR="00CE1E72" w:rsidRDefault="00025EDC" w:rsidP="008F1556">
            <w:pPr>
              <w:pStyle w:val="Bullet"/>
              <w:rPr>
                <w:lang w:eastAsia="en-US"/>
              </w:rPr>
            </w:pPr>
            <w:r>
              <w:rPr>
                <w:lang w:eastAsia="en-US"/>
              </w:rPr>
              <w:t>Strengthening a genuinely single national market through a truly national Code would allow governments to unlock competition as a driver of productivity and innovation, while collectively addressing barriers to a more efficient and equitable economy.</w:t>
            </w:r>
          </w:p>
        </w:tc>
      </w:tr>
    </w:tbl>
    <w:p w14:paraId="746D392E" w14:textId="77777777" w:rsidR="00380602" w:rsidRDefault="00380602" w:rsidP="008F1556"/>
    <w:tbl>
      <w:tblPr>
        <w:tblW w:w="5000" w:type="pct"/>
        <w:shd w:val="clear" w:color="auto" w:fill="F2F2F2"/>
        <w:tblCellMar>
          <w:top w:w="227" w:type="dxa"/>
          <w:left w:w="227" w:type="dxa"/>
          <w:bottom w:w="227" w:type="dxa"/>
          <w:right w:w="227" w:type="dxa"/>
        </w:tblCellMar>
        <w:tblLook w:val="0600" w:firstRow="0" w:lastRow="0" w:firstColumn="0" w:lastColumn="0" w:noHBand="1" w:noVBand="1"/>
      </w:tblPr>
      <w:tblGrid>
        <w:gridCol w:w="9072"/>
      </w:tblGrid>
      <w:tr w:rsidR="00380602" w14:paraId="4B254B0D" w14:textId="77777777" w:rsidTr="00CA1C1D">
        <w:tc>
          <w:tcPr>
            <w:tcW w:w="5000" w:type="pct"/>
            <w:shd w:val="clear" w:color="auto" w:fill="F2F2F2"/>
            <w:hideMark/>
          </w:tcPr>
          <w:p w14:paraId="00D1719B" w14:textId="77777777" w:rsidR="00380602" w:rsidRDefault="00380602" w:rsidP="00380602">
            <w:pPr>
              <w:pStyle w:val="BoxHeading"/>
              <w:rPr>
                <w:sz w:val="28"/>
                <w:szCs w:val="28"/>
                <w:lang w:eastAsia="en-US"/>
              </w:rPr>
            </w:pPr>
            <w:r>
              <w:rPr>
                <w:sz w:val="28"/>
                <w:szCs w:val="28"/>
                <w:lang w:eastAsia="en-US"/>
              </w:rPr>
              <w:lastRenderedPageBreak/>
              <w:t>Case study: Victoria’s commitment to remove state variations</w:t>
            </w:r>
          </w:p>
          <w:p w14:paraId="1CE60A8B" w14:textId="77777777" w:rsidR="00380602" w:rsidRDefault="00380602" w:rsidP="00380602">
            <w:pPr>
              <w:pStyle w:val="Bullet"/>
              <w:rPr>
                <w:lang w:eastAsia="en-US"/>
              </w:rPr>
            </w:pPr>
            <w:r>
              <w:rPr>
                <w:lang w:eastAsia="en-US"/>
              </w:rPr>
              <w:t>On 30 March 2026 t</w:t>
            </w:r>
            <w:r w:rsidRPr="006859B2">
              <w:rPr>
                <w:lang w:eastAsia="en-US"/>
              </w:rPr>
              <w:t xml:space="preserve">he </w:t>
            </w:r>
            <w:hyperlink r:id="rId32" w:history="1">
              <w:r w:rsidRPr="0024323C">
                <w:rPr>
                  <w:rStyle w:val="Hyperlink"/>
                  <w:lang w:eastAsia="en-US"/>
                </w:rPr>
                <w:t>Victorian Government announced</w:t>
              </w:r>
            </w:hyperlink>
            <w:r>
              <w:rPr>
                <w:lang w:eastAsia="en-US"/>
              </w:rPr>
              <w:t xml:space="preserve"> it will remove a </w:t>
            </w:r>
            <w:r w:rsidRPr="00546333">
              <w:rPr>
                <w:lang w:eastAsia="en-US"/>
              </w:rPr>
              <w:t>number of Victorian variations to the NCC to align with the national code and make it easier for consumers and builders to work together.</w:t>
            </w:r>
          </w:p>
          <w:p w14:paraId="7507E691" w14:textId="3E4F5507" w:rsidR="00380602" w:rsidRDefault="00380602" w:rsidP="00267701">
            <w:pPr>
              <w:pStyle w:val="Bullet"/>
              <w:rPr>
                <w:lang w:eastAsia="en-US"/>
              </w:rPr>
            </w:pPr>
            <w:r>
              <w:rPr>
                <w:lang w:eastAsia="en-US"/>
              </w:rPr>
              <w:t xml:space="preserve">The Victorian </w:t>
            </w:r>
            <w:r w:rsidRPr="006859B2">
              <w:rPr>
                <w:lang w:eastAsia="en-US"/>
              </w:rPr>
              <w:t xml:space="preserve">Appendix to the NCC 2025 </w:t>
            </w:r>
            <w:r w:rsidRPr="008F1556">
              <w:rPr>
                <w:b/>
                <w:bCs/>
                <w:lang w:eastAsia="en-US"/>
              </w:rPr>
              <w:t xml:space="preserve">reduces the number of variations and additional clauses </w:t>
            </w:r>
            <w:r w:rsidR="004F7C2F" w:rsidRPr="008F1556">
              <w:rPr>
                <w:b/>
                <w:bCs/>
                <w:lang w:eastAsia="en-US"/>
              </w:rPr>
              <w:t xml:space="preserve">from 115 </w:t>
            </w:r>
            <w:r w:rsidRPr="008F1556">
              <w:rPr>
                <w:b/>
                <w:bCs/>
                <w:lang w:eastAsia="en-US"/>
              </w:rPr>
              <w:t xml:space="preserve">down </w:t>
            </w:r>
            <w:r w:rsidR="004F7C2F" w:rsidRPr="008F1556">
              <w:rPr>
                <w:b/>
                <w:bCs/>
                <w:lang w:eastAsia="en-US"/>
              </w:rPr>
              <w:t xml:space="preserve">to </w:t>
            </w:r>
            <w:r w:rsidRPr="008F1556">
              <w:rPr>
                <w:b/>
                <w:bCs/>
                <w:lang w:eastAsia="en-US"/>
              </w:rPr>
              <w:t>60</w:t>
            </w:r>
            <w:r>
              <w:rPr>
                <w:b/>
                <w:lang w:eastAsia="en-US"/>
              </w:rPr>
              <w:t xml:space="preserve"> </w:t>
            </w:r>
            <w:r w:rsidR="00267701">
              <w:rPr>
                <w:b/>
                <w:bCs/>
                <w:lang w:eastAsia="en-US"/>
              </w:rPr>
              <w:t>(removing 29 pages from NCC 2025)</w:t>
            </w:r>
            <w:r w:rsidRPr="006859B2">
              <w:rPr>
                <w:lang w:eastAsia="en-US"/>
              </w:rPr>
              <w:t xml:space="preserve"> across the three volumes of the NCC</w:t>
            </w:r>
            <w:r>
              <w:rPr>
                <w:lang w:eastAsia="en-US"/>
              </w:rPr>
              <w:t xml:space="preserve"> for adoption from </w:t>
            </w:r>
            <w:r w:rsidRPr="00EB63CE">
              <w:rPr>
                <w:lang w:eastAsia="en-US"/>
              </w:rPr>
              <w:t>1 May 2026.</w:t>
            </w:r>
          </w:p>
        </w:tc>
      </w:tr>
    </w:tbl>
    <w:p w14:paraId="7A3A0045" w14:textId="77777777" w:rsidR="00EE50B4" w:rsidRDefault="00EE50B4" w:rsidP="00380602"/>
    <w:tbl>
      <w:tblPr>
        <w:tblW w:w="5000" w:type="pct"/>
        <w:shd w:val="clear" w:color="auto" w:fill="F2F2F2"/>
        <w:tblCellMar>
          <w:top w:w="227" w:type="dxa"/>
          <w:left w:w="227" w:type="dxa"/>
          <w:bottom w:w="227" w:type="dxa"/>
          <w:right w:w="227" w:type="dxa"/>
        </w:tblCellMar>
        <w:tblLook w:val="0600" w:firstRow="0" w:lastRow="0" w:firstColumn="0" w:lastColumn="0" w:noHBand="1" w:noVBand="1"/>
      </w:tblPr>
      <w:tblGrid>
        <w:gridCol w:w="9072"/>
      </w:tblGrid>
      <w:tr w:rsidR="00EE50B4" w14:paraId="7506105E" w14:textId="77777777">
        <w:tc>
          <w:tcPr>
            <w:tcW w:w="5000" w:type="pct"/>
            <w:shd w:val="clear" w:color="auto" w:fill="F2F2F2" w:themeFill="background1" w:themeFillShade="F2"/>
            <w:hideMark/>
          </w:tcPr>
          <w:p w14:paraId="5286A7E5" w14:textId="7B04C123" w:rsidR="00EE50B4" w:rsidRDefault="00EE50B4">
            <w:pPr>
              <w:pStyle w:val="BoxHeading"/>
              <w:rPr>
                <w:sz w:val="28"/>
                <w:szCs w:val="28"/>
                <w:lang w:eastAsia="en-US"/>
              </w:rPr>
            </w:pPr>
            <w:r>
              <w:br w:type="page"/>
            </w:r>
            <w:r>
              <w:rPr>
                <w:sz w:val="28"/>
                <w:szCs w:val="28"/>
                <w:lang w:eastAsia="en-US"/>
              </w:rPr>
              <w:t>Case study</w:t>
            </w:r>
            <w:r w:rsidRPr="00246073">
              <w:rPr>
                <w:sz w:val="28"/>
                <w:szCs w:val="28"/>
                <w:lang w:eastAsia="en-US"/>
              </w:rPr>
              <w:t xml:space="preserve">: </w:t>
            </w:r>
            <w:r w:rsidR="00D8304E">
              <w:rPr>
                <w:sz w:val="28"/>
                <w:szCs w:val="28"/>
                <w:lang w:eastAsia="en-US"/>
              </w:rPr>
              <w:t xml:space="preserve">State variations </w:t>
            </w:r>
            <w:r w:rsidR="00053DA3">
              <w:rPr>
                <w:sz w:val="28"/>
                <w:szCs w:val="28"/>
                <w:lang w:eastAsia="en-US"/>
              </w:rPr>
              <w:t xml:space="preserve">for </w:t>
            </w:r>
            <w:r w:rsidR="00D8304E">
              <w:rPr>
                <w:sz w:val="28"/>
                <w:szCs w:val="28"/>
                <w:lang w:eastAsia="en-US"/>
              </w:rPr>
              <w:t>h</w:t>
            </w:r>
            <w:r w:rsidR="006F2301" w:rsidRPr="006F2301">
              <w:rPr>
                <w:sz w:val="28"/>
                <w:szCs w:val="28"/>
                <w:lang w:eastAsia="en-US"/>
              </w:rPr>
              <w:t xml:space="preserve">eated water services </w:t>
            </w:r>
            <w:r w:rsidR="006F2301">
              <w:rPr>
                <w:sz w:val="28"/>
                <w:szCs w:val="28"/>
                <w:lang w:eastAsia="en-US"/>
              </w:rPr>
              <w:t xml:space="preserve">– </w:t>
            </w:r>
            <w:r w:rsidR="006F2301" w:rsidRPr="006F2301">
              <w:rPr>
                <w:sz w:val="28"/>
                <w:szCs w:val="28"/>
                <w:lang w:eastAsia="en-US"/>
              </w:rPr>
              <w:t>NCC Volume Three</w:t>
            </w:r>
            <w:r w:rsidR="00AF5AB7">
              <w:rPr>
                <w:sz w:val="28"/>
                <w:szCs w:val="28"/>
                <w:lang w:eastAsia="en-US"/>
              </w:rPr>
              <w:t xml:space="preserve"> </w:t>
            </w:r>
          </w:p>
          <w:p w14:paraId="599D8417" w14:textId="21D7C1B5" w:rsidR="00D37ADA" w:rsidRDefault="00FB28E0" w:rsidP="00D37ADA">
            <w:pPr>
              <w:rPr>
                <w:lang w:eastAsia="en-US"/>
              </w:rPr>
            </w:pPr>
            <w:r>
              <w:rPr>
                <w:lang w:eastAsia="en-US"/>
              </w:rPr>
              <w:t xml:space="preserve">The </w:t>
            </w:r>
            <w:r w:rsidR="00054D56">
              <w:rPr>
                <w:lang w:eastAsia="en-US"/>
              </w:rPr>
              <w:t>h</w:t>
            </w:r>
            <w:r w:rsidR="00D37ADA">
              <w:rPr>
                <w:lang w:eastAsia="en-US"/>
              </w:rPr>
              <w:t xml:space="preserve">eated water services </w:t>
            </w:r>
            <w:r w:rsidR="00E72621">
              <w:rPr>
                <w:lang w:eastAsia="en-US"/>
              </w:rPr>
              <w:t>requirements</w:t>
            </w:r>
            <w:r>
              <w:rPr>
                <w:lang w:eastAsia="en-US"/>
              </w:rPr>
              <w:t xml:space="preserve"> in </w:t>
            </w:r>
            <w:r w:rsidR="00D37ADA">
              <w:rPr>
                <w:lang w:eastAsia="en-US"/>
              </w:rPr>
              <w:t xml:space="preserve">NCC 2022 are a clear example </w:t>
            </w:r>
            <w:r w:rsidR="009F791B">
              <w:rPr>
                <w:lang w:eastAsia="en-US"/>
              </w:rPr>
              <w:t xml:space="preserve">where state and territory variations </w:t>
            </w:r>
            <w:r w:rsidR="009220FC">
              <w:rPr>
                <w:lang w:eastAsia="en-US"/>
              </w:rPr>
              <w:t>reduce national consistency</w:t>
            </w:r>
            <w:r w:rsidR="00D37ADA">
              <w:rPr>
                <w:lang w:eastAsia="en-US"/>
              </w:rPr>
              <w:t xml:space="preserve">. </w:t>
            </w:r>
            <w:r w:rsidR="009D0E07">
              <w:rPr>
                <w:lang w:eastAsia="en-US"/>
              </w:rPr>
              <w:t>T</w:t>
            </w:r>
            <w:r w:rsidR="00D37ADA">
              <w:rPr>
                <w:lang w:eastAsia="en-US"/>
              </w:rPr>
              <w:t>he NCC’s intent is to reduce scald risk and improve energy efficiency through nationally referenced standards (such as AS/NZS 3500.4),</w:t>
            </w:r>
            <w:r w:rsidR="00BB6E9B">
              <w:rPr>
                <w:lang w:eastAsia="en-US"/>
              </w:rPr>
              <w:t xml:space="preserve"> however, </w:t>
            </w:r>
            <w:r w:rsidR="00D37ADA">
              <w:rPr>
                <w:lang w:eastAsia="en-US"/>
              </w:rPr>
              <w:t xml:space="preserve">jurisdictions vary in when requirements apply, what systems are permitted, and how compliance is demonstrated. </w:t>
            </w:r>
          </w:p>
          <w:p w14:paraId="02F1DB98" w14:textId="77777777" w:rsidR="006F2301" w:rsidRDefault="00D37ADA" w:rsidP="00D37ADA">
            <w:pPr>
              <w:rPr>
                <w:lang w:eastAsia="en-US"/>
              </w:rPr>
            </w:pPr>
            <w:r>
              <w:rPr>
                <w:lang w:eastAsia="en-US"/>
              </w:rPr>
              <w:t>Examples include:</w:t>
            </w:r>
          </w:p>
          <w:p w14:paraId="79CC9CBD" w14:textId="6D2F0B5A" w:rsidR="006F2301" w:rsidRDefault="00D37ADA" w:rsidP="009C035E">
            <w:pPr>
              <w:pStyle w:val="Bullet"/>
              <w:rPr>
                <w:lang w:eastAsia="en-US"/>
              </w:rPr>
            </w:pPr>
            <w:r w:rsidRPr="00570FD8">
              <w:rPr>
                <w:b/>
                <w:bCs/>
                <w:lang w:eastAsia="en-US"/>
              </w:rPr>
              <w:t>New South Wales</w:t>
            </w:r>
            <w:r w:rsidR="00564887">
              <w:rPr>
                <w:lang w:eastAsia="en-US"/>
              </w:rPr>
              <w:t>:</w:t>
            </w:r>
            <w:r>
              <w:rPr>
                <w:lang w:eastAsia="en-US"/>
              </w:rPr>
              <w:t xml:space="preserve"> </w:t>
            </w:r>
            <w:r w:rsidR="00C44630">
              <w:rPr>
                <w:lang w:eastAsia="en-US"/>
              </w:rPr>
              <w:t>largely replaces NCC requirements with</w:t>
            </w:r>
            <w:r w:rsidR="00564887">
              <w:rPr>
                <w:lang w:eastAsia="en-US"/>
              </w:rPr>
              <w:t xml:space="preserve"> NSW’s </w:t>
            </w:r>
            <w:r>
              <w:rPr>
                <w:lang w:eastAsia="en-US"/>
              </w:rPr>
              <w:t>BASIX</w:t>
            </w:r>
            <w:r w:rsidR="00FC5E4D">
              <w:rPr>
                <w:lang w:eastAsia="en-US"/>
              </w:rPr>
              <w:t xml:space="preserve"> compliance pathway</w:t>
            </w:r>
            <w:r>
              <w:rPr>
                <w:lang w:eastAsia="en-US"/>
              </w:rPr>
              <w:t>, alongside modified scald control triggers and replacement exemptions.</w:t>
            </w:r>
          </w:p>
          <w:p w14:paraId="395F41A1" w14:textId="12506E28" w:rsidR="006F2301" w:rsidRDefault="00D37ADA" w:rsidP="009C035E">
            <w:pPr>
              <w:pStyle w:val="Bullet"/>
              <w:rPr>
                <w:lang w:eastAsia="en-US"/>
              </w:rPr>
            </w:pPr>
            <w:r w:rsidRPr="00570FD8">
              <w:rPr>
                <w:b/>
                <w:bCs/>
                <w:lang w:eastAsia="en-US"/>
              </w:rPr>
              <w:t>South Australia</w:t>
            </w:r>
            <w:r w:rsidR="005A7729">
              <w:rPr>
                <w:lang w:eastAsia="en-US"/>
              </w:rPr>
              <w:t xml:space="preserve">: </w:t>
            </w:r>
            <w:r w:rsidR="00C44630">
              <w:rPr>
                <w:lang w:eastAsia="en-US"/>
              </w:rPr>
              <w:t>r</w:t>
            </w:r>
            <w:r w:rsidR="00050C05">
              <w:rPr>
                <w:lang w:eastAsia="en-US"/>
              </w:rPr>
              <w:t xml:space="preserve">eplaces NCC </w:t>
            </w:r>
            <w:r w:rsidR="00C44630">
              <w:rPr>
                <w:lang w:eastAsia="en-US"/>
              </w:rPr>
              <w:t xml:space="preserve">requirements </w:t>
            </w:r>
            <w:r w:rsidR="00AD6183">
              <w:rPr>
                <w:lang w:eastAsia="en-US"/>
              </w:rPr>
              <w:t xml:space="preserve">with </w:t>
            </w:r>
            <w:r w:rsidR="0014170A">
              <w:rPr>
                <w:lang w:eastAsia="en-US"/>
              </w:rPr>
              <w:t xml:space="preserve">their own </w:t>
            </w:r>
            <w:r w:rsidR="00804F77">
              <w:rPr>
                <w:lang w:eastAsia="en-US"/>
              </w:rPr>
              <w:t>prescriptive</w:t>
            </w:r>
            <w:r w:rsidR="0014170A">
              <w:rPr>
                <w:lang w:eastAsia="en-US"/>
              </w:rPr>
              <w:t xml:space="preserve"> </w:t>
            </w:r>
            <w:r w:rsidR="00C46F14">
              <w:rPr>
                <w:lang w:eastAsia="en-US"/>
              </w:rPr>
              <w:t>provisions</w:t>
            </w:r>
            <w:r w:rsidR="00AD6183">
              <w:rPr>
                <w:lang w:eastAsia="en-US"/>
              </w:rPr>
              <w:t xml:space="preserve"> </w:t>
            </w:r>
            <w:r w:rsidR="00804F77">
              <w:rPr>
                <w:lang w:eastAsia="en-US"/>
              </w:rPr>
              <w:t xml:space="preserve">for </w:t>
            </w:r>
            <w:r>
              <w:rPr>
                <w:lang w:eastAsia="en-US"/>
              </w:rPr>
              <w:t xml:space="preserve">permitted heater types, minimum gas star ratings and solar/heat pump </w:t>
            </w:r>
            <w:proofErr w:type="gramStart"/>
            <w:r>
              <w:rPr>
                <w:lang w:eastAsia="en-US"/>
              </w:rPr>
              <w:t>thresholds, and</w:t>
            </w:r>
            <w:proofErr w:type="gramEnd"/>
            <w:r>
              <w:rPr>
                <w:lang w:eastAsia="en-US"/>
              </w:rPr>
              <w:t xml:space="preserve"> expands scald control triggers.</w:t>
            </w:r>
          </w:p>
          <w:p w14:paraId="5265E9AA" w14:textId="6A85D256" w:rsidR="006F2301" w:rsidRDefault="00D37ADA" w:rsidP="009C035E">
            <w:pPr>
              <w:pStyle w:val="Bullet"/>
              <w:rPr>
                <w:lang w:eastAsia="en-US"/>
              </w:rPr>
            </w:pPr>
            <w:r w:rsidRPr="00570FD8">
              <w:rPr>
                <w:b/>
                <w:bCs/>
                <w:lang w:eastAsia="en-US"/>
              </w:rPr>
              <w:t>Victoria</w:t>
            </w:r>
            <w:r w:rsidR="00EA041E">
              <w:rPr>
                <w:lang w:eastAsia="en-US"/>
              </w:rPr>
              <w:t>:</w:t>
            </w:r>
            <w:r>
              <w:rPr>
                <w:lang w:eastAsia="en-US"/>
              </w:rPr>
              <w:t xml:space="preserve"> </w:t>
            </w:r>
            <w:r w:rsidR="0004423A">
              <w:rPr>
                <w:lang w:eastAsia="en-US"/>
              </w:rPr>
              <w:t xml:space="preserve">adds </w:t>
            </w:r>
            <w:r w:rsidR="00191F17">
              <w:rPr>
                <w:lang w:eastAsia="en-US"/>
              </w:rPr>
              <w:t>replace</w:t>
            </w:r>
            <w:r w:rsidR="0004423A">
              <w:rPr>
                <w:lang w:eastAsia="en-US"/>
              </w:rPr>
              <w:t>ment</w:t>
            </w:r>
            <w:r>
              <w:rPr>
                <w:lang w:eastAsia="en-US"/>
              </w:rPr>
              <w:t xml:space="preserve"> exemptions for scald control, adds extra compliance requirements for thermostatic mixing valves, and links aspects of heater compliance back to state plumbing regulations.</w:t>
            </w:r>
          </w:p>
          <w:p w14:paraId="47E9F26D" w14:textId="34651427" w:rsidR="00EE50B4" w:rsidRDefault="00D37ADA" w:rsidP="00570FD8">
            <w:pPr>
              <w:pStyle w:val="Bullet"/>
              <w:rPr>
                <w:lang w:eastAsia="en-US"/>
              </w:rPr>
            </w:pPr>
            <w:r w:rsidRPr="00570FD8">
              <w:rPr>
                <w:b/>
                <w:bCs/>
                <w:lang w:eastAsia="en-US"/>
              </w:rPr>
              <w:t>Tasmania</w:t>
            </w:r>
            <w:r>
              <w:rPr>
                <w:lang w:eastAsia="en-US"/>
              </w:rPr>
              <w:t xml:space="preserve"> and </w:t>
            </w:r>
            <w:r w:rsidRPr="00570FD8">
              <w:rPr>
                <w:b/>
                <w:bCs/>
                <w:lang w:eastAsia="en-US"/>
              </w:rPr>
              <w:t>Queenslan</w:t>
            </w:r>
            <w:r w:rsidR="00B64764">
              <w:rPr>
                <w:b/>
                <w:bCs/>
                <w:lang w:eastAsia="en-US"/>
              </w:rPr>
              <w:t>d:</w:t>
            </w:r>
            <w:r>
              <w:rPr>
                <w:lang w:eastAsia="en-US"/>
              </w:rPr>
              <w:t xml:space="preserve"> embed alternative </w:t>
            </w:r>
            <w:r w:rsidR="00564887">
              <w:rPr>
                <w:lang w:eastAsia="en-US"/>
              </w:rPr>
              <w:t xml:space="preserve">water heating </w:t>
            </w:r>
            <w:r>
              <w:rPr>
                <w:lang w:eastAsia="en-US"/>
              </w:rPr>
              <w:t xml:space="preserve">and energy </w:t>
            </w:r>
            <w:r w:rsidR="00191F17">
              <w:rPr>
                <w:lang w:eastAsia="en-US"/>
              </w:rPr>
              <w:t>requirements</w:t>
            </w:r>
            <w:r>
              <w:rPr>
                <w:lang w:eastAsia="en-US"/>
              </w:rPr>
              <w:t xml:space="preserve"> and jurisdiction specific provisions, further fragmenting national application.</w:t>
            </w:r>
          </w:p>
        </w:tc>
      </w:tr>
    </w:tbl>
    <w:p w14:paraId="62FAB1EB" w14:textId="77777777" w:rsidR="00EE50B4" w:rsidRDefault="00EE50B4" w:rsidP="00380602"/>
    <w:p w14:paraId="3D001934" w14:textId="4F6F1B0A" w:rsidR="00CE1E72" w:rsidRDefault="00CE1E72" w:rsidP="00380602">
      <w:pPr>
        <w:rPr>
          <w:rFonts w:ascii="Calibri" w:hAnsi="Calibri" w:cs="Arial"/>
          <w:color w:val="2C384A" w:themeColor="accent1"/>
          <w:kern w:val="32"/>
          <w:sz w:val="36"/>
          <w:szCs w:val="28"/>
        </w:rPr>
      </w:pPr>
      <w:r>
        <w:br w:type="page"/>
      </w:r>
    </w:p>
    <w:p w14:paraId="7C0494A7" w14:textId="335268CE" w:rsidR="00994162" w:rsidRDefault="00994162" w:rsidP="00994162">
      <w:pPr>
        <w:pStyle w:val="Heading2"/>
      </w:pPr>
      <w:bookmarkStart w:id="46" w:name="_Toc227834515"/>
      <w:bookmarkStart w:id="47" w:name="_Toc228371014"/>
      <w:r>
        <w:lastRenderedPageBreak/>
        <w:t>Reform direction 3:</w:t>
      </w:r>
      <w:r w:rsidR="003547BA">
        <w:t xml:space="preserve"> </w:t>
      </w:r>
      <w:r w:rsidR="00555B6F" w:rsidRPr="00555B6F">
        <w:t>Tougher, more rigorous cost-benefit analysis</w:t>
      </w:r>
      <w:r w:rsidR="003547BA">
        <w:t xml:space="preserve"> and </w:t>
      </w:r>
      <w:r w:rsidRPr="002C1C9E">
        <w:t>decision making</w:t>
      </w:r>
      <w:bookmarkEnd w:id="46"/>
      <w:bookmarkEnd w:id="47"/>
    </w:p>
    <w:p w14:paraId="6C4260A1" w14:textId="77777777" w:rsidR="00CE2B5D" w:rsidRDefault="00CE2B5D" w:rsidP="00CE2B5D">
      <w:pPr>
        <w:pStyle w:val="Heading3"/>
      </w:pPr>
      <w:bookmarkStart w:id="48" w:name="_Toc227680347"/>
      <w:bookmarkStart w:id="49" w:name="_Toc227680406"/>
      <w:bookmarkStart w:id="50" w:name="_Toc227765693"/>
      <w:r>
        <w:t>What we’ve heard</w:t>
      </w:r>
    </w:p>
    <w:bookmarkEnd w:id="48"/>
    <w:bookmarkEnd w:id="49"/>
    <w:bookmarkEnd w:id="50"/>
    <w:p w14:paraId="43007334" w14:textId="77777777" w:rsidR="00FB72B0" w:rsidRPr="00250C58" w:rsidRDefault="00FB72B0" w:rsidP="00FB72B0">
      <w:pPr>
        <w:pStyle w:val="Bullet"/>
      </w:pPr>
      <w:r>
        <w:t>Stakeholders noted a general l</w:t>
      </w:r>
      <w:r w:rsidRPr="00EF6AEF">
        <w:t xml:space="preserve">ack of clarity and agreement on the overarching objectives </w:t>
      </w:r>
      <w:r w:rsidRPr="00CE503B">
        <w:t xml:space="preserve">of the </w:t>
      </w:r>
      <w:r w:rsidRPr="00EF6AEF">
        <w:t>NCC</w:t>
      </w:r>
      <w:r>
        <w:t>, the intergovernmental agreement (IGA) and the ABCB.</w:t>
      </w:r>
      <w:r w:rsidRPr="00093888">
        <w:rPr>
          <w:b/>
          <w:bCs/>
        </w:rPr>
        <w:t xml:space="preserve"> </w:t>
      </w:r>
      <w:r w:rsidRPr="00EA1101">
        <w:t>Some</w:t>
      </w:r>
      <w:r>
        <w:rPr>
          <w:b/>
          <w:bCs/>
        </w:rPr>
        <w:t xml:space="preserve"> </w:t>
      </w:r>
      <w:r>
        <w:t>s</w:t>
      </w:r>
      <w:r w:rsidRPr="00250C58">
        <w:t>takeholders have suggested emphasising safety and health as</w:t>
      </w:r>
      <w:r>
        <w:t xml:space="preserve"> the</w:t>
      </w:r>
      <w:r w:rsidRPr="00250C58">
        <w:t xml:space="preserve"> primary objective. Others have requested productivity and affordability to be inserted as explicit objectives. </w:t>
      </w:r>
    </w:p>
    <w:p w14:paraId="0350612B" w14:textId="77777777" w:rsidR="00FB72B0" w:rsidRDefault="00FB72B0" w:rsidP="00FB72B0">
      <w:pPr>
        <w:pStyle w:val="Bullet"/>
      </w:pPr>
      <w:r>
        <w:t>There is concern</w:t>
      </w:r>
      <w:r w:rsidRPr="00EC683D">
        <w:t xml:space="preserve"> that NCC decision</w:t>
      </w:r>
      <w:r w:rsidRPr="00EC683D">
        <w:noBreakHyphen/>
        <w:t>making is too opaque, policy changes are too frequent and disconnected from real</w:t>
      </w:r>
      <w:r>
        <w:t>-</w:t>
      </w:r>
      <w:r w:rsidRPr="00EC683D">
        <w:t>world cost impacts, and the adoption of sensible technical changes are too slow. This has reduced confidence that changes are proportionate or well targeted.</w:t>
      </w:r>
    </w:p>
    <w:p w14:paraId="3DAC68D7" w14:textId="77777777" w:rsidR="00FB72B0" w:rsidRDefault="00FB72B0" w:rsidP="00FB72B0">
      <w:pPr>
        <w:pStyle w:val="Bullet"/>
      </w:pPr>
      <w:r w:rsidRPr="00DB2342">
        <w:t xml:space="preserve">Stakeholders </w:t>
      </w:r>
      <w:r>
        <w:t>also noted</w:t>
      </w:r>
      <w:r w:rsidRPr="00DB2342">
        <w:t xml:space="preserve"> efforts to make the </w:t>
      </w:r>
      <w:r>
        <w:t>C</w:t>
      </w:r>
      <w:r w:rsidRPr="00DB2342">
        <w:t xml:space="preserve">ode serve </w:t>
      </w:r>
      <w:r>
        <w:t>a wider range of</w:t>
      </w:r>
      <w:r w:rsidRPr="00DB2342">
        <w:t xml:space="preserve"> purposes</w:t>
      </w:r>
      <w:r>
        <w:t>, including broader policy goals,</w:t>
      </w:r>
      <w:r w:rsidRPr="00DB2342">
        <w:t xml:space="preserve"> have diluted its clarity and effectiveness in practice</w:t>
      </w:r>
      <w:r>
        <w:t xml:space="preserve">. </w:t>
      </w:r>
    </w:p>
    <w:p w14:paraId="1A3EDF1F" w14:textId="7E0A3681" w:rsidR="00FB72B0" w:rsidRDefault="00FB72B0" w:rsidP="00FB72B0">
      <w:pPr>
        <w:pStyle w:val="Bullet"/>
      </w:pPr>
      <w:proofErr w:type="gramStart"/>
      <w:r>
        <w:t>In particular, some</w:t>
      </w:r>
      <w:proofErr w:type="gramEnd"/>
      <w:r>
        <w:t xml:space="preserve"> noted that the NCC is being used to pursue policy aspirations without apparent consideration </w:t>
      </w:r>
      <w:r w:rsidR="00E85C66">
        <w:t xml:space="preserve">of </w:t>
      </w:r>
      <w:r>
        <w:t xml:space="preserve">non-regulatory options, and a clear tension between </w:t>
      </w:r>
      <w:r w:rsidRPr="00DF1D9A">
        <w:t>short</w:t>
      </w:r>
      <w:r w:rsidRPr="00DF1D9A">
        <w:noBreakHyphen/>
        <w:t>term housing delivery pressures and long</w:t>
      </w:r>
      <w:r w:rsidRPr="00DF1D9A">
        <w:noBreakHyphen/>
        <w:t xml:space="preserve">term building performance </w:t>
      </w:r>
      <w:r>
        <w:t xml:space="preserve">and policy </w:t>
      </w:r>
      <w:r w:rsidRPr="00DF1D9A">
        <w:t>goals.</w:t>
      </w:r>
    </w:p>
    <w:p w14:paraId="790258AA" w14:textId="721D34EC" w:rsidR="00FB72B0" w:rsidRDefault="00FB72B0" w:rsidP="00FB72B0">
      <w:pPr>
        <w:pStyle w:val="Bullet"/>
      </w:pPr>
      <w:r>
        <w:t xml:space="preserve">Stakeholders highlighted that governance reform </w:t>
      </w:r>
      <w:r w:rsidR="00474625">
        <w:t xml:space="preserve">is </w:t>
      </w:r>
      <w:r w:rsidRPr="006A1E57">
        <w:t>fundamental to restoring the integrity and confidence in the NCC as a system</w:t>
      </w:r>
      <w:r>
        <w:t xml:space="preserve"> and will help drive productivity in the sector.</w:t>
      </w:r>
    </w:p>
    <w:p w14:paraId="27026379" w14:textId="77777777" w:rsidR="005621BA" w:rsidRDefault="005621BA" w:rsidP="005621BA">
      <w:pPr>
        <w:pStyle w:val="Heading3"/>
      </w:pPr>
      <w:r w:rsidRPr="009C035E">
        <w:t>Immediate actions</w:t>
      </w:r>
      <w:r w:rsidRPr="00C6010A">
        <w:t xml:space="preserve"> to consider</w:t>
      </w:r>
    </w:p>
    <w:p w14:paraId="3EABE165" w14:textId="24A1F7A4" w:rsidR="00994162" w:rsidRDefault="00F31C99" w:rsidP="00994162">
      <w:pPr>
        <w:pStyle w:val="Bullet"/>
      </w:pPr>
      <w:r>
        <w:t>Agree</w:t>
      </w:r>
      <w:r w:rsidR="00833F44">
        <w:t xml:space="preserve"> clear</w:t>
      </w:r>
      <w:r w:rsidR="00994162" w:rsidRPr="006A7416">
        <w:t xml:space="preserve"> roles</w:t>
      </w:r>
      <w:r w:rsidR="002B3B3A">
        <w:t xml:space="preserve">, </w:t>
      </w:r>
      <w:r w:rsidR="00994162" w:rsidRPr="006A7416">
        <w:t>accountability</w:t>
      </w:r>
      <w:r w:rsidR="002B3B3A">
        <w:t xml:space="preserve"> and transparency of responsibilities</w:t>
      </w:r>
      <w:r w:rsidR="00994162" w:rsidRPr="006A7416">
        <w:t xml:space="preserve"> </w:t>
      </w:r>
      <w:r w:rsidR="002B3B3A">
        <w:t>for</w:t>
      </w:r>
      <w:r w:rsidR="002B3B3A" w:rsidRPr="006A7416">
        <w:t xml:space="preserve"> </w:t>
      </w:r>
      <w:r w:rsidR="00833F44">
        <w:t>M</w:t>
      </w:r>
      <w:r w:rsidR="00994162" w:rsidRPr="006A7416">
        <w:t>inisters, policy makers and technical bodies.</w:t>
      </w:r>
    </w:p>
    <w:p w14:paraId="62F2A36D" w14:textId="7D57EC18" w:rsidR="00994162" w:rsidRDefault="00994162" w:rsidP="00994162">
      <w:pPr>
        <w:pStyle w:val="Dash"/>
      </w:pPr>
      <w:r w:rsidRPr="007572E4">
        <w:t xml:space="preserve">Policy reforms happen at </w:t>
      </w:r>
      <w:r w:rsidR="00726504">
        <w:t>M</w:t>
      </w:r>
      <w:r w:rsidRPr="007572E4">
        <w:t>inisterial level, typically every five years, with a 12-month implementation period.</w:t>
      </w:r>
    </w:p>
    <w:p w14:paraId="1174853C" w14:textId="281EE2F7" w:rsidR="00994162" w:rsidRPr="007572E4" w:rsidRDefault="00994162" w:rsidP="00994162">
      <w:pPr>
        <w:pStyle w:val="Dash"/>
      </w:pPr>
      <w:r w:rsidRPr="007572E4">
        <w:t>Technical changes, especially for D</w:t>
      </w:r>
      <w:r w:rsidR="00357EB8">
        <w:t>T</w:t>
      </w:r>
      <w:r w:rsidRPr="007572E4">
        <w:t>S provisions, are made as needed to address innovation and dynamic requirements.</w:t>
      </w:r>
      <w:r w:rsidR="00B86853">
        <w:t xml:space="preserve"> </w:t>
      </w:r>
    </w:p>
    <w:p w14:paraId="65FD673F" w14:textId="1F9F826A" w:rsidR="002B3B3A" w:rsidRDefault="00350877">
      <w:pPr>
        <w:pStyle w:val="Bullet"/>
      </w:pPr>
      <w:r>
        <w:t>Establish g</w:t>
      </w:r>
      <w:r w:rsidR="00901724" w:rsidRPr="00FA65DA">
        <w:t xml:space="preserve">reater separation between major policy reform cycles and more agile technical updates, particularly for </w:t>
      </w:r>
      <w:r w:rsidR="35B9A212">
        <w:t xml:space="preserve">DTS </w:t>
      </w:r>
      <w:r w:rsidR="00901724" w:rsidRPr="00FA65DA">
        <w:t>provisions</w:t>
      </w:r>
      <w:r w:rsidR="005B1A49">
        <w:t>.</w:t>
      </w:r>
    </w:p>
    <w:p w14:paraId="2D2B0E0B" w14:textId="0EBB9C6C" w:rsidR="00BB1890" w:rsidRDefault="00350877" w:rsidP="008F1556">
      <w:pPr>
        <w:pStyle w:val="Bullet"/>
      </w:pPr>
      <w:r>
        <w:t>Introduce a c</w:t>
      </w:r>
      <w:r w:rsidR="00BB1890">
        <w:t>learer process and transparency for industry-led change proposals</w:t>
      </w:r>
      <w:r w:rsidR="00B86853">
        <w:t xml:space="preserve">, including the </w:t>
      </w:r>
      <w:r w:rsidR="007D530E">
        <w:t xml:space="preserve">composition and </w:t>
      </w:r>
      <w:r w:rsidR="00B86853">
        <w:t>role of technical committees</w:t>
      </w:r>
      <w:r w:rsidR="00404580">
        <w:t>.</w:t>
      </w:r>
    </w:p>
    <w:p w14:paraId="2275ABE0" w14:textId="77777777" w:rsidR="00994162" w:rsidRPr="006A7416" w:rsidRDefault="00994162" w:rsidP="00994162">
      <w:pPr>
        <w:pStyle w:val="Heading3"/>
      </w:pPr>
      <w:bookmarkStart w:id="51" w:name="_Toc227680349"/>
      <w:bookmarkStart w:id="52" w:name="_Toc227680408"/>
      <w:bookmarkStart w:id="53" w:name="_Toc227765695"/>
      <w:r w:rsidRPr="006A7416">
        <w:t>Issues requiring further exploration</w:t>
      </w:r>
      <w:bookmarkEnd w:id="51"/>
      <w:bookmarkEnd w:id="52"/>
      <w:bookmarkEnd w:id="53"/>
    </w:p>
    <w:p w14:paraId="4AD1CA6D" w14:textId="77777777" w:rsidR="0066393A" w:rsidRPr="00250C58" w:rsidRDefault="0066393A" w:rsidP="00010EFC">
      <w:pPr>
        <w:pStyle w:val="Bullet"/>
      </w:pPr>
      <w:r>
        <w:t>Ensure appropriate design, structure, responsibilities and funding for the ABCB.</w:t>
      </w:r>
    </w:p>
    <w:p w14:paraId="6D4F9FD2" w14:textId="77777777" w:rsidR="0066393A" w:rsidRPr="00994162" w:rsidRDefault="0066393A" w:rsidP="00010EFC">
      <w:pPr>
        <w:pStyle w:val="Bullet"/>
      </w:pPr>
      <w:r>
        <w:t>Improve e</w:t>
      </w:r>
      <w:r w:rsidRPr="00994162">
        <w:t>nd</w:t>
      </w:r>
      <w:r w:rsidRPr="00994162">
        <w:noBreakHyphen/>
        <w:t>to</w:t>
      </w:r>
      <w:r w:rsidRPr="00994162">
        <w:noBreakHyphen/>
        <w:t>end decision processes that explicitly consider implementation impacts on industry</w:t>
      </w:r>
      <w:r>
        <w:t>, and balance these with policy outcomes</w:t>
      </w:r>
      <w:r w:rsidRPr="00994162">
        <w:t>.</w:t>
      </w:r>
    </w:p>
    <w:p w14:paraId="22B32E88" w14:textId="518B6E2B" w:rsidR="0066393A" w:rsidRPr="00CE4F65" w:rsidRDefault="0066393A" w:rsidP="00010EFC">
      <w:pPr>
        <w:pStyle w:val="Bullet"/>
      </w:pPr>
      <w:r>
        <w:t>Conduct s</w:t>
      </w:r>
      <w:r w:rsidRPr="00CE4F65">
        <w:t>tronger, fit</w:t>
      </w:r>
      <w:r w:rsidRPr="00CE4F65">
        <w:noBreakHyphen/>
        <w:t>for</w:t>
      </w:r>
      <w:r w:rsidRPr="00CE4F65">
        <w:noBreakHyphen/>
        <w:t>purpose cost–benefit analys</w:t>
      </w:r>
      <w:r>
        <w:t>e</w:t>
      </w:r>
      <w:r w:rsidRPr="00CE4F65">
        <w:t>s that capture cumulative</w:t>
      </w:r>
      <w:r>
        <w:t>,</w:t>
      </w:r>
      <w:r w:rsidRPr="00CE4F65">
        <w:t xml:space="preserve"> downstream </w:t>
      </w:r>
      <w:r>
        <w:t xml:space="preserve">and lifecycle </w:t>
      </w:r>
      <w:r w:rsidRPr="00CE4F65">
        <w:t>costs, not just first</w:t>
      </w:r>
      <w:r w:rsidRPr="00CE4F65">
        <w:noBreakHyphen/>
        <w:t>order impacts</w:t>
      </w:r>
      <w:r>
        <w:t>, drawing on technical expertise and evidence.</w:t>
      </w:r>
    </w:p>
    <w:p w14:paraId="4F0CD8F8" w14:textId="293DA166" w:rsidR="0066393A" w:rsidRDefault="00A62F99" w:rsidP="0066393A">
      <w:pPr>
        <w:pStyle w:val="Bullet"/>
      </w:pPr>
      <w:r>
        <w:t>C</w:t>
      </w:r>
      <w:r w:rsidR="0066393A">
        <w:t>larify</w:t>
      </w:r>
      <w:r>
        <w:t xml:space="preserve"> and improve transparency of stakeholder roles and</w:t>
      </w:r>
      <w:r w:rsidR="0066393A">
        <w:t xml:space="preserve"> </w:t>
      </w:r>
      <w:r w:rsidR="0066393A" w:rsidRPr="006A7416">
        <w:t xml:space="preserve">influence </w:t>
      </w:r>
      <w:r w:rsidR="0066393A">
        <w:t xml:space="preserve">with </w:t>
      </w:r>
      <w:r w:rsidR="0066393A" w:rsidRPr="006A7416">
        <w:t>NCC decision</w:t>
      </w:r>
      <w:r w:rsidR="0066393A" w:rsidRPr="006A7416">
        <w:noBreakHyphen/>
        <w:t>making.</w:t>
      </w:r>
    </w:p>
    <w:tbl>
      <w:tblPr>
        <w:tblW w:w="5000" w:type="pct"/>
        <w:shd w:val="clear" w:color="auto" w:fill="F2F2F2"/>
        <w:tblCellMar>
          <w:top w:w="227" w:type="dxa"/>
          <w:left w:w="227" w:type="dxa"/>
          <w:bottom w:w="227" w:type="dxa"/>
          <w:right w:w="227" w:type="dxa"/>
        </w:tblCellMar>
        <w:tblLook w:val="0600" w:firstRow="0" w:lastRow="0" w:firstColumn="0" w:lastColumn="0" w:noHBand="1" w:noVBand="1"/>
      </w:tblPr>
      <w:tblGrid>
        <w:gridCol w:w="9072"/>
      </w:tblGrid>
      <w:tr w:rsidR="001F55F4" w14:paraId="2C413616" w14:textId="77777777" w:rsidTr="1DE816AE">
        <w:tc>
          <w:tcPr>
            <w:tcW w:w="5000" w:type="pct"/>
            <w:shd w:val="clear" w:color="auto" w:fill="F2F2F2" w:themeFill="background1" w:themeFillShade="F2"/>
            <w:hideMark/>
          </w:tcPr>
          <w:p w14:paraId="23B8E956" w14:textId="0C3D37F8" w:rsidR="001F55F4" w:rsidRDefault="14BE7AF7" w:rsidP="00BC775A">
            <w:pPr>
              <w:pStyle w:val="BoxHeading"/>
            </w:pPr>
            <w:r>
              <w:lastRenderedPageBreak/>
              <w:t>Snapshot</w:t>
            </w:r>
            <w:r w:rsidR="001F55F4">
              <w:t xml:space="preserve">: </w:t>
            </w:r>
            <w:r w:rsidR="000A2B81">
              <w:t xml:space="preserve">Addressing waterproofing </w:t>
            </w:r>
            <w:r w:rsidR="00206AAE">
              <w:t>and weatherproofing defects</w:t>
            </w:r>
            <w:r w:rsidR="000A2B81">
              <w:t xml:space="preserve"> in buildings</w:t>
            </w:r>
          </w:p>
          <w:p w14:paraId="4E5AB7CB" w14:textId="5ADD1AD8" w:rsidR="00F74CD0" w:rsidRDefault="006C023D">
            <w:pPr>
              <w:pStyle w:val="Bullet"/>
            </w:pPr>
            <w:r>
              <w:t>States</w:t>
            </w:r>
            <w:r w:rsidR="017943C1">
              <w:t xml:space="preserve"> and territor</w:t>
            </w:r>
            <w:r w:rsidR="00782D0F">
              <w:t>ies</w:t>
            </w:r>
            <w:r w:rsidR="017943C1">
              <w:t xml:space="preserve"> </w:t>
            </w:r>
            <w:r>
              <w:t>estimate between 20% to 40% of apartment buildings</w:t>
            </w:r>
            <w:r w:rsidR="00C045A9">
              <w:t xml:space="preserve"> </w:t>
            </w:r>
            <w:r w:rsidR="00CF4888">
              <w:t xml:space="preserve">have </w:t>
            </w:r>
            <w:r>
              <w:t>waterproofing defects</w:t>
            </w:r>
            <w:r w:rsidR="6E49C642">
              <w:t>.</w:t>
            </w:r>
          </w:p>
          <w:p w14:paraId="203236BE" w14:textId="2526E7C9" w:rsidR="00CF4888" w:rsidRDefault="00AC2F60" w:rsidP="00411C91">
            <w:pPr>
              <w:pStyle w:val="Bullet"/>
            </w:pPr>
            <w:r>
              <w:t>To address the issue, t</w:t>
            </w:r>
            <w:r w:rsidR="00B235C8">
              <w:t xml:space="preserve">he ABCB commenced a </w:t>
            </w:r>
            <w:r w:rsidR="00966156">
              <w:t xml:space="preserve">Waterproofing and </w:t>
            </w:r>
            <w:proofErr w:type="spellStart"/>
            <w:r w:rsidR="00966156">
              <w:t>Watershedding</w:t>
            </w:r>
            <w:proofErr w:type="spellEnd"/>
            <w:r w:rsidR="00966156">
              <w:t xml:space="preserve"> </w:t>
            </w:r>
            <w:r w:rsidR="00585E12">
              <w:t>P</w:t>
            </w:r>
            <w:r w:rsidR="00966156">
              <w:t>roject</w:t>
            </w:r>
            <w:r w:rsidR="00585E12">
              <w:t xml:space="preserve"> </w:t>
            </w:r>
            <w:r w:rsidR="008C2078">
              <w:t>in 2021-22</w:t>
            </w:r>
            <w:r w:rsidR="00B235C8">
              <w:t xml:space="preserve"> and </w:t>
            </w:r>
            <w:r w:rsidR="00350481">
              <w:t>incorporated a</w:t>
            </w:r>
            <w:r w:rsidR="00585E12">
              <w:t xml:space="preserve"> first stage of changes </w:t>
            </w:r>
            <w:r w:rsidR="00D01833">
              <w:t>in NCC 2022</w:t>
            </w:r>
            <w:r w:rsidR="00E97B86">
              <w:t xml:space="preserve">, </w:t>
            </w:r>
            <w:r w:rsidR="00350481">
              <w:t xml:space="preserve">with </w:t>
            </w:r>
            <w:r w:rsidR="00E97B86">
              <w:t xml:space="preserve">a </w:t>
            </w:r>
            <w:r w:rsidR="004B2B9E">
              <w:t xml:space="preserve">second stage </w:t>
            </w:r>
            <w:r w:rsidR="005E62D5">
              <w:t>incorporat</w:t>
            </w:r>
            <w:r w:rsidR="00E97B86">
              <w:t>ed</w:t>
            </w:r>
            <w:r w:rsidR="005E62D5">
              <w:t xml:space="preserve"> in NCC 2025</w:t>
            </w:r>
            <w:r w:rsidR="00556452">
              <w:t xml:space="preserve">. </w:t>
            </w:r>
          </w:p>
          <w:p w14:paraId="2DCED31A" w14:textId="22E64A17" w:rsidR="00E9310D" w:rsidRDefault="00FD04BF" w:rsidP="00353BBA">
            <w:pPr>
              <w:pStyle w:val="Dash"/>
            </w:pPr>
            <w:r>
              <w:t>T</w:t>
            </w:r>
            <w:r w:rsidR="00C43DFE">
              <w:t>he ABCB</w:t>
            </w:r>
            <w:r w:rsidR="007E0728">
              <w:t xml:space="preserve"> </w:t>
            </w:r>
            <w:r w:rsidR="00F0784C">
              <w:t>worked with</w:t>
            </w:r>
            <w:r w:rsidR="003114BD">
              <w:t xml:space="preserve"> industry</w:t>
            </w:r>
            <w:r w:rsidR="00F0784C">
              <w:t xml:space="preserve">, </w:t>
            </w:r>
            <w:r w:rsidR="003114BD">
              <w:t xml:space="preserve">professional bodies and the NSW Building </w:t>
            </w:r>
            <w:r w:rsidR="00B02902">
              <w:t>Administration</w:t>
            </w:r>
            <w:r>
              <w:t xml:space="preserve"> to </w:t>
            </w:r>
            <w:r w:rsidR="00353BBA">
              <w:t xml:space="preserve">understands </w:t>
            </w:r>
            <w:r w:rsidR="00862371">
              <w:t xml:space="preserve">the </w:t>
            </w:r>
            <w:r>
              <w:t>issue</w:t>
            </w:r>
            <w:r w:rsidR="00353BBA">
              <w:t>s</w:t>
            </w:r>
            <w:r>
              <w:t xml:space="preserve"> and </w:t>
            </w:r>
            <w:r w:rsidR="00406498">
              <w:t xml:space="preserve">develop updated NCC requirements </w:t>
            </w:r>
            <w:r w:rsidR="006E18C4">
              <w:t xml:space="preserve">to mitigate and prevent </w:t>
            </w:r>
            <w:r w:rsidR="00897996">
              <w:t>future</w:t>
            </w:r>
            <w:r w:rsidR="00406498">
              <w:t xml:space="preserve"> </w:t>
            </w:r>
            <w:r w:rsidR="006E18C4">
              <w:t>waterproofing defects</w:t>
            </w:r>
            <w:r w:rsidR="00897996">
              <w:t>.</w:t>
            </w:r>
          </w:p>
          <w:p w14:paraId="38AD5423" w14:textId="08ADC9F3" w:rsidR="008657E3" w:rsidRDefault="00DD18E0" w:rsidP="00793AFD">
            <w:pPr>
              <w:pStyle w:val="Bullet"/>
            </w:pPr>
            <w:r>
              <w:t xml:space="preserve">On behalf of the ABCB, </w:t>
            </w:r>
            <w:r w:rsidR="006E18C4">
              <w:t>ACIL Allen</w:t>
            </w:r>
            <w:r>
              <w:t>’s</w:t>
            </w:r>
            <w:r w:rsidR="006E18C4">
              <w:t xml:space="preserve"> </w:t>
            </w:r>
            <w:r w:rsidR="005B4A4C">
              <w:t>Cost Benefit Analysis</w:t>
            </w:r>
            <w:r w:rsidR="00BC3C13">
              <w:t xml:space="preserve"> of the proposed </w:t>
            </w:r>
            <w:r w:rsidR="007A438E">
              <w:t xml:space="preserve">waterproofing and weatherproofing </w:t>
            </w:r>
            <w:r w:rsidR="00BC3C13">
              <w:t>changes</w:t>
            </w:r>
            <w:r>
              <w:t xml:space="preserve"> </w:t>
            </w:r>
            <w:r w:rsidR="007A438E">
              <w:t>had</w:t>
            </w:r>
            <w:r>
              <w:t xml:space="preserve"> a positive </w:t>
            </w:r>
            <w:r w:rsidR="00353BBA">
              <w:t xml:space="preserve">Benefit Cost Ratio (BCR) </w:t>
            </w:r>
            <w:r w:rsidR="0073763D">
              <w:t xml:space="preserve">for </w:t>
            </w:r>
            <w:r w:rsidR="007A438E">
              <w:t xml:space="preserve">apartments </w:t>
            </w:r>
            <w:r>
              <w:t>of</w:t>
            </w:r>
            <w:r w:rsidR="00353BBA">
              <w:t xml:space="preserve"> 4.3</w:t>
            </w:r>
            <w:r w:rsidR="00911104">
              <w:t xml:space="preserve"> and 4.9 </w:t>
            </w:r>
            <w:r w:rsidR="008657E3">
              <w:t>for commercial buildings.</w:t>
            </w:r>
          </w:p>
          <w:p w14:paraId="30DC29D6" w14:textId="6F2C31E3" w:rsidR="00736611" w:rsidRDefault="00236B92" w:rsidP="0048145F">
            <w:pPr>
              <w:pStyle w:val="Dash"/>
            </w:pPr>
            <w:r>
              <w:t xml:space="preserve">ACIL Allen </w:t>
            </w:r>
            <w:r w:rsidR="00B8014F">
              <w:t xml:space="preserve">estimated the </w:t>
            </w:r>
            <w:r w:rsidR="0020559D">
              <w:t>costs to hou</w:t>
            </w:r>
            <w:r w:rsidR="0045657B">
              <w:t xml:space="preserve">seholds for the </w:t>
            </w:r>
            <w:r w:rsidR="0037163A">
              <w:t>improvements in waterproofing and weatherproofing of apartment buildings</w:t>
            </w:r>
            <w:r w:rsidR="00573B9C">
              <w:t>, for the period of 2025 to 2034,</w:t>
            </w:r>
            <w:r w:rsidR="0037163A">
              <w:t xml:space="preserve"> to be $306 million, with an additional </w:t>
            </w:r>
            <w:r w:rsidR="0040607A">
              <w:t>$4 million in costs to industry.</w:t>
            </w:r>
          </w:p>
          <w:p w14:paraId="1630C390" w14:textId="6A440E0D" w:rsidR="0048145F" w:rsidRDefault="0040607A" w:rsidP="39035996">
            <w:pPr>
              <w:pStyle w:val="Dash"/>
            </w:pPr>
            <w:r>
              <w:t>T</w:t>
            </w:r>
            <w:r w:rsidR="0048145F">
              <w:t xml:space="preserve">he </w:t>
            </w:r>
            <w:r w:rsidR="00236B92">
              <w:t xml:space="preserve">avoided </w:t>
            </w:r>
            <w:r w:rsidR="0048145F">
              <w:t xml:space="preserve">rectification </w:t>
            </w:r>
            <w:r w:rsidR="0086297D">
              <w:t>and other associated</w:t>
            </w:r>
            <w:r w:rsidR="0048145F">
              <w:t xml:space="preserve"> costs</w:t>
            </w:r>
            <w:r w:rsidR="00F0480C">
              <w:t xml:space="preserve"> </w:t>
            </w:r>
            <w:r w:rsidR="00353BBA">
              <w:t xml:space="preserve">to households in apartment buildings </w:t>
            </w:r>
            <w:r w:rsidR="00F0480C">
              <w:t>for this period</w:t>
            </w:r>
            <w:r w:rsidR="0048145F">
              <w:t xml:space="preserve"> were </w:t>
            </w:r>
            <w:r w:rsidR="00573B9C">
              <w:t>estimated</w:t>
            </w:r>
            <w:r w:rsidR="0048145F">
              <w:t xml:space="preserve"> </w:t>
            </w:r>
            <w:r w:rsidR="00353BBA">
              <w:t>to</w:t>
            </w:r>
            <w:r w:rsidR="0048145F">
              <w:t xml:space="preserve"> be in the order of $1.3 billion.</w:t>
            </w:r>
          </w:p>
          <w:p w14:paraId="135D7860" w14:textId="1128AC88" w:rsidR="003A1343" w:rsidRDefault="007930EE" w:rsidP="007930EE">
            <w:pPr>
              <w:pStyle w:val="Bullet"/>
            </w:pPr>
            <w:r>
              <w:t xml:space="preserve">This project </w:t>
            </w:r>
            <w:r w:rsidR="003A1343">
              <w:t>demonstrate</w:t>
            </w:r>
            <w:r w:rsidR="007A438E">
              <w:t>s</w:t>
            </w:r>
            <w:r w:rsidR="003A1343">
              <w:t xml:space="preserve"> the benefits</w:t>
            </w:r>
            <w:r>
              <w:t xml:space="preserve"> of </w:t>
            </w:r>
            <w:r w:rsidR="00190710">
              <w:t>transparent</w:t>
            </w:r>
            <w:r w:rsidR="007A438E">
              <w:t>,</w:t>
            </w:r>
            <w:r w:rsidR="00190710">
              <w:t xml:space="preserve"> evidence-based reforms.</w:t>
            </w:r>
          </w:p>
          <w:p w14:paraId="07DC5F50" w14:textId="054465BD" w:rsidR="008C01A9" w:rsidRDefault="004011CE" w:rsidP="004011CE">
            <w:pPr>
              <w:pStyle w:val="Dash"/>
            </w:pPr>
            <w:r>
              <w:t>The ABCB was able to w</w:t>
            </w:r>
            <w:r w:rsidR="00FF2BCF">
              <w:t xml:space="preserve">ork with </w:t>
            </w:r>
            <w:r w:rsidR="007A438E">
              <w:t xml:space="preserve">state regulators, </w:t>
            </w:r>
            <w:r w:rsidR="00FF2BCF">
              <w:t>industry</w:t>
            </w:r>
            <w:r w:rsidR="007A438E">
              <w:t xml:space="preserve"> and</w:t>
            </w:r>
            <w:r w:rsidR="00FF2BCF">
              <w:t xml:space="preserve"> professionals </w:t>
            </w:r>
            <w:r w:rsidR="00EC1E2B">
              <w:t>to</w:t>
            </w:r>
            <w:r w:rsidR="00FF2BCF">
              <w:t xml:space="preserve"> identify </w:t>
            </w:r>
            <w:r w:rsidR="00093B15">
              <w:t xml:space="preserve">the problem and develop </w:t>
            </w:r>
            <w:r w:rsidR="007D530E">
              <w:t>sound</w:t>
            </w:r>
            <w:r w:rsidR="0033463A">
              <w:t xml:space="preserve"> solutions</w:t>
            </w:r>
            <w:r>
              <w:t>, p</w:t>
            </w:r>
            <w:r w:rsidR="00D62B7C">
              <w:t>reventing households</w:t>
            </w:r>
            <w:r w:rsidR="00197E51">
              <w:t xml:space="preserve"> and building owners</w:t>
            </w:r>
            <w:r w:rsidR="00D62B7C">
              <w:t xml:space="preserve"> from </w:t>
            </w:r>
            <w:r w:rsidR="000B7A4A">
              <w:t xml:space="preserve">incurring </w:t>
            </w:r>
            <w:r w:rsidR="00D62B7C">
              <w:t xml:space="preserve">significant </w:t>
            </w:r>
            <w:r>
              <w:t>financial losses and costs</w:t>
            </w:r>
            <w:r w:rsidR="00D62B7C">
              <w:t xml:space="preserve"> to rectify issues.</w:t>
            </w:r>
          </w:p>
        </w:tc>
      </w:tr>
    </w:tbl>
    <w:p w14:paraId="1085EF49" w14:textId="77777777" w:rsidR="001F55F4" w:rsidRDefault="001F55F4">
      <w:pPr>
        <w:spacing w:before="0" w:after="160" w:line="259" w:lineRule="auto"/>
        <w:rPr>
          <w:rFonts w:ascii="Calibri" w:hAnsi="Calibri" w:cs="Arial"/>
          <w:iCs/>
          <w:color w:val="2C384A" w:themeColor="accent1"/>
          <w:kern w:val="32"/>
          <w:sz w:val="36"/>
          <w:szCs w:val="28"/>
        </w:rPr>
      </w:pPr>
      <w:r>
        <w:br w:type="page"/>
      </w:r>
    </w:p>
    <w:p w14:paraId="5E43C3FD" w14:textId="52500444" w:rsidR="00994162" w:rsidRPr="002C1C9E" w:rsidRDefault="00994162" w:rsidP="00994162">
      <w:pPr>
        <w:pStyle w:val="Heading2"/>
      </w:pPr>
      <w:bookmarkStart w:id="54" w:name="_Toc227834516"/>
      <w:bookmarkStart w:id="55" w:name="_Toc228371015"/>
      <w:r>
        <w:lastRenderedPageBreak/>
        <w:t xml:space="preserve">Reform direction 4: Enable </w:t>
      </w:r>
      <w:r w:rsidR="00D94F33">
        <w:t xml:space="preserve">clear pathways to </w:t>
      </w:r>
      <w:r>
        <w:t>innovation and new products</w:t>
      </w:r>
      <w:bookmarkEnd w:id="54"/>
      <w:bookmarkEnd w:id="55"/>
    </w:p>
    <w:p w14:paraId="21E1D3F4" w14:textId="77777777" w:rsidR="00CE2B5D" w:rsidRDefault="00CE2B5D" w:rsidP="00CE2B5D">
      <w:pPr>
        <w:pStyle w:val="Heading3"/>
      </w:pPr>
      <w:bookmarkStart w:id="56" w:name="_Toc227680351"/>
      <w:bookmarkStart w:id="57" w:name="_Toc227680410"/>
      <w:bookmarkStart w:id="58" w:name="_Toc227765697"/>
      <w:r>
        <w:t>What we’ve heard</w:t>
      </w:r>
    </w:p>
    <w:bookmarkEnd w:id="56"/>
    <w:bookmarkEnd w:id="57"/>
    <w:bookmarkEnd w:id="58"/>
    <w:p w14:paraId="21C8A4C1" w14:textId="6D9BE452" w:rsidR="00527B50" w:rsidRDefault="00527B50" w:rsidP="008F1556">
      <w:pPr>
        <w:pStyle w:val="Bullet"/>
      </w:pPr>
      <w:r>
        <w:t>While the NCC is intended to be performance</w:t>
      </w:r>
      <w:r w:rsidRPr="00484FA8">
        <w:rPr>
          <w:rFonts w:ascii="Cambria Math" w:hAnsi="Cambria Math" w:cs="Cambria Math"/>
        </w:rPr>
        <w:t>‑</w:t>
      </w:r>
      <w:r>
        <w:t>based, stakeholders repeatedly emphasised that pathways for innovative products and methods are slow, uncertain and costly. As a result, innovation struggles to scale nationally.</w:t>
      </w:r>
    </w:p>
    <w:p w14:paraId="7A09DE47" w14:textId="26C7F894" w:rsidR="00473245" w:rsidRPr="00473245" w:rsidRDefault="00473245" w:rsidP="008F1556">
      <w:pPr>
        <w:pStyle w:val="Bullet"/>
      </w:pPr>
      <w:r w:rsidRPr="00473245">
        <w:t xml:space="preserve">The Panel heard evidence from one product supplier of a </w:t>
      </w:r>
      <w:r w:rsidR="00CE2B5D" w:rsidRPr="00473245">
        <w:t>10-year</w:t>
      </w:r>
      <w:r w:rsidRPr="00473245">
        <w:t xml:space="preserve"> journey to have an innovative building system approved that had the potential to lower building costs by over 10 per cent. </w:t>
      </w:r>
    </w:p>
    <w:p w14:paraId="37A817E2" w14:textId="77777777" w:rsidR="005621BA" w:rsidRPr="00B32133" w:rsidRDefault="005621BA" w:rsidP="005621BA">
      <w:pPr>
        <w:pStyle w:val="Heading3"/>
      </w:pPr>
      <w:r w:rsidRPr="009C035E">
        <w:t>Immediate actions</w:t>
      </w:r>
      <w:r w:rsidRPr="00B32133">
        <w:t xml:space="preserve"> to consider</w:t>
      </w:r>
    </w:p>
    <w:p w14:paraId="537CB3DE" w14:textId="6186776B" w:rsidR="00994162" w:rsidRPr="00994162" w:rsidRDefault="00803BDB" w:rsidP="00994162">
      <w:pPr>
        <w:pStyle w:val="Bullet"/>
      </w:pPr>
      <w:r w:rsidRPr="00B32133">
        <w:t>Establish</w:t>
      </w:r>
      <w:r w:rsidR="00994162" w:rsidRPr="00994162">
        <w:t xml:space="preserve"> a clear, trusted and nationally consistent pathway to market for new products and construction methods.</w:t>
      </w:r>
    </w:p>
    <w:p w14:paraId="1FF7F721" w14:textId="493D3E3D" w:rsidR="00C60883" w:rsidRPr="00B32133" w:rsidRDefault="00C60883" w:rsidP="00994162">
      <w:pPr>
        <w:pStyle w:val="Bullet"/>
      </w:pPr>
      <w:r w:rsidRPr="00B32133">
        <w:t>Shift away from project</w:t>
      </w:r>
      <w:r w:rsidRPr="00B32133">
        <w:rPr>
          <w:rFonts w:ascii="Cambria Math" w:hAnsi="Cambria Math" w:cs="Cambria Math"/>
        </w:rPr>
        <w:t>‑</w:t>
      </w:r>
      <w:r w:rsidRPr="00B32133">
        <w:t>by</w:t>
      </w:r>
      <w:r w:rsidRPr="00B32133">
        <w:rPr>
          <w:rFonts w:ascii="Cambria Math" w:hAnsi="Cambria Math" w:cs="Cambria Math"/>
        </w:rPr>
        <w:t>‑</w:t>
      </w:r>
      <w:r w:rsidRPr="00B32133">
        <w:t>project performance solutions to reduce costs and improve consistency.</w:t>
      </w:r>
    </w:p>
    <w:p w14:paraId="012CB281" w14:textId="77777777" w:rsidR="00994162" w:rsidRDefault="00994162" w:rsidP="00994162">
      <w:pPr>
        <w:pStyle w:val="Heading3"/>
      </w:pPr>
      <w:bookmarkStart w:id="59" w:name="_Toc227680355"/>
      <w:bookmarkStart w:id="60" w:name="_Toc227680414"/>
      <w:bookmarkStart w:id="61" w:name="_Toc227765699"/>
      <w:r>
        <w:t>Issues requiring further exploration</w:t>
      </w:r>
      <w:bookmarkEnd w:id="59"/>
      <w:bookmarkEnd w:id="60"/>
      <w:bookmarkEnd w:id="61"/>
    </w:p>
    <w:p w14:paraId="235CECD8" w14:textId="77777777" w:rsidR="00E51D83" w:rsidRPr="00994162" w:rsidRDefault="00E51D83" w:rsidP="00010EFC">
      <w:pPr>
        <w:pStyle w:val="Bullet"/>
      </w:pPr>
      <w:r>
        <w:t xml:space="preserve">Implement scalable approval pathways for products and methods that demonstrate performance once and </w:t>
      </w:r>
      <w:r w:rsidRPr="00994162">
        <w:t>are reused many times.</w:t>
      </w:r>
    </w:p>
    <w:p w14:paraId="3EF6F2F6" w14:textId="7F68EE52" w:rsidR="00E51D83" w:rsidRPr="00994162" w:rsidRDefault="00E51D83" w:rsidP="00010EFC">
      <w:pPr>
        <w:pStyle w:val="Bullet"/>
      </w:pPr>
      <w:r>
        <w:t>Expand</w:t>
      </w:r>
      <w:r w:rsidRPr="00994162">
        <w:t xml:space="preserve"> and better</w:t>
      </w:r>
      <w:r w:rsidR="00691F5F">
        <w:rPr>
          <w:rFonts w:ascii="Cambria Math" w:hAnsi="Cambria Math" w:cs="Cambria Math"/>
        </w:rPr>
        <w:t xml:space="preserve"> </w:t>
      </w:r>
      <w:r w:rsidRPr="00994162">
        <w:t xml:space="preserve">resource </w:t>
      </w:r>
      <w:r>
        <w:t>DTS</w:t>
      </w:r>
      <w:r w:rsidRPr="00994162">
        <w:t xml:space="preserve"> pathways.</w:t>
      </w:r>
    </w:p>
    <w:p w14:paraId="22D38EB3" w14:textId="77777777" w:rsidR="00E51D83" w:rsidRDefault="00E51D83" w:rsidP="00010EFC">
      <w:pPr>
        <w:pStyle w:val="Bullet"/>
      </w:pPr>
      <w:r w:rsidRPr="00710502">
        <w:t xml:space="preserve">Strengthen national certification mechanisms (such as </w:t>
      </w:r>
      <w:proofErr w:type="spellStart"/>
      <w:r w:rsidRPr="00710502">
        <w:t>CodeMark</w:t>
      </w:r>
      <w:proofErr w:type="spellEnd"/>
      <w:r w:rsidRPr="00710502">
        <w:t>) to reduce duplicated assessments, including consideration of technical advisory groups to support product certification decisions.</w:t>
      </w:r>
    </w:p>
    <w:p w14:paraId="29163FDF" w14:textId="77777777" w:rsidR="00E51D83" w:rsidRDefault="00E51D83" w:rsidP="00E51D83">
      <w:pPr>
        <w:pStyle w:val="Bullet"/>
      </w:pPr>
      <w:r>
        <w:t>Fast track adoption of international standards where they meet Australian standards and deliver a clear net benefit.</w:t>
      </w:r>
    </w:p>
    <w:tbl>
      <w:tblPr>
        <w:tblW w:w="5000" w:type="pct"/>
        <w:shd w:val="clear" w:color="auto" w:fill="F2F2F2"/>
        <w:tblCellMar>
          <w:top w:w="227" w:type="dxa"/>
          <w:left w:w="227" w:type="dxa"/>
          <w:bottom w:w="227" w:type="dxa"/>
          <w:right w:w="227" w:type="dxa"/>
        </w:tblCellMar>
        <w:tblLook w:val="0600" w:firstRow="0" w:lastRow="0" w:firstColumn="0" w:lastColumn="0" w:noHBand="1" w:noVBand="1"/>
      </w:tblPr>
      <w:tblGrid>
        <w:gridCol w:w="9072"/>
      </w:tblGrid>
      <w:tr w:rsidR="00B31B73" w14:paraId="69B9640E" w14:textId="77777777" w:rsidTr="495D7913">
        <w:tc>
          <w:tcPr>
            <w:tcW w:w="5000" w:type="pct"/>
            <w:shd w:val="clear" w:color="auto" w:fill="F2F2F2" w:themeFill="background1" w:themeFillShade="F2"/>
            <w:hideMark/>
          </w:tcPr>
          <w:p w14:paraId="7205B56C" w14:textId="79E626DA" w:rsidR="00B31B73" w:rsidRPr="00DB2342" w:rsidRDefault="00994162" w:rsidP="00B31B73">
            <w:pPr>
              <w:pStyle w:val="Heading3"/>
              <w:rPr>
                <w:rFonts w:ascii="Calibri Light" w:hAnsi="Calibri Light" w:cs="Times New Roman"/>
                <w:color w:val="2C384A" w:themeColor="accent1"/>
                <w:kern w:val="0"/>
                <w:sz w:val="26"/>
              </w:rPr>
            </w:pPr>
            <w:r>
              <w:lastRenderedPageBreak/>
              <w:br w:type="page"/>
            </w:r>
            <w:r w:rsidR="00F73927" w:rsidRPr="008F1556">
              <w:rPr>
                <w:rFonts w:ascii="Calibri Light" w:hAnsi="Calibri Light" w:cs="Times New Roman"/>
                <w:color w:val="2C384A" w:themeColor="accent1"/>
                <w:kern w:val="0"/>
                <w:sz w:val="26"/>
              </w:rPr>
              <w:t>Case Study</w:t>
            </w:r>
            <w:r w:rsidR="00B31B73" w:rsidRPr="00DB2342">
              <w:rPr>
                <w:rFonts w:ascii="Calibri Light" w:hAnsi="Calibri Light" w:cs="Times New Roman"/>
                <w:color w:val="2C384A" w:themeColor="accent1"/>
                <w:kern w:val="0"/>
                <w:sz w:val="26"/>
              </w:rPr>
              <w:t>:</w:t>
            </w:r>
            <w:r w:rsidR="00F73927">
              <w:rPr>
                <w:rFonts w:ascii="Calibri Light" w:hAnsi="Calibri Light" w:cs="Times New Roman"/>
                <w:color w:val="2C384A" w:themeColor="accent1"/>
                <w:kern w:val="0"/>
                <w:sz w:val="26"/>
              </w:rPr>
              <w:t xml:space="preserve"> </w:t>
            </w:r>
            <w:proofErr w:type="spellStart"/>
            <w:r w:rsidR="00F73927">
              <w:rPr>
                <w:rFonts w:ascii="Calibri Light" w:hAnsi="Calibri Light" w:cs="Times New Roman"/>
                <w:color w:val="2C384A" w:themeColor="accent1"/>
                <w:kern w:val="0"/>
                <w:sz w:val="26"/>
              </w:rPr>
              <w:t>CodeMark</w:t>
            </w:r>
            <w:proofErr w:type="spellEnd"/>
            <w:r w:rsidR="00F73927">
              <w:rPr>
                <w:rFonts w:ascii="Calibri Light" w:hAnsi="Calibri Light" w:cs="Times New Roman"/>
                <w:color w:val="2C384A" w:themeColor="accent1"/>
                <w:kern w:val="0"/>
                <w:sz w:val="26"/>
              </w:rPr>
              <w:t xml:space="preserve"> and missed opportunities</w:t>
            </w:r>
            <w:bookmarkStart w:id="62" w:name="_Toc227765700"/>
            <w:r w:rsidR="00B31B73" w:rsidRPr="00DB2342">
              <w:rPr>
                <w:rFonts w:ascii="Calibri Light" w:hAnsi="Calibri Light" w:cs="Times New Roman"/>
                <w:color w:val="2C384A" w:themeColor="accent1"/>
                <w:kern w:val="0"/>
                <w:sz w:val="26"/>
              </w:rPr>
              <w:t xml:space="preserve"> </w:t>
            </w:r>
            <w:bookmarkEnd w:id="62"/>
          </w:p>
          <w:p w14:paraId="38176488" w14:textId="72800B19" w:rsidR="00112B2E" w:rsidRDefault="00112B2E" w:rsidP="00955B7C">
            <w:pPr>
              <w:pStyle w:val="Bullet"/>
            </w:pPr>
            <w:proofErr w:type="spellStart"/>
            <w:r w:rsidRPr="00112B2E">
              <w:t>CodeMark</w:t>
            </w:r>
            <w:proofErr w:type="spellEnd"/>
            <w:r w:rsidRPr="00112B2E">
              <w:t xml:space="preserve"> is a voluntary, third-party building product certification scheme administered by the </w:t>
            </w:r>
            <w:r>
              <w:t>ABCB.</w:t>
            </w:r>
            <w:r w:rsidRPr="00112B2E">
              <w:t xml:space="preserve"> It provides a </w:t>
            </w:r>
            <w:r w:rsidRPr="008F1556">
              <w:t>Certificate of Conformity</w:t>
            </w:r>
            <w:r w:rsidRPr="00112B2E">
              <w:t> to verify that a building product complies with the NCC requirements.</w:t>
            </w:r>
          </w:p>
          <w:p w14:paraId="46FEE241" w14:textId="4B4011BD" w:rsidR="00B13C1B" w:rsidRDefault="00F93119" w:rsidP="00A336F8">
            <w:pPr>
              <w:pStyle w:val="Bullet"/>
            </w:pPr>
            <w:proofErr w:type="spellStart"/>
            <w:r>
              <w:t>CodeMark</w:t>
            </w:r>
            <w:proofErr w:type="spellEnd"/>
            <w:r>
              <w:t xml:space="preserve"> </w:t>
            </w:r>
            <w:r w:rsidR="00112B2E">
              <w:t xml:space="preserve">aims to </w:t>
            </w:r>
            <w:r w:rsidR="003458D8">
              <w:t xml:space="preserve">support </w:t>
            </w:r>
            <w:r w:rsidR="00112B2E">
              <w:t>broader</w:t>
            </w:r>
            <w:r w:rsidR="003458D8">
              <w:t xml:space="preserve"> use of new or innovative building products</w:t>
            </w:r>
            <w:r w:rsidR="006C4D75">
              <w:t xml:space="preserve"> in specified</w:t>
            </w:r>
            <w:r w:rsidR="009C30E1">
              <w:t xml:space="preserve"> circumstances</w:t>
            </w:r>
            <w:r w:rsidR="00A54256">
              <w:t xml:space="preserve"> </w:t>
            </w:r>
            <w:r w:rsidR="00DC130A">
              <w:t>by providing high-level evidence of suitability</w:t>
            </w:r>
            <w:r w:rsidR="003C0F5E">
              <w:t>.</w:t>
            </w:r>
            <w:r w:rsidR="007E5771">
              <w:t xml:space="preserve"> </w:t>
            </w:r>
            <w:r w:rsidR="007E5771" w:rsidRPr="007E5771">
              <w:t xml:space="preserve">It </w:t>
            </w:r>
            <w:r w:rsidR="007E5771">
              <w:t>has the potential to</w:t>
            </w:r>
            <w:r w:rsidR="00B13C1B">
              <w:t>:</w:t>
            </w:r>
          </w:p>
          <w:p w14:paraId="502BB0B1" w14:textId="4AA0FF34" w:rsidR="00B13C1B" w:rsidRDefault="007E5771" w:rsidP="00B13C1B">
            <w:pPr>
              <w:pStyle w:val="Dash"/>
            </w:pPr>
            <w:r w:rsidRPr="007E5771">
              <w:t xml:space="preserve">speed up </w:t>
            </w:r>
            <w:r>
              <w:t xml:space="preserve">construction </w:t>
            </w:r>
            <w:r w:rsidR="00363D43">
              <w:t>by pre-verifying</w:t>
            </w:r>
            <w:r w:rsidRPr="007E5771">
              <w:t xml:space="preserve"> product</w:t>
            </w:r>
            <w:r>
              <w:t>s</w:t>
            </w:r>
            <w:r w:rsidRPr="007E5771">
              <w:t xml:space="preserve"> meet</w:t>
            </w:r>
            <w:r w:rsidR="00EA6844">
              <w:t>ing</w:t>
            </w:r>
            <w:r w:rsidRPr="007E5771">
              <w:t xml:space="preserve"> building standards</w:t>
            </w:r>
          </w:p>
          <w:p w14:paraId="23196E5A" w14:textId="3689FE98" w:rsidR="00B13C1B" w:rsidRDefault="007E5771" w:rsidP="00B13C1B">
            <w:pPr>
              <w:pStyle w:val="Dash"/>
            </w:pPr>
            <w:r w:rsidRPr="007E5771">
              <w:t>mitigate the risk of using non-compliant or inferior materials on projects</w:t>
            </w:r>
          </w:p>
          <w:p w14:paraId="48451593" w14:textId="591EC6C4" w:rsidR="00B13C1B" w:rsidRDefault="00B13C1B" w:rsidP="00B13C1B">
            <w:pPr>
              <w:pStyle w:val="Dash"/>
            </w:pPr>
            <w:r>
              <w:t>increase the use of new and innovative products and grow new markets.</w:t>
            </w:r>
          </w:p>
          <w:p w14:paraId="00E266EB" w14:textId="010C4C0A" w:rsidR="00237945" w:rsidRDefault="00B13C1B" w:rsidP="008F1556">
            <w:pPr>
              <w:pStyle w:val="Bullet"/>
            </w:pPr>
            <w:r>
              <w:t xml:space="preserve">However, </w:t>
            </w:r>
            <w:r w:rsidR="00237945">
              <w:t xml:space="preserve">there are barriers to realising these benefits. </w:t>
            </w:r>
            <w:r w:rsidR="00CD560A">
              <w:t xml:space="preserve">While </w:t>
            </w:r>
            <w:r w:rsidR="00237945">
              <w:t>cost</w:t>
            </w:r>
            <w:r w:rsidR="00CD560A">
              <w:t>s</w:t>
            </w:r>
            <w:r w:rsidR="00237945">
              <w:t xml:space="preserve"> to apply </w:t>
            </w:r>
            <w:r w:rsidR="00CD560A">
              <w:t xml:space="preserve">and </w:t>
            </w:r>
            <w:r w:rsidR="00EE5BA2">
              <w:t>time</w:t>
            </w:r>
            <w:r w:rsidR="00237945">
              <w:t xml:space="preserve"> </w:t>
            </w:r>
            <w:r w:rsidR="00CD560A">
              <w:t xml:space="preserve">taken to </w:t>
            </w:r>
            <w:r w:rsidR="00237945">
              <w:t>receive certification</w:t>
            </w:r>
            <w:r w:rsidR="00CD560A">
              <w:t xml:space="preserve"> are acceptable and tolerated</w:t>
            </w:r>
            <w:r w:rsidR="00237945">
              <w:t xml:space="preserve">, </w:t>
            </w:r>
            <w:proofErr w:type="spellStart"/>
            <w:r w:rsidR="008F34E5">
              <w:t>CodeMark</w:t>
            </w:r>
            <w:proofErr w:type="spellEnd"/>
            <w:r w:rsidR="00625311">
              <w:t xml:space="preserve">-certified products </w:t>
            </w:r>
            <w:r w:rsidR="008F11E4">
              <w:t xml:space="preserve">are not </w:t>
            </w:r>
            <w:r w:rsidR="00EE5BA2">
              <w:t>automatically</w:t>
            </w:r>
            <w:r w:rsidR="004D04B3">
              <w:t xml:space="preserve"> </w:t>
            </w:r>
            <w:r w:rsidR="00826BD2">
              <w:t>accepted to meet</w:t>
            </w:r>
            <w:r w:rsidR="008F66EE">
              <w:t xml:space="preserve"> compliance</w:t>
            </w:r>
            <w:r w:rsidR="004D04B3">
              <w:t xml:space="preserve">. </w:t>
            </w:r>
          </w:p>
          <w:p w14:paraId="42282B29" w14:textId="2AECD67B" w:rsidR="001C72E6" w:rsidRDefault="00237945" w:rsidP="00860F6D">
            <w:pPr>
              <w:pStyle w:val="Bullet"/>
            </w:pPr>
            <w:r>
              <w:t xml:space="preserve">This has </w:t>
            </w:r>
            <w:r w:rsidR="009B208C">
              <w:t>impacted</w:t>
            </w:r>
            <w:r w:rsidR="00EA6EB4">
              <w:t xml:space="preserve"> product manufacturers </w:t>
            </w:r>
            <w:r w:rsidR="009B208C">
              <w:t xml:space="preserve">in their </w:t>
            </w:r>
            <w:r w:rsidR="00383D67">
              <w:t>pursu</w:t>
            </w:r>
            <w:r w:rsidR="009B208C">
              <w:t xml:space="preserve">it to </w:t>
            </w:r>
            <w:r w:rsidR="00EE5BA2">
              <w:t>develop</w:t>
            </w:r>
            <w:r w:rsidR="009B208C">
              <w:t xml:space="preserve"> new and innovative materials recognised </w:t>
            </w:r>
            <w:r w:rsidR="008F044D">
              <w:t>as compliant with the NCC</w:t>
            </w:r>
            <w:r w:rsidR="00EA6EB4">
              <w:t xml:space="preserve">, including </w:t>
            </w:r>
            <w:r w:rsidR="00D3411B">
              <w:t xml:space="preserve">when </w:t>
            </w:r>
            <w:r w:rsidR="00EA6EB4">
              <w:t xml:space="preserve">submitting proposals to have </w:t>
            </w:r>
            <w:r w:rsidR="63C5650B">
              <w:t>DTS</w:t>
            </w:r>
            <w:r w:rsidR="00EA6EB4">
              <w:t xml:space="preserve"> provisions</w:t>
            </w:r>
            <w:r w:rsidR="00576D5B">
              <w:t xml:space="preserve"> </w:t>
            </w:r>
            <w:r w:rsidR="007B25C4">
              <w:t xml:space="preserve">in the NCC </w:t>
            </w:r>
            <w:r w:rsidR="00576D5B">
              <w:t xml:space="preserve">for their products. </w:t>
            </w:r>
          </w:p>
          <w:p w14:paraId="50A94F6F" w14:textId="72CA21FE" w:rsidR="00D434C8" w:rsidRDefault="00D434C8" w:rsidP="001C72E6">
            <w:pPr>
              <w:pStyle w:val="Dash"/>
            </w:pPr>
            <w:r>
              <w:t>Changes to the NCC</w:t>
            </w:r>
            <w:r w:rsidR="001C72E6">
              <w:t xml:space="preserve">, including through the ABCB’s request for change process, are beholden to the regular update </w:t>
            </w:r>
            <w:r w:rsidR="000016DA">
              <w:t xml:space="preserve">decision </w:t>
            </w:r>
            <w:r w:rsidR="001C72E6">
              <w:t>process</w:t>
            </w:r>
            <w:r w:rsidR="000016DA">
              <w:t>es</w:t>
            </w:r>
            <w:r w:rsidR="001C72E6">
              <w:t xml:space="preserve"> of the NCC, including </w:t>
            </w:r>
            <w:r w:rsidR="000016DA">
              <w:t>update cadences</w:t>
            </w:r>
            <w:r w:rsidR="001C72E6">
              <w:t xml:space="preserve">. </w:t>
            </w:r>
          </w:p>
          <w:p w14:paraId="6F27D01E" w14:textId="4F0580DC" w:rsidR="00324D7F" w:rsidRDefault="00834266" w:rsidP="00324D7F">
            <w:pPr>
              <w:pStyle w:val="Dash"/>
            </w:pPr>
            <w:r>
              <w:t>M</w:t>
            </w:r>
            <w:r w:rsidR="007B25C4">
              <w:t xml:space="preserve">anufacturers </w:t>
            </w:r>
            <w:r>
              <w:t xml:space="preserve">carry significant risk </w:t>
            </w:r>
            <w:r w:rsidR="008B71D8">
              <w:t>undertaking this pathway and are beholden to broader processes</w:t>
            </w:r>
            <w:r w:rsidR="00324D7F">
              <w:t xml:space="preserve"> and opaque decision </w:t>
            </w:r>
            <w:r w:rsidR="00FC51BE">
              <w:t>making</w:t>
            </w:r>
            <w:r w:rsidR="008B71D8">
              <w:t xml:space="preserve">. </w:t>
            </w:r>
          </w:p>
          <w:p w14:paraId="452B08DD" w14:textId="4752B446" w:rsidR="00CD6D80" w:rsidRDefault="00CD6D80" w:rsidP="00324D7F">
            <w:pPr>
              <w:pStyle w:val="Dash"/>
            </w:pPr>
            <w:r>
              <w:t xml:space="preserve">If </w:t>
            </w:r>
            <w:proofErr w:type="spellStart"/>
            <w:r w:rsidR="003D4966">
              <w:t>CodeMark</w:t>
            </w:r>
            <w:proofErr w:type="spellEnd"/>
            <w:r w:rsidR="003D4966">
              <w:t xml:space="preserve"> provided </w:t>
            </w:r>
            <w:r w:rsidR="00EB6E89">
              <w:t>greater</w:t>
            </w:r>
            <w:r w:rsidR="00670645">
              <w:t xml:space="preserve"> surety of acceptance, </w:t>
            </w:r>
            <w:r w:rsidR="00F25A56">
              <w:t xml:space="preserve">it </w:t>
            </w:r>
            <w:r w:rsidR="00306BED">
              <w:t xml:space="preserve">would either prevent the need for inclusion in the </w:t>
            </w:r>
            <w:r w:rsidR="00F50654">
              <w:t>DTS</w:t>
            </w:r>
            <w:r w:rsidR="00306BED">
              <w:t xml:space="preserve"> or provide a pathway for </w:t>
            </w:r>
            <w:r w:rsidR="007B2B54">
              <w:t xml:space="preserve">demonstrating compliance while </w:t>
            </w:r>
            <w:r w:rsidR="00E331C5">
              <w:t xml:space="preserve">the </w:t>
            </w:r>
            <w:r w:rsidR="007B2B54">
              <w:t>ABCB undertook their assessment process for the proposal for change.</w:t>
            </w:r>
          </w:p>
          <w:p w14:paraId="128A6E41" w14:textId="1BD537A1" w:rsidR="007B4AAC" w:rsidRDefault="00324D7F" w:rsidP="007B4AAC">
            <w:pPr>
              <w:pStyle w:val="Bullet"/>
            </w:pPr>
            <w:r>
              <w:t xml:space="preserve">For example, </w:t>
            </w:r>
            <w:r w:rsidR="00B35CC6">
              <w:t>t</w:t>
            </w:r>
            <w:r w:rsidR="00B31B73" w:rsidRPr="00A97E00">
              <w:t>he National Association of Steel-Framed Housing (NASH)</w:t>
            </w:r>
            <w:r w:rsidR="00536663">
              <w:t xml:space="preserve"> </w:t>
            </w:r>
            <w:r>
              <w:t xml:space="preserve">submitted </w:t>
            </w:r>
            <w:r w:rsidR="00536663">
              <w:t xml:space="preserve">a proposal </w:t>
            </w:r>
            <w:r w:rsidR="00425F7A">
              <w:t>for</w:t>
            </w:r>
            <w:r w:rsidR="00536663">
              <w:t xml:space="preserve"> change to have light</w:t>
            </w:r>
            <w:r w:rsidR="0048535A">
              <w:t xml:space="preserve">-gauge </w:t>
            </w:r>
            <w:r w:rsidR="00990930">
              <w:t xml:space="preserve">steel </w:t>
            </w:r>
            <w:r w:rsidR="00CA591E">
              <w:t xml:space="preserve">framed </w:t>
            </w:r>
            <w:r w:rsidR="00990930">
              <w:t>walls</w:t>
            </w:r>
            <w:r w:rsidR="003331D5">
              <w:t xml:space="preserve"> </w:t>
            </w:r>
            <w:r w:rsidR="00CA591E">
              <w:t>recognised as an acceptable</w:t>
            </w:r>
            <w:r w:rsidR="00990930">
              <w:t xml:space="preserve"> </w:t>
            </w:r>
            <w:r w:rsidR="00ED5019">
              <w:t>wall type for loadbearing internal walls in Type A construction.</w:t>
            </w:r>
          </w:p>
          <w:p w14:paraId="318E8999" w14:textId="63611236" w:rsidR="007B4AAC" w:rsidRDefault="00A12B39">
            <w:pPr>
              <w:pStyle w:val="Dash"/>
            </w:pPr>
            <w:r>
              <w:t xml:space="preserve">NASH undertook the steps </w:t>
            </w:r>
            <w:r w:rsidR="00324D7F">
              <w:t xml:space="preserve">required by the ABCB (submitting a proposal, </w:t>
            </w:r>
            <w:r w:rsidR="007B4AAC">
              <w:t xml:space="preserve">providing </w:t>
            </w:r>
            <w:r w:rsidR="00324D7F">
              <w:t xml:space="preserve">evidence and </w:t>
            </w:r>
            <w:r w:rsidR="007B4AAC">
              <w:t xml:space="preserve">undertaking </w:t>
            </w:r>
            <w:r w:rsidR="00324D7F">
              <w:t>appropriate stakeholder engagement</w:t>
            </w:r>
            <w:r w:rsidR="000C4E53">
              <w:t>)</w:t>
            </w:r>
            <w:r w:rsidR="007B2B54">
              <w:t xml:space="preserve"> </w:t>
            </w:r>
            <w:r w:rsidR="008B5571">
              <w:t xml:space="preserve">including </w:t>
            </w:r>
            <w:r w:rsidR="00B31B73" w:rsidRPr="00994162">
              <w:t xml:space="preserve">extensive fire testing and </w:t>
            </w:r>
            <w:r w:rsidR="00043956">
              <w:t xml:space="preserve">request for </w:t>
            </w:r>
            <w:r w:rsidR="00B31B73" w:rsidRPr="00994162">
              <w:t>peer</w:t>
            </w:r>
            <w:r w:rsidR="00B31B73" w:rsidRPr="007B4AAC">
              <w:rPr>
                <w:rFonts w:ascii="Cambria Math" w:hAnsi="Cambria Math" w:cs="Cambria Math"/>
              </w:rPr>
              <w:t>‑</w:t>
            </w:r>
            <w:r w:rsidR="00B31B73" w:rsidRPr="00994162">
              <w:t>reviewed technical research</w:t>
            </w:r>
            <w:r w:rsidR="00043956">
              <w:t xml:space="preserve"> (</w:t>
            </w:r>
            <w:r w:rsidR="006A04DF">
              <w:t>deferring consideration from NCC 2019 to NCC 2022)</w:t>
            </w:r>
            <w:r w:rsidR="007B4AAC">
              <w:t>.</w:t>
            </w:r>
          </w:p>
          <w:p w14:paraId="6FC4BDFC" w14:textId="6D4ED4C2" w:rsidR="00B31B73" w:rsidRDefault="007B4AAC" w:rsidP="008F1556">
            <w:pPr>
              <w:pStyle w:val="Dash"/>
              <w:rPr>
                <w:lang w:eastAsia="en-US"/>
              </w:rPr>
            </w:pPr>
            <w:r w:rsidRPr="009B39C1">
              <w:t>However</w:t>
            </w:r>
            <w:r w:rsidR="007068C9" w:rsidRPr="009B39C1">
              <w:t>,</w:t>
            </w:r>
            <w:r w:rsidRPr="009B39C1">
              <w:t xml:space="preserve"> due to </w:t>
            </w:r>
            <w:r w:rsidR="00F9313B" w:rsidRPr="009B39C1">
              <w:t xml:space="preserve">NCC update cadences and decision processes, </w:t>
            </w:r>
            <w:r w:rsidR="00041E41" w:rsidRPr="009B39C1">
              <w:t>the walls were</w:t>
            </w:r>
            <w:r w:rsidR="00F95F5B" w:rsidRPr="009B39C1">
              <w:t xml:space="preserve"> not</w:t>
            </w:r>
            <w:r w:rsidR="00250400" w:rsidRPr="009B39C1">
              <w:t xml:space="preserve"> </w:t>
            </w:r>
            <w:r w:rsidR="005A004A" w:rsidRPr="009B39C1">
              <w:t>included in NCC 202</w:t>
            </w:r>
            <w:r w:rsidR="002C3B82" w:rsidRPr="008F1556">
              <w:t>2</w:t>
            </w:r>
            <w:r w:rsidR="005A004A" w:rsidRPr="009B39C1">
              <w:t xml:space="preserve"> and </w:t>
            </w:r>
            <w:r w:rsidR="00041E41" w:rsidRPr="008F1556">
              <w:t>were</w:t>
            </w:r>
            <w:r w:rsidR="005A004A" w:rsidRPr="009B39C1">
              <w:t xml:space="preserve"> deferred to NCC 2025</w:t>
            </w:r>
            <w:r w:rsidR="00ED728E" w:rsidRPr="009B39C1">
              <w:t>, limiting t</w:t>
            </w:r>
            <w:r w:rsidR="0051148D" w:rsidRPr="009B39C1">
              <w:t>he</w:t>
            </w:r>
            <w:r w:rsidR="00473B00" w:rsidRPr="009B39C1">
              <w:t xml:space="preserve"> timely</w:t>
            </w:r>
            <w:r w:rsidR="0051148D" w:rsidRPr="009B39C1">
              <w:t xml:space="preserve"> adoption of </w:t>
            </w:r>
            <w:r w:rsidR="00041E41" w:rsidRPr="009B39C1">
              <w:t>this product</w:t>
            </w:r>
            <w:r w:rsidR="00ED728E" w:rsidRPr="009B39C1">
              <w:t>.</w:t>
            </w:r>
          </w:p>
        </w:tc>
      </w:tr>
    </w:tbl>
    <w:p w14:paraId="42D8B6E7" w14:textId="77777777" w:rsidR="00B31B73" w:rsidRDefault="00B31B73">
      <w:pPr>
        <w:spacing w:before="0" w:after="160" w:line="259" w:lineRule="auto"/>
        <w:rPr>
          <w:rFonts w:ascii="Calibri" w:hAnsi="Calibri" w:cs="Arial"/>
          <w:iCs/>
          <w:color w:val="2C384A" w:themeColor="accent1"/>
          <w:kern w:val="32"/>
          <w:sz w:val="36"/>
          <w:szCs w:val="28"/>
        </w:rPr>
      </w:pPr>
      <w:r>
        <w:br w:type="page"/>
      </w:r>
    </w:p>
    <w:p w14:paraId="3FB0DAE6" w14:textId="094F50BA" w:rsidR="00994162" w:rsidRDefault="00994162" w:rsidP="00994162">
      <w:pPr>
        <w:pStyle w:val="Heading2"/>
      </w:pPr>
      <w:bookmarkStart w:id="63" w:name="_Toc227834517"/>
      <w:bookmarkStart w:id="64" w:name="_Toc228371016"/>
      <w:r>
        <w:lastRenderedPageBreak/>
        <w:t>Reform direction 5: Reduce the cost of demonstrating compliance</w:t>
      </w:r>
      <w:bookmarkEnd w:id="63"/>
      <w:bookmarkEnd w:id="64"/>
    </w:p>
    <w:p w14:paraId="694B62BF" w14:textId="77777777" w:rsidR="00CE2B5D" w:rsidRDefault="00CE2B5D" w:rsidP="00CE2B5D">
      <w:pPr>
        <w:pStyle w:val="Heading3"/>
      </w:pPr>
      <w:bookmarkStart w:id="65" w:name="_Toc227680357"/>
      <w:bookmarkStart w:id="66" w:name="_Toc227680416"/>
      <w:bookmarkStart w:id="67" w:name="_Toc227765702"/>
      <w:r>
        <w:t>What we’ve heard</w:t>
      </w:r>
    </w:p>
    <w:bookmarkEnd w:id="65"/>
    <w:bookmarkEnd w:id="66"/>
    <w:bookmarkEnd w:id="67"/>
    <w:p w14:paraId="3D1A8123" w14:textId="145076A5" w:rsidR="00691840" w:rsidRPr="00FA65DA" w:rsidRDefault="00691840" w:rsidP="00691840">
      <w:pPr>
        <w:pStyle w:val="Bullet"/>
        <w:tabs>
          <w:tab w:val="num" w:pos="567"/>
        </w:tabs>
        <w:spacing w:line="278" w:lineRule="auto"/>
        <w:ind w:left="567" w:hanging="567"/>
      </w:pPr>
      <w:r w:rsidRPr="00FA65DA">
        <w:t xml:space="preserve">Stakeholders highlighted that compliance costs are being driven by a lack of clarity of what is required to demonstrate compliance with the NCC. </w:t>
      </w:r>
    </w:p>
    <w:p w14:paraId="3CD8EDC3" w14:textId="6DE462F1" w:rsidR="00691840" w:rsidRPr="00FA65DA" w:rsidRDefault="00691840" w:rsidP="00F07D59">
      <w:pPr>
        <w:pStyle w:val="Bullet"/>
        <w:tabs>
          <w:tab w:val="num" w:pos="567"/>
        </w:tabs>
        <w:spacing w:line="278" w:lineRule="auto"/>
        <w:ind w:left="567" w:hanging="567"/>
      </w:pPr>
      <w:r w:rsidRPr="00FA65DA">
        <w:t xml:space="preserve">There is a growing dependence on consultants to navigate </w:t>
      </w:r>
      <w:r w:rsidR="00690BC2">
        <w:t xml:space="preserve">certification processes </w:t>
      </w:r>
      <w:r w:rsidR="0093178E">
        <w:t xml:space="preserve">through the </w:t>
      </w:r>
      <w:r w:rsidR="00E02142">
        <w:t xml:space="preserve">entire </w:t>
      </w:r>
      <w:r w:rsidR="0093178E">
        <w:t xml:space="preserve">construction </w:t>
      </w:r>
      <w:r w:rsidR="00F07D59">
        <w:t xml:space="preserve">timeline, </w:t>
      </w:r>
      <w:r w:rsidR="00E02142">
        <w:t>from</w:t>
      </w:r>
      <w:r w:rsidR="00F07D59">
        <w:t xml:space="preserve"> </w:t>
      </w:r>
      <w:r w:rsidRPr="00FA65DA">
        <w:t>planning, designing</w:t>
      </w:r>
      <w:r w:rsidR="00583D57">
        <w:t>, construction and delivery</w:t>
      </w:r>
      <w:r w:rsidRPr="00FA65DA">
        <w:t xml:space="preserve">. </w:t>
      </w:r>
    </w:p>
    <w:p w14:paraId="692627B5" w14:textId="423A8ED2" w:rsidR="00691840" w:rsidRPr="00FA65DA" w:rsidRDefault="00691840" w:rsidP="00691840">
      <w:pPr>
        <w:pStyle w:val="Bullet"/>
        <w:tabs>
          <w:tab w:val="num" w:pos="567"/>
        </w:tabs>
        <w:spacing w:line="278" w:lineRule="auto"/>
        <w:ind w:left="567" w:hanging="567"/>
      </w:pPr>
      <w:r w:rsidRPr="00FA65DA">
        <w:t>A “one-size fits all approach” means that lower</w:t>
      </w:r>
      <w:r w:rsidR="00A07E9C">
        <w:t>-</w:t>
      </w:r>
      <w:r w:rsidRPr="00FA65DA">
        <w:t>risk building types jump through as many hurdles as higher</w:t>
      </w:r>
      <w:r w:rsidR="008B6149">
        <w:t>-</w:t>
      </w:r>
      <w:r w:rsidRPr="00FA65DA">
        <w:t>risk building types.</w:t>
      </w:r>
    </w:p>
    <w:p w14:paraId="4A94EF81" w14:textId="77777777" w:rsidR="005621BA" w:rsidRPr="00B32133" w:rsidRDefault="005621BA" w:rsidP="005621BA">
      <w:pPr>
        <w:pStyle w:val="Heading3"/>
      </w:pPr>
      <w:r w:rsidRPr="009C035E">
        <w:t>Immediate actions</w:t>
      </w:r>
      <w:r w:rsidRPr="00B32133">
        <w:t xml:space="preserve"> to consider</w:t>
      </w:r>
    </w:p>
    <w:p w14:paraId="4E968413" w14:textId="5603FD50" w:rsidR="00994162" w:rsidRDefault="002E3917" w:rsidP="00994162">
      <w:pPr>
        <w:pStyle w:val="Bullet"/>
        <w:tabs>
          <w:tab w:val="clear" w:pos="720"/>
          <w:tab w:val="num" w:pos="567"/>
        </w:tabs>
        <w:spacing w:after="160" w:line="278" w:lineRule="auto"/>
        <w:ind w:left="567" w:hanging="567"/>
      </w:pPr>
      <w:r w:rsidRPr="00B32133">
        <w:t>Adopt</w:t>
      </w:r>
      <w:r w:rsidR="00994162">
        <w:t xml:space="preserve"> a more risk</w:t>
      </w:r>
      <w:r w:rsidR="00994162">
        <w:rPr>
          <w:rFonts w:ascii="Cambria Math" w:hAnsi="Cambria Math" w:cs="Cambria Math"/>
        </w:rPr>
        <w:t>‑</w:t>
      </w:r>
      <w:r w:rsidR="00994162">
        <w:t>based approach to regulation and compliance.</w:t>
      </w:r>
    </w:p>
    <w:p w14:paraId="7F559D72" w14:textId="1AD3B523" w:rsidR="00994162" w:rsidRDefault="00706DBB" w:rsidP="00994162">
      <w:pPr>
        <w:pStyle w:val="Bullet"/>
        <w:tabs>
          <w:tab w:val="clear" w:pos="720"/>
          <w:tab w:val="num" w:pos="567"/>
        </w:tabs>
        <w:spacing w:after="160" w:line="278" w:lineRule="auto"/>
        <w:ind w:left="567" w:hanging="567"/>
      </w:pPr>
      <w:r w:rsidRPr="00B32133">
        <w:t>Address c</w:t>
      </w:r>
      <w:r w:rsidR="00994162" w:rsidRPr="00B32133">
        <w:t>oncern</w:t>
      </w:r>
      <w:r w:rsidRPr="00B32133">
        <w:t>s</w:t>
      </w:r>
      <w:r w:rsidR="00994162">
        <w:t xml:space="preserve"> that low</w:t>
      </w:r>
      <w:r w:rsidR="00994162">
        <w:rPr>
          <w:rFonts w:ascii="Cambria Math" w:hAnsi="Cambria Math" w:cs="Cambria Math"/>
        </w:rPr>
        <w:t>‑</w:t>
      </w:r>
      <w:r w:rsidR="00994162">
        <w:t>risk and standardised buildings are subject to disproportionate compliance effort and cost.</w:t>
      </w:r>
    </w:p>
    <w:p w14:paraId="128628BC" w14:textId="77777777" w:rsidR="00994162" w:rsidRDefault="00994162" w:rsidP="00994162">
      <w:pPr>
        <w:pStyle w:val="Heading3"/>
      </w:pPr>
      <w:bookmarkStart w:id="68" w:name="_Toc227680360"/>
      <w:bookmarkStart w:id="69" w:name="_Toc227680419"/>
      <w:bookmarkStart w:id="70" w:name="_Toc227765704"/>
      <w:r>
        <w:t>Issues requiring further exploration</w:t>
      </w:r>
      <w:bookmarkEnd w:id="68"/>
      <w:bookmarkEnd w:id="69"/>
      <w:bookmarkEnd w:id="70"/>
    </w:p>
    <w:p w14:paraId="69ABF59F" w14:textId="77777777" w:rsidR="008B282D" w:rsidRDefault="008B282D" w:rsidP="00010EFC">
      <w:pPr>
        <w:pStyle w:val="Bullet"/>
        <w:tabs>
          <w:tab w:val="clear" w:pos="720"/>
          <w:tab w:val="num" w:pos="567"/>
        </w:tabs>
        <w:spacing w:after="160" w:line="278" w:lineRule="auto"/>
        <w:ind w:left="567" w:hanging="567"/>
      </w:pPr>
      <w:r>
        <w:t>Implement more consistent enforcement and clearer compliance checkpoints.</w:t>
      </w:r>
    </w:p>
    <w:p w14:paraId="04FAB832" w14:textId="77777777" w:rsidR="008B282D" w:rsidRDefault="008B282D" w:rsidP="008B282D">
      <w:pPr>
        <w:pStyle w:val="Bullet"/>
        <w:tabs>
          <w:tab w:val="clear" w:pos="720"/>
          <w:tab w:val="num" w:pos="567"/>
        </w:tabs>
        <w:spacing w:after="160" w:line="278" w:lineRule="auto"/>
        <w:ind w:left="567" w:hanging="567"/>
      </w:pPr>
      <w:r>
        <w:t>Tailor compliance pathways by building classification, including simpler, clearer requirements for lower</w:t>
      </w:r>
      <w:r>
        <w:rPr>
          <w:rFonts w:ascii="Cambria Math" w:hAnsi="Cambria Math" w:cs="Cambria Math"/>
        </w:rPr>
        <w:t>‑</w:t>
      </w:r>
      <w:r>
        <w:t>risk buildings and targeted performance pathways for more complex structures.</w:t>
      </w:r>
    </w:p>
    <w:tbl>
      <w:tblPr>
        <w:tblW w:w="5000" w:type="pct"/>
        <w:shd w:val="clear" w:color="auto" w:fill="F2F2F2"/>
        <w:tblCellMar>
          <w:top w:w="227" w:type="dxa"/>
          <w:left w:w="227" w:type="dxa"/>
          <w:bottom w:w="227" w:type="dxa"/>
          <w:right w:w="227" w:type="dxa"/>
        </w:tblCellMar>
        <w:tblLook w:val="0600" w:firstRow="0" w:lastRow="0" w:firstColumn="0" w:lastColumn="0" w:noHBand="1" w:noVBand="1"/>
      </w:tblPr>
      <w:tblGrid>
        <w:gridCol w:w="9072"/>
      </w:tblGrid>
      <w:tr w:rsidR="00EB63CE" w14:paraId="63C15FFF" w14:textId="77777777" w:rsidTr="5A5BE1A8">
        <w:tc>
          <w:tcPr>
            <w:tcW w:w="5000" w:type="pct"/>
            <w:shd w:val="clear" w:color="auto" w:fill="F2F2F2" w:themeFill="background1" w:themeFillShade="F2"/>
            <w:hideMark/>
          </w:tcPr>
          <w:p w14:paraId="1FBE2E0F" w14:textId="668132A6" w:rsidR="0009220D" w:rsidRDefault="000D1F99" w:rsidP="0009220D">
            <w:pPr>
              <w:pStyle w:val="BoxText"/>
              <w:rPr>
                <w:b/>
                <w:color w:val="2C384A" w:themeColor="accent1"/>
                <w:sz w:val="28"/>
                <w:szCs w:val="28"/>
                <w:lang w:eastAsia="en-US"/>
              </w:rPr>
            </w:pPr>
            <w:r>
              <w:rPr>
                <w:b/>
                <w:color w:val="2C384A" w:themeColor="accent1"/>
                <w:sz w:val="28"/>
                <w:szCs w:val="28"/>
                <w:lang w:eastAsia="en-US"/>
              </w:rPr>
              <w:t xml:space="preserve">Case study: </w:t>
            </w:r>
            <w:r w:rsidR="0009220D" w:rsidRPr="0009220D">
              <w:rPr>
                <w:b/>
                <w:color w:val="2C384A" w:themeColor="accent1"/>
                <w:sz w:val="28"/>
                <w:szCs w:val="28"/>
                <w:lang w:eastAsia="en-US"/>
              </w:rPr>
              <w:t xml:space="preserve">Opportunity for repeatable design certification </w:t>
            </w:r>
          </w:p>
          <w:p w14:paraId="55B21430" w14:textId="7B02BFAB" w:rsidR="0009220D" w:rsidRDefault="0009220D" w:rsidP="00BE20D9">
            <w:pPr>
              <w:rPr>
                <w:lang w:eastAsia="en-US"/>
              </w:rPr>
            </w:pPr>
            <w:r>
              <w:rPr>
                <w:lang w:eastAsia="en-US"/>
              </w:rPr>
              <w:t xml:space="preserve">There is a clear opportunity – particularly for project builders and large-scale developers – to streamline compliance where they construct a variety of repeatable homes that use the same underlying building </w:t>
            </w:r>
            <w:r>
              <w:t>components</w:t>
            </w:r>
            <w:r>
              <w:rPr>
                <w:lang w:eastAsia="en-US"/>
              </w:rPr>
              <w:t>, construction methods and performance outcomes, with variation limited to non</w:t>
            </w:r>
            <w:r>
              <w:rPr>
                <w:rFonts w:ascii="Cambria Math" w:hAnsi="Cambria Math" w:cs="Cambria Math"/>
                <w:lang w:eastAsia="en-US"/>
              </w:rPr>
              <w:t>‑</w:t>
            </w:r>
            <w:r>
              <w:rPr>
                <w:lang w:eastAsia="en-US"/>
              </w:rPr>
              <w:t>structural design features (such as fa</w:t>
            </w:r>
            <w:r>
              <w:rPr>
                <w:rFonts w:cs="Calibri Light"/>
                <w:lang w:eastAsia="en-US"/>
              </w:rPr>
              <w:t>ç</w:t>
            </w:r>
            <w:r>
              <w:rPr>
                <w:lang w:eastAsia="en-US"/>
              </w:rPr>
              <w:t>ade treatments, internal layouts, or tile and colour selections).</w:t>
            </w:r>
          </w:p>
          <w:p w14:paraId="2BBD60E3" w14:textId="20411E55" w:rsidR="0009220D" w:rsidRDefault="0009220D" w:rsidP="00BE20D9">
            <w:pPr>
              <w:rPr>
                <w:lang w:eastAsia="en-US"/>
              </w:rPr>
            </w:pPr>
            <w:r>
              <w:rPr>
                <w:lang w:eastAsia="en-US"/>
              </w:rPr>
              <w:t>Under a more modernised compliance approach, a single, robust set of reference designs could be certified once, provided the designs are demonstrably</w:t>
            </w:r>
            <w:r w:rsidR="00A72455">
              <w:rPr>
                <w:lang w:eastAsia="en-US"/>
              </w:rPr>
              <w:t xml:space="preserve"> compliant and materially the same </w:t>
            </w:r>
            <w:r>
              <w:rPr>
                <w:lang w:eastAsia="en-US"/>
              </w:rPr>
              <w:t xml:space="preserve">in all performance-critical respects. Subsequent </w:t>
            </w:r>
            <w:r w:rsidR="00EF1B6C">
              <w:rPr>
                <w:lang w:eastAsia="en-US"/>
              </w:rPr>
              <w:t>builds</w:t>
            </w:r>
            <w:r w:rsidR="00A72455">
              <w:rPr>
                <w:lang w:eastAsia="en-US"/>
              </w:rPr>
              <w:t xml:space="preserve"> </w:t>
            </w:r>
            <w:r>
              <w:rPr>
                <w:lang w:eastAsia="en-US"/>
              </w:rPr>
              <w:t xml:space="preserve">using </w:t>
            </w:r>
            <w:r w:rsidR="00EF1B6C">
              <w:rPr>
                <w:lang w:eastAsia="en-US"/>
              </w:rPr>
              <w:t>th</w:t>
            </w:r>
            <w:r w:rsidR="00231EDE">
              <w:rPr>
                <w:lang w:eastAsia="en-US"/>
              </w:rPr>
              <w:t>e designs</w:t>
            </w:r>
            <w:r>
              <w:rPr>
                <w:lang w:eastAsia="en-US"/>
              </w:rPr>
              <w:t xml:space="preserve"> could then</w:t>
            </w:r>
            <w:r w:rsidR="0075406B">
              <w:rPr>
                <w:lang w:eastAsia="en-US"/>
              </w:rPr>
              <w:t xml:space="preserve"> be </w:t>
            </w:r>
            <w:r w:rsidR="00B21BBC">
              <w:rPr>
                <w:lang w:eastAsia="en-US"/>
              </w:rPr>
              <w:t>automatically deemed compliant</w:t>
            </w:r>
            <w:r>
              <w:rPr>
                <w:lang w:eastAsia="en-US"/>
              </w:rPr>
              <w:t xml:space="preserve">, or subject to an expedited and </w:t>
            </w:r>
            <w:r w:rsidR="00B21BBC">
              <w:rPr>
                <w:lang w:eastAsia="en-US"/>
              </w:rPr>
              <w:t xml:space="preserve">less </w:t>
            </w:r>
            <w:r>
              <w:rPr>
                <w:lang w:eastAsia="en-US"/>
              </w:rPr>
              <w:t>onerous certification pathway, rather than undergoing full re</w:t>
            </w:r>
            <w:r w:rsidR="00231EDE">
              <w:rPr>
                <w:lang w:eastAsia="en-US"/>
              </w:rPr>
              <w:t>-</w:t>
            </w:r>
            <w:r>
              <w:rPr>
                <w:lang w:eastAsia="en-US"/>
              </w:rPr>
              <w:t>assessment each time.</w:t>
            </w:r>
          </w:p>
          <w:p w14:paraId="27397EC7" w14:textId="4B8A155A" w:rsidR="00EB63CE" w:rsidRDefault="0009220D" w:rsidP="00BE20D9">
            <w:pPr>
              <w:rPr>
                <w:lang w:eastAsia="en-US"/>
              </w:rPr>
            </w:pPr>
            <w:r>
              <w:rPr>
                <w:lang w:eastAsia="en-US"/>
              </w:rPr>
              <w:t xml:space="preserve">This approach would significantly reduce duplication across the approval </w:t>
            </w:r>
            <w:r w:rsidR="003E67D9">
              <w:rPr>
                <w:lang w:eastAsia="en-US"/>
              </w:rPr>
              <w:t>process</w:t>
            </w:r>
            <w:r>
              <w:rPr>
                <w:lang w:eastAsia="en-US"/>
              </w:rPr>
              <w:t xml:space="preserve">, cut assessment timeframes, and </w:t>
            </w:r>
            <w:r>
              <w:t>materially</w:t>
            </w:r>
            <w:r>
              <w:rPr>
                <w:lang w:eastAsia="en-US"/>
              </w:rPr>
              <w:t xml:space="preserve"> lower compliance and holding costs for industry</w:t>
            </w:r>
            <w:r w:rsidR="00231EDE">
              <w:rPr>
                <w:lang w:eastAsia="en-US"/>
              </w:rPr>
              <w:t xml:space="preserve"> – </w:t>
            </w:r>
            <w:r>
              <w:rPr>
                <w:lang w:eastAsia="en-US"/>
              </w:rPr>
              <w:t>without compromising safety, quality or regulatory outcomes. It would also support greater productivity and certainty for builders, enable faster housing delivery at scale, and free up regulatory resources to focus on genuinely novel or higher</w:t>
            </w:r>
            <w:r w:rsidR="00231EDE">
              <w:rPr>
                <w:lang w:eastAsia="en-US"/>
              </w:rPr>
              <w:t>-</w:t>
            </w:r>
            <w:r>
              <w:rPr>
                <w:lang w:eastAsia="en-US"/>
              </w:rPr>
              <w:t>risk proposals.</w:t>
            </w:r>
          </w:p>
        </w:tc>
      </w:tr>
    </w:tbl>
    <w:p w14:paraId="6694242C" w14:textId="77777777" w:rsidR="00EB63CE" w:rsidRDefault="00EB63CE" w:rsidP="008F1556"/>
    <w:p w14:paraId="38BC63D7" w14:textId="696A70B2" w:rsidR="00994162" w:rsidRPr="00994162" w:rsidRDefault="00994162" w:rsidP="00A40B02">
      <w:pPr>
        <w:pStyle w:val="Heading1"/>
        <w:rPr>
          <w:b w:val="0"/>
          <w:szCs w:val="44"/>
        </w:rPr>
      </w:pPr>
      <w:r>
        <w:br w:type="page"/>
      </w:r>
      <w:bookmarkStart w:id="71" w:name="_Toc227834518"/>
      <w:bookmarkStart w:id="72" w:name="_Toc228371017"/>
      <w:r w:rsidRPr="00994162">
        <w:lastRenderedPageBreak/>
        <w:t>Chapter 5: Next steps</w:t>
      </w:r>
      <w:bookmarkEnd w:id="71"/>
      <w:bookmarkEnd w:id="72"/>
    </w:p>
    <w:p w14:paraId="2E4F12FC" w14:textId="21AE9924" w:rsidR="00994162" w:rsidRDefault="00994162" w:rsidP="000A7453">
      <w:r>
        <w:t xml:space="preserve">This interim report sets out the case for reform and identifies five priority directions to modernise the NCC. It reflects areas of strong consensus as well as issues requiring further analysis before final </w:t>
      </w:r>
      <w:r w:rsidR="00A94B52">
        <w:t>actions</w:t>
      </w:r>
      <w:r>
        <w:t xml:space="preserve"> are </w:t>
      </w:r>
      <w:r w:rsidR="00A94B52">
        <w:t>taken</w:t>
      </w:r>
      <w:r>
        <w:t>.</w:t>
      </w:r>
    </w:p>
    <w:p w14:paraId="2A982C42" w14:textId="77777777" w:rsidR="00994162" w:rsidRDefault="00994162" w:rsidP="000A7453">
      <w:r>
        <w:t>The next phase of the NCC Modernisation Project will focus on deepening the evidence base, testing potential reform options, and assessing implementation impacts to ensure changes are practical, proportionate and nationally workable.</w:t>
      </w:r>
    </w:p>
    <w:p w14:paraId="2AE6AA3B" w14:textId="77777777" w:rsidR="00994162" w:rsidRDefault="00994162" w:rsidP="00994162">
      <w:proofErr w:type="gramStart"/>
      <w:r>
        <w:t>In particular, further</w:t>
      </w:r>
      <w:proofErr w:type="gramEnd"/>
      <w:r>
        <w:t xml:space="preserve"> work will:</w:t>
      </w:r>
    </w:p>
    <w:p w14:paraId="6E1D737F" w14:textId="77777777" w:rsidR="00994162" w:rsidRPr="00994162" w:rsidRDefault="00994162" w:rsidP="00994162">
      <w:pPr>
        <w:pStyle w:val="Bullet"/>
      </w:pPr>
      <w:r w:rsidRPr="00994162">
        <w:t>explore the design and feasibility of mechanisms to strengthen national consistency</w:t>
      </w:r>
    </w:p>
    <w:p w14:paraId="7AE4B5B6" w14:textId="77777777" w:rsidR="00994162" w:rsidRPr="00994162" w:rsidRDefault="00994162" w:rsidP="00994162">
      <w:pPr>
        <w:pStyle w:val="Bullet"/>
      </w:pPr>
      <w:r w:rsidRPr="00994162">
        <w:t>assess options to simplify compliance and reduce costs, particularly for lower</w:t>
      </w:r>
      <w:r w:rsidRPr="00994162">
        <w:rPr>
          <w:rFonts w:ascii="Cambria Math" w:hAnsi="Cambria Math" w:cs="Cambria Math"/>
        </w:rPr>
        <w:t>‑</w:t>
      </w:r>
      <w:r w:rsidRPr="00994162">
        <w:t>risk buildings</w:t>
      </w:r>
    </w:p>
    <w:p w14:paraId="331BFA95" w14:textId="77777777" w:rsidR="00994162" w:rsidRPr="00994162" w:rsidRDefault="00994162" w:rsidP="00994162">
      <w:pPr>
        <w:pStyle w:val="Bullet"/>
      </w:pPr>
      <w:r w:rsidRPr="00994162">
        <w:t>examine governance and decision</w:t>
      </w:r>
      <w:r w:rsidRPr="00994162">
        <w:rPr>
          <w:rFonts w:ascii="Cambria Math" w:hAnsi="Cambria Math" w:cs="Cambria Math"/>
        </w:rPr>
        <w:t>‑</w:t>
      </w:r>
      <w:r w:rsidRPr="00994162">
        <w:t>making arrangements to support timely, transparent and evidence</w:t>
      </w:r>
      <w:r w:rsidRPr="00994162">
        <w:rPr>
          <w:rFonts w:ascii="Cambria Math" w:hAnsi="Cambria Math" w:cs="Cambria Math"/>
        </w:rPr>
        <w:t>‑</w:t>
      </w:r>
      <w:r w:rsidRPr="00994162">
        <w:t>based changes</w:t>
      </w:r>
    </w:p>
    <w:p w14:paraId="5368FC85" w14:textId="469B9B89" w:rsidR="00994162" w:rsidRDefault="00994162" w:rsidP="00994162">
      <w:pPr>
        <w:pStyle w:val="Bullet"/>
      </w:pPr>
      <w:r w:rsidRPr="00994162">
        <w:t>test pathways</w:t>
      </w:r>
      <w:r>
        <w:t xml:space="preserve"> to better support innovation and new products at scale</w:t>
      </w:r>
      <w:r w:rsidR="00CF71F3">
        <w:t>.</w:t>
      </w:r>
    </w:p>
    <w:p w14:paraId="7DAC64B6" w14:textId="77777777" w:rsidR="00994162" w:rsidRDefault="00994162" w:rsidP="000A7453">
      <w:r>
        <w:t>This work will be undertaken in close collaboration with states and territories, industry, regulators and consumer stakeholders. Targeted engagement will focus on areas identified for further exploration in Chapter 4.</w:t>
      </w:r>
    </w:p>
    <w:p w14:paraId="59A0979F" w14:textId="720B48F7" w:rsidR="00994162" w:rsidRDefault="00994162" w:rsidP="000A7453">
      <w:r>
        <w:t xml:space="preserve">A final report, including refined reform options and implementation considerations, will be provided to Building Ministers in </w:t>
      </w:r>
      <w:r w:rsidR="0015311F">
        <w:t>late</w:t>
      </w:r>
      <w:r>
        <w:t xml:space="preserve"> 2026 to support decisions on the future direction of the NCC.</w:t>
      </w:r>
    </w:p>
    <w:p w14:paraId="00E59232" w14:textId="1EE408B5" w:rsidR="00994162" w:rsidRDefault="00994162" w:rsidP="000A7453">
      <w:r>
        <w:t xml:space="preserve">Stakeholders are encouraged to provide feedback on the reform directions </w:t>
      </w:r>
      <w:r w:rsidR="009545BD">
        <w:t>and re</w:t>
      </w:r>
      <w:r w:rsidR="00F97B51">
        <w:t>lated actions</w:t>
      </w:r>
      <w:r>
        <w:t xml:space="preserve"> outlined in this interim report, particularly on:</w:t>
      </w:r>
    </w:p>
    <w:p w14:paraId="02263D11" w14:textId="77777777" w:rsidR="00994162" w:rsidRPr="00994162" w:rsidRDefault="00994162" w:rsidP="00994162">
      <w:pPr>
        <w:pStyle w:val="Bullet"/>
      </w:pPr>
      <w:r w:rsidRPr="00994162">
        <w:t>priorities for reform sequencing</w:t>
      </w:r>
    </w:p>
    <w:p w14:paraId="100171CC" w14:textId="77777777" w:rsidR="00994162" w:rsidRPr="00994162" w:rsidRDefault="00994162" w:rsidP="00994162">
      <w:pPr>
        <w:pStyle w:val="Bullet"/>
      </w:pPr>
      <w:r w:rsidRPr="00994162">
        <w:t>practical impacts on industry and regulators</w:t>
      </w:r>
    </w:p>
    <w:p w14:paraId="22775C10" w14:textId="77777777" w:rsidR="00994162" w:rsidRDefault="00994162" w:rsidP="00994162">
      <w:pPr>
        <w:pStyle w:val="Bullet"/>
      </w:pPr>
      <w:r w:rsidRPr="00994162">
        <w:t>areas</w:t>
      </w:r>
      <w:r>
        <w:t xml:space="preserve"> where early action could deliver the greatest benefit</w:t>
      </w:r>
    </w:p>
    <w:p w14:paraId="58139ECD" w14:textId="1F035605" w:rsidR="00994162" w:rsidRDefault="00994162" w:rsidP="00994162">
      <w:r>
        <w:t xml:space="preserve">Feedback received will directly inform the development of final </w:t>
      </w:r>
      <w:r w:rsidR="00A94B52">
        <w:t>actions</w:t>
      </w:r>
      <w:r>
        <w:t>.</w:t>
      </w:r>
    </w:p>
    <w:p w14:paraId="5E0B07FF" w14:textId="16231237" w:rsidR="008B5287" w:rsidRDefault="00994162" w:rsidP="7097B545">
      <w:r>
        <w:t xml:space="preserve">For further information or to provide feedback, stakeholders can contact </w:t>
      </w:r>
      <w:hyperlink r:id="rId33">
        <w:r w:rsidR="00CE2B5D" w:rsidRPr="7097B545">
          <w:rPr>
            <w:rStyle w:val="Hyperlink"/>
          </w:rPr>
          <w:t>nccmodernisation@treasury.gov.au</w:t>
        </w:r>
      </w:hyperlink>
      <w:r w:rsidR="00CE2B5D">
        <w:t xml:space="preserve">. </w:t>
      </w:r>
    </w:p>
    <w:sectPr w:rsidR="008B5287" w:rsidSect="00EB2812">
      <w:headerReference w:type="even" r:id="rId34"/>
      <w:footerReference w:type="even" r:id="rId35"/>
      <w:footerReference w:type="first" r:id="rId36"/>
      <w:pgSz w:w="11906" w:h="16838" w:code="9"/>
      <w:pgMar w:top="1560" w:right="1417" w:bottom="127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2EBB" w14:textId="77777777" w:rsidR="00326447" w:rsidRDefault="00326447">
      <w:pPr>
        <w:spacing w:before="0" w:after="0"/>
      </w:pPr>
      <w:r>
        <w:separator/>
      </w:r>
    </w:p>
  </w:endnote>
  <w:endnote w:type="continuationSeparator" w:id="0">
    <w:p w14:paraId="0A09C0B1" w14:textId="77777777" w:rsidR="00326447" w:rsidRDefault="00326447">
      <w:pPr>
        <w:spacing w:before="0" w:after="0"/>
      </w:pPr>
      <w:r>
        <w:continuationSeparator/>
      </w:r>
    </w:p>
  </w:endnote>
  <w:endnote w:type="continuationNotice" w:id="1">
    <w:p w14:paraId="1E98C0DB" w14:textId="77777777" w:rsidR="00326447" w:rsidRDefault="003264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11BE" w14:textId="77777777" w:rsidR="00994162" w:rsidRDefault="00994162">
    <w:pPr>
      <w:pStyle w:val="Footer"/>
    </w:pPr>
    <w:r>
      <w:rPr>
        <w:noProof/>
      </w:rPr>
      <mc:AlternateContent>
        <mc:Choice Requires="wps">
          <w:drawing>
            <wp:anchor distT="0" distB="0" distL="0" distR="0" simplePos="0" relativeHeight="251658240" behindDoc="0" locked="0" layoutInCell="1" allowOverlap="1" wp14:anchorId="7845725F" wp14:editId="1B41A538">
              <wp:simplePos x="635" y="635"/>
              <wp:positionH relativeFrom="page">
                <wp:align>center</wp:align>
              </wp:positionH>
              <wp:positionV relativeFrom="page">
                <wp:align>bottom</wp:align>
              </wp:positionV>
              <wp:extent cx="551815" cy="405765"/>
              <wp:effectExtent l="0" t="0" r="635" b="0"/>
              <wp:wrapNone/>
              <wp:docPr id="6104656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848629B" w14:textId="77777777" w:rsidR="00994162" w:rsidRPr="00D25419" w:rsidRDefault="00994162" w:rsidP="00BC775A">
                          <w:pPr>
                            <w:spacing w:after="0"/>
                            <w:rPr>
                              <w:rFonts w:ascii="Calibri" w:eastAsia="Calibri" w:hAnsi="Calibri" w:cs="Calibri"/>
                              <w:noProof/>
                              <w:color w:val="FF0000"/>
                            </w:rPr>
                          </w:pPr>
                          <w:r w:rsidRPr="00D2541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5725F" id="_x0000_t202" coordsize="21600,21600" o:spt="202" path="m,l,21600r21600,l21600,xe">
              <v:stroke joinstyle="miter"/>
              <v:path gradientshapeok="t" o:connecttype="rect"/>
            </v:shapetype>
            <v:shape id="Text Box 5" o:spid="_x0000_s1026" type="#_x0000_t202" alt="OFFICIAL" style="position:absolute;left:0;text-align:left;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textbox style="mso-fit-shape-to-text:t" inset="0,0,0,15pt">
                <w:txbxContent>
                  <w:p w14:paraId="2848629B" w14:textId="77777777" w:rsidR="00994162" w:rsidRPr="00D25419" w:rsidRDefault="00994162" w:rsidP="00BC775A">
                    <w:pPr>
                      <w:spacing w:after="0"/>
                      <w:rPr>
                        <w:rFonts w:ascii="Calibri" w:eastAsia="Calibri" w:hAnsi="Calibri" w:cs="Calibri"/>
                        <w:noProof/>
                        <w:color w:val="FF0000"/>
                      </w:rPr>
                    </w:pPr>
                    <w:r w:rsidRPr="00D2541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74611"/>
      <w:docPartObj>
        <w:docPartGallery w:val="Page Numbers (Bottom of Page)"/>
        <w:docPartUnique/>
      </w:docPartObj>
    </w:sdtPr>
    <w:sdtEndPr/>
    <w:sdtContent>
      <w:sdt>
        <w:sdtPr>
          <w:id w:val="-484308100"/>
          <w:docPartObj>
            <w:docPartGallery w:val="Page Numbers (Top of Page)"/>
            <w:docPartUnique/>
          </w:docPartObj>
        </w:sdtPr>
        <w:sdtEndPr/>
        <w:sdtContent>
          <w:p w14:paraId="377F9032" w14:textId="3B556D80" w:rsidR="00994162" w:rsidRDefault="00994162">
            <w:pPr>
              <w:pStyle w:val="Footer"/>
              <w:jc w:val="right"/>
            </w:pPr>
            <w:r>
              <w:t xml:space="preserve">Page </w:t>
            </w:r>
            <w:r>
              <w:rPr>
                <w:b/>
                <w:sz w:val="24"/>
                <w:szCs w:val="24"/>
              </w:rPr>
              <w:fldChar w:fldCharType="begin"/>
            </w:r>
            <w:r>
              <w:rPr>
                <w:b/>
                <w:bCs/>
              </w:rPr>
              <w:instrText xml:space="preserve"> PAGE </w:instrText>
            </w:r>
            <w:r>
              <w:rPr>
                <w:b/>
                <w:sz w:val="24"/>
                <w:szCs w:val="24"/>
              </w:rPr>
              <w:fldChar w:fldCharType="separate"/>
            </w:r>
            <w:r>
              <w:rPr>
                <w:b/>
                <w:bCs/>
                <w:noProof/>
              </w:rPr>
              <w:t>2</w:t>
            </w:r>
            <w:r>
              <w:rPr>
                <w:b/>
                <w:sz w:val="24"/>
                <w:szCs w:val="24"/>
              </w:rPr>
              <w:fldChar w:fldCharType="end"/>
            </w:r>
            <w:r>
              <w:t xml:space="preserve"> of </w:t>
            </w:r>
            <w:r>
              <w:rPr>
                <w:b/>
                <w:sz w:val="24"/>
                <w:szCs w:val="24"/>
              </w:rPr>
              <w:fldChar w:fldCharType="begin"/>
            </w:r>
            <w:r>
              <w:rPr>
                <w:b/>
                <w:bCs/>
              </w:rPr>
              <w:instrText xml:space="preserve"> NUMPAGES  </w:instrText>
            </w:r>
            <w:r>
              <w:rPr>
                <w:b/>
                <w:sz w:val="24"/>
                <w:szCs w:val="24"/>
              </w:rPr>
              <w:fldChar w:fldCharType="separate"/>
            </w:r>
            <w:r>
              <w:rPr>
                <w:b/>
                <w:bCs/>
                <w:noProof/>
              </w:rPr>
              <w:t>2</w:t>
            </w:r>
            <w:r>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7452" w14:textId="42EF9171" w:rsidR="00994162" w:rsidRPr="00570FD8" w:rsidRDefault="00994162" w:rsidP="00570F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4FC10" w14:textId="2BA8477D" w:rsidR="00672B5D" w:rsidRDefault="00672B5D" w:rsidP="00BC6E69">
    <w:pPr>
      <w:pStyle w:val="FooterEven"/>
      <w:jc w:val="both"/>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fldSimple w:instr=" STYLEREF  &quot;Heading 1&quot;  \* MERGEFORMAT ">
      <w:r w:rsidR="00CA51C4">
        <w:t xml:space="preserve">Chapter </w:t>
      </w:r>
      <w:r w:rsidR="00B37159">
        <w:t>1: Context</w:t>
      </w:r>
    </w:fldSimple>
    <w:r w:rsidR="00103F3C">
      <w:tab/>
    </w:r>
    <w:r w:rsidR="00103F3C" w:rsidRPr="00103F3C">
      <w:rPr>
        <w:position w:val="-8"/>
      </w:rPr>
      <w:drawing>
        <wp:inline distT="0" distB="0" distL="0" distR="0" wp14:anchorId="29CBF8B4" wp14:editId="5E3307D5">
          <wp:extent cx="1324800" cy="201600"/>
          <wp:effectExtent l="0" t="0" r="0" b="8255"/>
          <wp:docPr id="577550207" name="Picture 57755020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Logo"/>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D2281"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B9169" w14:textId="77777777" w:rsidR="00326447" w:rsidRPr="00ED5A20" w:rsidRDefault="00326447" w:rsidP="000F6233">
      <w:pPr>
        <w:rPr>
          <w:color w:val="4D7861" w:themeColor="accent2"/>
        </w:rPr>
      </w:pPr>
      <w:r w:rsidRPr="00ED5A20">
        <w:rPr>
          <w:color w:val="4D7861" w:themeColor="accent2"/>
        </w:rPr>
        <w:separator/>
      </w:r>
    </w:p>
  </w:footnote>
  <w:footnote w:type="continuationSeparator" w:id="0">
    <w:p w14:paraId="32224CD6" w14:textId="77777777" w:rsidR="00326447" w:rsidRPr="00B737EB" w:rsidRDefault="00326447">
      <w:pPr>
        <w:spacing w:before="0" w:after="0"/>
        <w:rPr>
          <w:color w:val="2C384A" w:themeColor="accent1"/>
        </w:rPr>
      </w:pPr>
      <w:r w:rsidRPr="00B737EB">
        <w:rPr>
          <w:color w:val="2C384A" w:themeColor="accent1"/>
        </w:rPr>
        <w:continuationSeparator/>
      </w:r>
    </w:p>
  </w:footnote>
  <w:footnote w:type="continuationNotice" w:id="1">
    <w:p w14:paraId="0601AC18" w14:textId="77777777" w:rsidR="00326447" w:rsidRDefault="0032644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E1BA" w14:textId="1222960D" w:rsidR="004338C0" w:rsidRDefault="004338C0">
    <w:pPr>
      <w:pStyle w:val="Header"/>
    </w:pPr>
    <w:r>
      <w:rPr>
        <w:noProof/>
      </w:rPr>
      <w:drawing>
        <wp:anchor distT="0" distB="0" distL="114300" distR="114300" simplePos="0" relativeHeight="251658245" behindDoc="1" locked="1" layoutInCell="1" allowOverlap="1" wp14:anchorId="53E31DD4" wp14:editId="285580DC">
          <wp:simplePos x="0" y="0"/>
          <wp:positionH relativeFrom="page">
            <wp:align>right</wp:align>
          </wp:positionH>
          <wp:positionV relativeFrom="page">
            <wp:align>top</wp:align>
          </wp:positionV>
          <wp:extent cx="7570470" cy="1043940"/>
          <wp:effectExtent l="0" t="0" r="0" b="3810"/>
          <wp:wrapNone/>
          <wp:docPr id="1842494912" name="Picture 1842494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37925" name="Picture 17335379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81F1" w14:textId="76188BFB" w:rsidR="00994162" w:rsidRDefault="00CA51C4">
    <w:pPr>
      <w:pStyle w:val="Header"/>
    </w:pPr>
    <w:r>
      <w:rPr>
        <w:noProof/>
      </w:rPr>
      <w:drawing>
        <wp:anchor distT="0" distB="0" distL="114300" distR="114300" simplePos="0" relativeHeight="251658241" behindDoc="1" locked="1" layoutInCell="1" allowOverlap="1" wp14:anchorId="26BF0981" wp14:editId="210CAB62">
          <wp:simplePos x="0" y="0"/>
          <wp:positionH relativeFrom="page">
            <wp:align>right</wp:align>
          </wp:positionH>
          <wp:positionV relativeFrom="page">
            <wp:align>top</wp:align>
          </wp:positionV>
          <wp:extent cx="7570470" cy="1043940"/>
          <wp:effectExtent l="0" t="0" r="0" b="3810"/>
          <wp:wrapNone/>
          <wp:docPr id="1801574676" name="Picture 1801574676" descr="A close-up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08968" name="Picture 212008968" descr="A close-up of a computer screen"/>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9C16" w14:textId="77777777" w:rsidR="00994162" w:rsidRDefault="00440DAA" w:rsidP="00E333CF">
    <w:pPr>
      <w:pStyle w:val="Header"/>
      <w:jc w:val="left"/>
    </w:pPr>
    <w:r>
      <w:rPr>
        <w:noProof/>
      </w:rPr>
      <w:drawing>
        <wp:anchor distT="0" distB="0" distL="114300" distR="114300" simplePos="0" relativeHeight="251658244" behindDoc="1" locked="1" layoutInCell="1" allowOverlap="1" wp14:anchorId="2B5E6992" wp14:editId="03805898">
          <wp:simplePos x="0" y="0"/>
          <wp:positionH relativeFrom="page">
            <wp:align>left</wp:align>
          </wp:positionH>
          <wp:positionV relativeFrom="page">
            <wp:align>top</wp:align>
          </wp:positionV>
          <wp:extent cx="7570470" cy="1043940"/>
          <wp:effectExtent l="0" t="0" r="0" b="3810"/>
          <wp:wrapNone/>
          <wp:docPr id="157175937" name="Picture 157175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37925" name="Picture 17335379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1" locked="1" layoutInCell="1" allowOverlap="1" wp14:anchorId="548E2CD0" wp14:editId="45ED6CDF">
          <wp:simplePos x="0" y="0"/>
          <wp:positionH relativeFrom="page">
            <wp:posOffset>0</wp:posOffset>
          </wp:positionH>
          <wp:positionV relativeFrom="page">
            <wp:posOffset>10817860</wp:posOffset>
          </wp:positionV>
          <wp:extent cx="7570470" cy="1043940"/>
          <wp:effectExtent l="0" t="0" r="0" b="3810"/>
          <wp:wrapNone/>
          <wp:docPr id="1272929660" name="Picture 12729296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537925" name="Picture 17335379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E7DF" w14:textId="048A4B79" w:rsidR="00C1666C" w:rsidRDefault="00C166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8269" w14:textId="77777777" w:rsidR="00672B5D" w:rsidRPr="00AC75E2" w:rsidRDefault="00AC75E2" w:rsidP="00AC75E2">
    <w:pPr>
      <w:pStyle w:val="HeaderEven"/>
    </w:pPr>
    <w:r>
      <w:rPr>
        <w:noProof/>
      </w:rPr>
      <w:drawing>
        <wp:anchor distT="0" distB="0" distL="114300" distR="114300" simplePos="0" relativeHeight="251658242" behindDoc="1" locked="1" layoutInCell="1" allowOverlap="1" wp14:anchorId="0761374E" wp14:editId="3371F9AC">
          <wp:simplePos x="0" y="0"/>
          <wp:positionH relativeFrom="page">
            <wp:posOffset>-635</wp:posOffset>
          </wp:positionH>
          <wp:positionV relativeFrom="page">
            <wp:align>top</wp:align>
          </wp:positionV>
          <wp:extent cx="7570800" cy="1044000"/>
          <wp:effectExtent l="0" t="0" r="0" b="3810"/>
          <wp:wrapNone/>
          <wp:docPr id="1279764007" name="Picture 12797640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4AD8D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4.4pt;height:15.85pt;visibility:visible" o:bullet="t">
        <v:imagedata r:id="rId1" o:title="Logo&#10;&#10;Description automatically generated with medium confidence"/>
      </v:shape>
    </w:pict>
  </w:numPicBullet>
  <w:abstractNum w:abstractNumId="0" w15:restartNumberingAfterBreak="0">
    <w:nsid w:val="00D47184"/>
    <w:multiLevelType w:val="hybridMultilevel"/>
    <w:tmpl w:val="33581FC8"/>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2F9D"/>
    <w:multiLevelType w:val="hybridMultilevel"/>
    <w:tmpl w:val="88465B16"/>
    <w:lvl w:ilvl="0" w:tplc="F4AC3268">
      <w:start w:val="1"/>
      <w:numFmt w:val="bullet"/>
      <w:lvlText w:val=""/>
      <w:lvlJc w:val="left"/>
      <w:pPr>
        <w:tabs>
          <w:tab w:val="num" w:pos="720"/>
        </w:tabs>
        <w:ind w:left="720" w:hanging="360"/>
      </w:pPr>
      <w:rPr>
        <w:rFonts w:ascii="Wingdings" w:hAnsi="Wingdings" w:hint="default"/>
      </w:rPr>
    </w:lvl>
    <w:lvl w:ilvl="1" w:tplc="3C8E7578" w:tentative="1">
      <w:start w:val="1"/>
      <w:numFmt w:val="bullet"/>
      <w:lvlText w:val=""/>
      <w:lvlJc w:val="left"/>
      <w:pPr>
        <w:tabs>
          <w:tab w:val="num" w:pos="1440"/>
        </w:tabs>
        <w:ind w:left="1440" w:hanging="360"/>
      </w:pPr>
      <w:rPr>
        <w:rFonts w:ascii="Wingdings" w:hAnsi="Wingdings" w:hint="default"/>
      </w:rPr>
    </w:lvl>
    <w:lvl w:ilvl="2" w:tplc="0146497C" w:tentative="1">
      <w:start w:val="1"/>
      <w:numFmt w:val="bullet"/>
      <w:lvlText w:val=""/>
      <w:lvlJc w:val="left"/>
      <w:pPr>
        <w:tabs>
          <w:tab w:val="num" w:pos="2160"/>
        </w:tabs>
        <w:ind w:left="2160" w:hanging="360"/>
      </w:pPr>
      <w:rPr>
        <w:rFonts w:ascii="Wingdings" w:hAnsi="Wingdings" w:hint="default"/>
      </w:rPr>
    </w:lvl>
    <w:lvl w:ilvl="3" w:tplc="8B4677B8" w:tentative="1">
      <w:start w:val="1"/>
      <w:numFmt w:val="bullet"/>
      <w:lvlText w:val=""/>
      <w:lvlJc w:val="left"/>
      <w:pPr>
        <w:tabs>
          <w:tab w:val="num" w:pos="2880"/>
        </w:tabs>
        <w:ind w:left="2880" w:hanging="360"/>
      </w:pPr>
      <w:rPr>
        <w:rFonts w:ascii="Wingdings" w:hAnsi="Wingdings" w:hint="default"/>
      </w:rPr>
    </w:lvl>
    <w:lvl w:ilvl="4" w:tplc="521A15B0" w:tentative="1">
      <w:start w:val="1"/>
      <w:numFmt w:val="bullet"/>
      <w:lvlText w:val=""/>
      <w:lvlJc w:val="left"/>
      <w:pPr>
        <w:tabs>
          <w:tab w:val="num" w:pos="3600"/>
        </w:tabs>
        <w:ind w:left="3600" w:hanging="360"/>
      </w:pPr>
      <w:rPr>
        <w:rFonts w:ascii="Wingdings" w:hAnsi="Wingdings" w:hint="default"/>
      </w:rPr>
    </w:lvl>
    <w:lvl w:ilvl="5" w:tplc="4DE02198" w:tentative="1">
      <w:start w:val="1"/>
      <w:numFmt w:val="bullet"/>
      <w:lvlText w:val=""/>
      <w:lvlJc w:val="left"/>
      <w:pPr>
        <w:tabs>
          <w:tab w:val="num" w:pos="4320"/>
        </w:tabs>
        <w:ind w:left="4320" w:hanging="360"/>
      </w:pPr>
      <w:rPr>
        <w:rFonts w:ascii="Wingdings" w:hAnsi="Wingdings" w:hint="default"/>
      </w:rPr>
    </w:lvl>
    <w:lvl w:ilvl="6" w:tplc="31760092" w:tentative="1">
      <w:start w:val="1"/>
      <w:numFmt w:val="bullet"/>
      <w:lvlText w:val=""/>
      <w:lvlJc w:val="left"/>
      <w:pPr>
        <w:tabs>
          <w:tab w:val="num" w:pos="5040"/>
        </w:tabs>
        <w:ind w:left="5040" w:hanging="360"/>
      </w:pPr>
      <w:rPr>
        <w:rFonts w:ascii="Wingdings" w:hAnsi="Wingdings" w:hint="default"/>
      </w:rPr>
    </w:lvl>
    <w:lvl w:ilvl="7" w:tplc="5BC643E2" w:tentative="1">
      <w:start w:val="1"/>
      <w:numFmt w:val="bullet"/>
      <w:lvlText w:val=""/>
      <w:lvlJc w:val="left"/>
      <w:pPr>
        <w:tabs>
          <w:tab w:val="num" w:pos="5760"/>
        </w:tabs>
        <w:ind w:left="5760" w:hanging="360"/>
      </w:pPr>
      <w:rPr>
        <w:rFonts w:ascii="Wingdings" w:hAnsi="Wingdings" w:hint="default"/>
      </w:rPr>
    </w:lvl>
    <w:lvl w:ilvl="8" w:tplc="A5229A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9662B5"/>
    <w:multiLevelType w:val="multilevel"/>
    <w:tmpl w:val="2F9E4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9B21AC"/>
    <w:multiLevelType w:val="hybridMultilevel"/>
    <w:tmpl w:val="BF800944"/>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FCF1EC"/>
    <w:multiLevelType w:val="hybridMultilevel"/>
    <w:tmpl w:val="FFFFFFFF"/>
    <w:lvl w:ilvl="0" w:tplc="4E72E32A">
      <w:start w:val="1"/>
      <w:numFmt w:val="decimal"/>
      <w:lvlText w:val="•"/>
      <w:lvlJc w:val="left"/>
      <w:pPr>
        <w:ind w:left="720" w:hanging="360"/>
      </w:pPr>
    </w:lvl>
    <w:lvl w:ilvl="1" w:tplc="6AC480D4">
      <w:start w:val="1"/>
      <w:numFmt w:val="lowerLetter"/>
      <w:lvlText w:val="%2."/>
      <w:lvlJc w:val="left"/>
      <w:pPr>
        <w:ind w:left="1440" w:hanging="360"/>
      </w:pPr>
    </w:lvl>
    <w:lvl w:ilvl="2" w:tplc="B5B8C574">
      <w:start w:val="1"/>
      <w:numFmt w:val="lowerRoman"/>
      <w:lvlText w:val="%3."/>
      <w:lvlJc w:val="right"/>
      <w:pPr>
        <w:ind w:left="2160" w:hanging="180"/>
      </w:pPr>
    </w:lvl>
    <w:lvl w:ilvl="3" w:tplc="AC4A165A">
      <w:start w:val="1"/>
      <w:numFmt w:val="decimal"/>
      <w:lvlText w:val="%4."/>
      <w:lvlJc w:val="left"/>
      <w:pPr>
        <w:ind w:left="2880" w:hanging="360"/>
      </w:pPr>
    </w:lvl>
    <w:lvl w:ilvl="4" w:tplc="F5FC6F9E">
      <w:start w:val="1"/>
      <w:numFmt w:val="lowerLetter"/>
      <w:lvlText w:val="%5."/>
      <w:lvlJc w:val="left"/>
      <w:pPr>
        <w:ind w:left="3600" w:hanging="360"/>
      </w:pPr>
    </w:lvl>
    <w:lvl w:ilvl="5" w:tplc="91F25D08">
      <w:start w:val="1"/>
      <w:numFmt w:val="lowerRoman"/>
      <w:lvlText w:val="%6."/>
      <w:lvlJc w:val="right"/>
      <w:pPr>
        <w:ind w:left="4320" w:hanging="180"/>
      </w:pPr>
    </w:lvl>
    <w:lvl w:ilvl="6" w:tplc="74F0C090">
      <w:start w:val="1"/>
      <w:numFmt w:val="decimal"/>
      <w:lvlText w:val="%7."/>
      <w:lvlJc w:val="left"/>
      <w:pPr>
        <w:ind w:left="5040" w:hanging="360"/>
      </w:pPr>
    </w:lvl>
    <w:lvl w:ilvl="7" w:tplc="FE14DDE8">
      <w:start w:val="1"/>
      <w:numFmt w:val="lowerLetter"/>
      <w:lvlText w:val="%8."/>
      <w:lvlJc w:val="left"/>
      <w:pPr>
        <w:ind w:left="5760" w:hanging="360"/>
      </w:pPr>
    </w:lvl>
    <w:lvl w:ilvl="8" w:tplc="CC5A15F8">
      <w:start w:val="1"/>
      <w:numFmt w:val="lowerRoman"/>
      <w:lvlText w:val="%9."/>
      <w:lvlJc w:val="right"/>
      <w:pPr>
        <w:ind w:left="6480" w:hanging="180"/>
      </w:pPr>
    </w:lvl>
  </w:abstractNum>
  <w:abstractNum w:abstractNumId="7"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00B28"/>
    <w:multiLevelType w:val="multilevel"/>
    <w:tmpl w:val="40DE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068DA"/>
    <w:multiLevelType w:val="hybridMultilevel"/>
    <w:tmpl w:val="E04440BA"/>
    <w:lvl w:ilvl="0" w:tplc="6A22FD2A">
      <w:start w:val="2"/>
      <w:numFmt w:val="bullet"/>
      <w:lvlText w:val=""/>
      <w:lvlJc w:val="left"/>
      <w:pPr>
        <w:ind w:left="645" w:hanging="360"/>
      </w:pPr>
      <w:rPr>
        <w:rFonts w:ascii="Symbol" w:eastAsia="Times New Roman" w:hAnsi="Symbol" w:cs="Times New Roman" w:hint="default"/>
      </w:rPr>
    </w:lvl>
    <w:lvl w:ilvl="1" w:tplc="0C090003" w:tentative="1">
      <w:start w:val="1"/>
      <w:numFmt w:val="bullet"/>
      <w:lvlText w:val="o"/>
      <w:lvlJc w:val="left"/>
      <w:pPr>
        <w:ind w:left="1365" w:hanging="360"/>
      </w:pPr>
      <w:rPr>
        <w:rFonts w:ascii="Courier New" w:hAnsi="Courier New" w:cs="Courier New" w:hint="default"/>
      </w:rPr>
    </w:lvl>
    <w:lvl w:ilvl="2" w:tplc="0C090005" w:tentative="1">
      <w:start w:val="1"/>
      <w:numFmt w:val="bullet"/>
      <w:lvlText w:val=""/>
      <w:lvlJc w:val="left"/>
      <w:pPr>
        <w:ind w:left="2085" w:hanging="360"/>
      </w:pPr>
      <w:rPr>
        <w:rFonts w:ascii="Wingdings" w:hAnsi="Wingdings" w:hint="default"/>
      </w:rPr>
    </w:lvl>
    <w:lvl w:ilvl="3" w:tplc="0C090001" w:tentative="1">
      <w:start w:val="1"/>
      <w:numFmt w:val="bullet"/>
      <w:lvlText w:val=""/>
      <w:lvlJc w:val="left"/>
      <w:pPr>
        <w:ind w:left="2805" w:hanging="360"/>
      </w:pPr>
      <w:rPr>
        <w:rFonts w:ascii="Symbol" w:hAnsi="Symbol" w:hint="default"/>
      </w:rPr>
    </w:lvl>
    <w:lvl w:ilvl="4" w:tplc="0C090003" w:tentative="1">
      <w:start w:val="1"/>
      <w:numFmt w:val="bullet"/>
      <w:lvlText w:val="o"/>
      <w:lvlJc w:val="left"/>
      <w:pPr>
        <w:ind w:left="3525" w:hanging="360"/>
      </w:pPr>
      <w:rPr>
        <w:rFonts w:ascii="Courier New" w:hAnsi="Courier New" w:cs="Courier New" w:hint="default"/>
      </w:rPr>
    </w:lvl>
    <w:lvl w:ilvl="5" w:tplc="0C090005" w:tentative="1">
      <w:start w:val="1"/>
      <w:numFmt w:val="bullet"/>
      <w:lvlText w:val=""/>
      <w:lvlJc w:val="left"/>
      <w:pPr>
        <w:ind w:left="4245" w:hanging="360"/>
      </w:pPr>
      <w:rPr>
        <w:rFonts w:ascii="Wingdings" w:hAnsi="Wingdings" w:hint="default"/>
      </w:rPr>
    </w:lvl>
    <w:lvl w:ilvl="6" w:tplc="0C090001" w:tentative="1">
      <w:start w:val="1"/>
      <w:numFmt w:val="bullet"/>
      <w:lvlText w:val=""/>
      <w:lvlJc w:val="left"/>
      <w:pPr>
        <w:ind w:left="4965" w:hanging="360"/>
      </w:pPr>
      <w:rPr>
        <w:rFonts w:ascii="Symbol" w:hAnsi="Symbol" w:hint="default"/>
      </w:rPr>
    </w:lvl>
    <w:lvl w:ilvl="7" w:tplc="0C090003" w:tentative="1">
      <w:start w:val="1"/>
      <w:numFmt w:val="bullet"/>
      <w:lvlText w:val="o"/>
      <w:lvlJc w:val="left"/>
      <w:pPr>
        <w:ind w:left="5685" w:hanging="360"/>
      </w:pPr>
      <w:rPr>
        <w:rFonts w:ascii="Courier New" w:hAnsi="Courier New" w:cs="Courier New" w:hint="default"/>
      </w:rPr>
    </w:lvl>
    <w:lvl w:ilvl="8" w:tplc="0C090005" w:tentative="1">
      <w:start w:val="1"/>
      <w:numFmt w:val="bullet"/>
      <w:lvlText w:val=""/>
      <w:lvlJc w:val="left"/>
      <w:pPr>
        <w:ind w:left="6405" w:hanging="360"/>
      </w:pPr>
      <w:rPr>
        <w:rFonts w:ascii="Wingdings" w:hAnsi="Wingdings" w:hint="default"/>
      </w:rPr>
    </w:lvl>
  </w:abstractNum>
  <w:abstractNum w:abstractNumId="10"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11" w15:restartNumberingAfterBreak="0">
    <w:nsid w:val="16CC4E5D"/>
    <w:multiLevelType w:val="multilevel"/>
    <w:tmpl w:val="D10E9CF6"/>
    <w:numStyleLink w:val="OneLevelList"/>
  </w:abstractNum>
  <w:abstractNum w:abstractNumId="12"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D304D2"/>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5" w15:restartNumberingAfterBreak="0">
    <w:nsid w:val="24A33B02"/>
    <w:multiLevelType w:val="multilevel"/>
    <w:tmpl w:val="EB40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D24F98"/>
    <w:multiLevelType w:val="multilevel"/>
    <w:tmpl w:val="7B94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806756"/>
    <w:multiLevelType w:val="multilevel"/>
    <w:tmpl w:val="257C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7B32528"/>
    <w:multiLevelType w:val="multilevel"/>
    <w:tmpl w:val="4E9C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9A25957"/>
    <w:multiLevelType w:val="hybridMultilevel"/>
    <w:tmpl w:val="4A2AA20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6E3D2C"/>
    <w:multiLevelType w:val="hybridMultilevel"/>
    <w:tmpl w:val="EF3C7930"/>
    <w:lvl w:ilvl="0" w:tplc="AC3C0504">
      <w:start w:val="1"/>
      <w:numFmt w:val="bullet"/>
      <w:lvlText w:val="•"/>
      <w:lvlJc w:val="left"/>
      <w:pPr>
        <w:tabs>
          <w:tab w:val="num" w:pos="720"/>
        </w:tabs>
        <w:ind w:left="720" w:hanging="360"/>
      </w:pPr>
      <w:rPr>
        <w:rFonts w:ascii="Arial" w:hAnsi="Arial" w:hint="default"/>
      </w:rPr>
    </w:lvl>
    <w:lvl w:ilvl="1" w:tplc="DF72A336">
      <w:start w:val="1"/>
      <w:numFmt w:val="bullet"/>
      <w:lvlText w:val="•"/>
      <w:lvlJc w:val="left"/>
      <w:pPr>
        <w:tabs>
          <w:tab w:val="num" w:pos="1440"/>
        </w:tabs>
        <w:ind w:left="1440" w:hanging="360"/>
      </w:pPr>
      <w:rPr>
        <w:rFonts w:ascii="Arial" w:hAnsi="Arial" w:hint="default"/>
      </w:rPr>
    </w:lvl>
    <w:lvl w:ilvl="2" w:tplc="E0689EF8" w:tentative="1">
      <w:start w:val="1"/>
      <w:numFmt w:val="bullet"/>
      <w:lvlText w:val="•"/>
      <w:lvlJc w:val="left"/>
      <w:pPr>
        <w:tabs>
          <w:tab w:val="num" w:pos="2160"/>
        </w:tabs>
        <w:ind w:left="2160" w:hanging="360"/>
      </w:pPr>
      <w:rPr>
        <w:rFonts w:ascii="Arial" w:hAnsi="Arial" w:hint="default"/>
      </w:rPr>
    </w:lvl>
    <w:lvl w:ilvl="3" w:tplc="FF2E230A" w:tentative="1">
      <w:start w:val="1"/>
      <w:numFmt w:val="bullet"/>
      <w:lvlText w:val="•"/>
      <w:lvlJc w:val="left"/>
      <w:pPr>
        <w:tabs>
          <w:tab w:val="num" w:pos="2880"/>
        </w:tabs>
        <w:ind w:left="2880" w:hanging="360"/>
      </w:pPr>
      <w:rPr>
        <w:rFonts w:ascii="Arial" w:hAnsi="Arial" w:hint="default"/>
      </w:rPr>
    </w:lvl>
    <w:lvl w:ilvl="4" w:tplc="8D661A86" w:tentative="1">
      <w:start w:val="1"/>
      <w:numFmt w:val="bullet"/>
      <w:lvlText w:val="•"/>
      <w:lvlJc w:val="left"/>
      <w:pPr>
        <w:tabs>
          <w:tab w:val="num" w:pos="3600"/>
        </w:tabs>
        <w:ind w:left="3600" w:hanging="360"/>
      </w:pPr>
      <w:rPr>
        <w:rFonts w:ascii="Arial" w:hAnsi="Arial" w:hint="default"/>
      </w:rPr>
    </w:lvl>
    <w:lvl w:ilvl="5" w:tplc="0A8AAB2E" w:tentative="1">
      <w:start w:val="1"/>
      <w:numFmt w:val="bullet"/>
      <w:lvlText w:val="•"/>
      <w:lvlJc w:val="left"/>
      <w:pPr>
        <w:tabs>
          <w:tab w:val="num" w:pos="4320"/>
        </w:tabs>
        <w:ind w:left="4320" w:hanging="360"/>
      </w:pPr>
      <w:rPr>
        <w:rFonts w:ascii="Arial" w:hAnsi="Arial" w:hint="default"/>
      </w:rPr>
    </w:lvl>
    <w:lvl w:ilvl="6" w:tplc="6F8A613A" w:tentative="1">
      <w:start w:val="1"/>
      <w:numFmt w:val="bullet"/>
      <w:lvlText w:val="•"/>
      <w:lvlJc w:val="left"/>
      <w:pPr>
        <w:tabs>
          <w:tab w:val="num" w:pos="5040"/>
        </w:tabs>
        <w:ind w:left="5040" w:hanging="360"/>
      </w:pPr>
      <w:rPr>
        <w:rFonts w:ascii="Arial" w:hAnsi="Arial" w:hint="default"/>
      </w:rPr>
    </w:lvl>
    <w:lvl w:ilvl="7" w:tplc="4A68DFF6" w:tentative="1">
      <w:start w:val="1"/>
      <w:numFmt w:val="bullet"/>
      <w:lvlText w:val="•"/>
      <w:lvlJc w:val="left"/>
      <w:pPr>
        <w:tabs>
          <w:tab w:val="num" w:pos="5760"/>
        </w:tabs>
        <w:ind w:left="5760" w:hanging="360"/>
      </w:pPr>
      <w:rPr>
        <w:rFonts w:ascii="Arial" w:hAnsi="Arial" w:hint="default"/>
      </w:rPr>
    </w:lvl>
    <w:lvl w:ilvl="8" w:tplc="9A0C39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FB97951"/>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15:restartNumberingAfterBreak="0">
    <w:nsid w:val="31EF577D"/>
    <w:multiLevelType w:val="hybridMultilevel"/>
    <w:tmpl w:val="49CA1762"/>
    <w:lvl w:ilvl="0" w:tplc="73E6BD10">
      <w:start w:val="1"/>
      <w:numFmt w:val="bullet"/>
      <w:lvlText w:val=""/>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238442C"/>
    <w:multiLevelType w:val="hybridMultilevel"/>
    <w:tmpl w:val="3EE41644"/>
    <w:lvl w:ilvl="0" w:tplc="72AEF60E">
      <w:start w:val="1"/>
      <w:numFmt w:val="bullet"/>
      <w:lvlText w:val=""/>
      <w:lvlJc w:val="left"/>
      <w:pPr>
        <w:ind w:left="720" w:hanging="360"/>
      </w:pPr>
      <w:rPr>
        <w:rFonts w:ascii="Symbol" w:hAnsi="Symbol"/>
      </w:rPr>
    </w:lvl>
    <w:lvl w:ilvl="1" w:tplc="0C9AC5C2">
      <w:start w:val="1"/>
      <w:numFmt w:val="bullet"/>
      <w:lvlText w:val=""/>
      <w:lvlJc w:val="left"/>
      <w:pPr>
        <w:ind w:left="720" w:hanging="360"/>
      </w:pPr>
      <w:rPr>
        <w:rFonts w:ascii="Symbol" w:hAnsi="Symbol"/>
      </w:rPr>
    </w:lvl>
    <w:lvl w:ilvl="2" w:tplc="51F0DABE">
      <w:start w:val="1"/>
      <w:numFmt w:val="bullet"/>
      <w:lvlText w:val=""/>
      <w:lvlJc w:val="left"/>
      <w:pPr>
        <w:ind w:left="720" w:hanging="360"/>
      </w:pPr>
      <w:rPr>
        <w:rFonts w:ascii="Symbol" w:hAnsi="Symbol"/>
      </w:rPr>
    </w:lvl>
    <w:lvl w:ilvl="3" w:tplc="6F5C7530">
      <w:start w:val="1"/>
      <w:numFmt w:val="bullet"/>
      <w:lvlText w:val=""/>
      <w:lvlJc w:val="left"/>
      <w:pPr>
        <w:ind w:left="720" w:hanging="360"/>
      </w:pPr>
      <w:rPr>
        <w:rFonts w:ascii="Symbol" w:hAnsi="Symbol"/>
      </w:rPr>
    </w:lvl>
    <w:lvl w:ilvl="4" w:tplc="0DF841D2">
      <w:start w:val="1"/>
      <w:numFmt w:val="bullet"/>
      <w:lvlText w:val=""/>
      <w:lvlJc w:val="left"/>
      <w:pPr>
        <w:ind w:left="720" w:hanging="360"/>
      </w:pPr>
      <w:rPr>
        <w:rFonts w:ascii="Symbol" w:hAnsi="Symbol"/>
      </w:rPr>
    </w:lvl>
    <w:lvl w:ilvl="5" w:tplc="9E44324A">
      <w:start w:val="1"/>
      <w:numFmt w:val="bullet"/>
      <w:lvlText w:val=""/>
      <w:lvlJc w:val="left"/>
      <w:pPr>
        <w:ind w:left="720" w:hanging="360"/>
      </w:pPr>
      <w:rPr>
        <w:rFonts w:ascii="Symbol" w:hAnsi="Symbol"/>
      </w:rPr>
    </w:lvl>
    <w:lvl w:ilvl="6" w:tplc="9192043E">
      <w:start w:val="1"/>
      <w:numFmt w:val="bullet"/>
      <w:lvlText w:val=""/>
      <w:lvlJc w:val="left"/>
      <w:pPr>
        <w:ind w:left="720" w:hanging="360"/>
      </w:pPr>
      <w:rPr>
        <w:rFonts w:ascii="Symbol" w:hAnsi="Symbol"/>
      </w:rPr>
    </w:lvl>
    <w:lvl w:ilvl="7" w:tplc="2CEA80DC">
      <w:start w:val="1"/>
      <w:numFmt w:val="bullet"/>
      <w:lvlText w:val=""/>
      <w:lvlJc w:val="left"/>
      <w:pPr>
        <w:ind w:left="720" w:hanging="360"/>
      </w:pPr>
      <w:rPr>
        <w:rFonts w:ascii="Symbol" w:hAnsi="Symbol"/>
      </w:rPr>
    </w:lvl>
    <w:lvl w:ilvl="8" w:tplc="11F2B56E">
      <w:start w:val="1"/>
      <w:numFmt w:val="bullet"/>
      <w:lvlText w:val=""/>
      <w:lvlJc w:val="left"/>
      <w:pPr>
        <w:ind w:left="720" w:hanging="360"/>
      </w:pPr>
      <w:rPr>
        <w:rFonts w:ascii="Symbol" w:hAnsi="Symbol"/>
      </w:rPr>
    </w:lvl>
  </w:abstractNum>
  <w:abstractNum w:abstractNumId="2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75501DD"/>
    <w:multiLevelType w:val="hybridMultilevel"/>
    <w:tmpl w:val="34B8D13C"/>
    <w:lvl w:ilvl="0" w:tplc="6F3E38AA">
      <w:start w:val="1"/>
      <w:numFmt w:val="bullet"/>
      <w:lvlText w:val=""/>
      <w:lvlJc w:val="left"/>
      <w:pPr>
        <w:ind w:left="1080" w:hanging="360"/>
      </w:pPr>
      <w:rPr>
        <w:rFonts w:ascii="Symbol" w:hAnsi="Symbol"/>
      </w:rPr>
    </w:lvl>
    <w:lvl w:ilvl="1" w:tplc="2924D202">
      <w:start w:val="1"/>
      <w:numFmt w:val="bullet"/>
      <w:lvlText w:val=""/>
      <w:lvlJc w:val="left"/>
      <w:pPr>
        <w:ind w:left="1080" w:hanging="360"/>
      </w:pPr>
      <w:rPr>
        <w:rFonts w:ascii="Symbol" w:hAnsi="Symbol"/>
      </w:rPr>
    </w:lvl>
    <w:lvl w:ilvl="2" w:tplc="25965E4A">
      <w:start w:val="1"/>
      <w:numFmt w:val="bullet"/>
      <w:lvlText w:val=""/>
      <w:lvlJc w:val="left"/>
      <w:pPr>
        <w:ind w:left="1080" w:hanging="360"/>
      </w:pPr>
      <w:rPr>
        <w:rFonts w:ascii="Symbol" w:hAnsi="Symbol"/>
      </w:rPr>
    </w:lvl>
    <w:lvl w:ilvl="3" w:tplc="C6927648">
      <w:start w:val="1"/>
      <w:numFmt w:val="bullet"/>
      <w:lvlText w:val=""/>
      <w:lvlJc w:val="left"/>
      <w:pPr>
        <w:ind w:left="1080" w:hanging="360"/>
      </w:pPr>
      <w:rPr>
        <w:rFonts w:ascii="Symbol" w:hAnsi="Symbol"/>
      </w:rPr>
    </w:lvl>
    <w:lvl w:ilvl="4" w:tplc="3F98F806">
      <w:start w:val="1"/>
      <w:numFmt w:val="bullet"/>
      <w:lvlText w:val=""/>
      <w:lvlJc w:val="left"/>
      <w:pPr>
        <w:ind w:left="1080" w:hanging="360"/>
      </w:pPr>
      <w:rPr>
        <w:rFonts w:ascii="Symbol" w:hAnsi="Symbol"/>
      </w:rPr>
    </w:lvl>
    <w:lvl w:ilvl="5" w:tplc="96640F40">
      <w:start w:val="1"/>
      <w:numFmt w:val="bullet"/>
      <w:lvlText w:val=""/>
      <w:lvlJc w:val="left"/>
      <w:pPr>
        <w:ind w:left="1080" w:hanging="360"/>
      </w:pPr>
      <w:rPr>
        <w:rFonts w:ascii="Symbol" w:hAnsi="Symbol"/>
      </w:rPr>
    </w:lvl>
    <w:lvl w:ilvl="6" w:tplc="6B040E4A">
      <w:start w:val="1"/>
      <w:numFmt w:val="bullet"/>
      <w:lvlText w:val=""/>
      <w:lvlJc w:val="left"/>
      <w:pPr>
        <w:ind w:left="1080" w:hanging="360"/>
      </w:pPr>
      <w:rPr>
        <w:rFonts w:ascii="Symbol" w:hAnsi="Symbol"/>
      </w:rPr>
    </w:lvl>
    <w:lvl w:ilvl="7" w:tplc="837E1172">
      <w:start w:val="1"/>
      <w:numFmt w:val="bullet"/>
      <w:lvlText w:val=""/>
      <w:lvlJc w:val="left"/>
      <w:pPr>
        <w:ind w:left="1080" w:hanging="360"/>
      </w:pPr>
      <w:rPr>
        <w:rFonts w:ascii="Symbol" w:hAnsi="Symbol"/>
      </w:rPr>
    </w:lvl>
    <w:lvl w:ilvl="8" w:tplc="BDDA0A6C">
      <w:start w:val="1"/>
      <w:numFmt w:val="bullet"/>
      <w:lvlText w:val=""/>
      <w:lvlJc w:val="left"/>
      <w:pPr>
        <w:ind w:left="1080" w:hanging="360"/>
      </w:pPr>
      <w:rPr>
        <w:rFonts w:ascii="Symbol" w:hAnsi="Symbol"/>
      </w:rPr>
    </w:lvl>
  </w:abstractNum>
  <w:abstractNum w:abstractNumId="29" w15:restartNumberingAfterBreak="0">
    <w:nsid w:val="4382645F"/>
    <w:multiLevelType w:val="hybridMultilevel"/>
    <w:tmpl w:val="FFFFFFFF"/>
    <w:lvl w:ilvl="0" w:tplc="5A06F96E">
      <w:start w:val="1"/>
      <w:numFmt w:val="decimal"/>
      <w:lvlText w:val="•"/>
      <w:lvlJc w:val="left"/>
      <w:pPr>
        <w:ind w:left="720" w:hanging="360"/>
      </w:pPr>
    </w:lvl>
    <w:lvl w:ilvl="1" w:tplc="7C4257E0">
      <w:start w:val="1"/>
      <w:numFmt w:val="lowerLetter"/>
      <w:lvlText w:val="%2."/>
      <w:lvlJc w:val="left"/>
      <w:pPr>
        <w:ind w:left="1440" w:hanging="360"/>
      </w:pPr>
    </w:lvl>
    <w:lvl w:ilvl="2" w:tplc="C37030E2">
      <w:start w:val="1"/>
      <w:numFmt w:val="lowerRoman"/>
      <w:lvlText w:val="%3."/>
      <w:lvlJc w:val="right"/>
      <w:pPr>
        <w:ind w:left="2160" w:hanging="180"/>
      </w:pPr>
    </w:lvl>
    <w:lvl w:ilvl="3" w:tplc="D9681AEA">
      <w:start w:val="1"/>
      <w:numFmt w:val="decimal"/>
      <w:lvlText w:val="%4."/>
      <w:lvlJc w:val="left"/>
      <w:pPr>
        <w:ind w:left="2880" w:hanging="360"/>
      </w:pPr>
    </w:lvl>
    <w:lvl w:ilvl="4" w:tplc="F5882EA4">
      <w:start w:val="1"/>
      <w:numFmt w:val="lowerLetter"/>
      <w:lvlText w:val="%5."/>
      <w:lvlJc w:val="left"/>
      <w:pPr>
        <w:ind w:left="3600" w:hanging="360"/>
      </w:pPr>
    </w:lvl>
    <w:lvl w:ilvl="5" w:tplc="B09A81CC">
      <w:start w:val="1"/>
      <w:numFmt w:val="lowerRoman"/>
      <w:lvlText w:val="%6."/>
      <w:lvlJc w:val="right"/>
      <w:pPr>
        <w:ind w:left="4320" w:hanging="180"/>
      </w:pPr>
    </w:lvl>
    <w:lvl w:ilvl="6" w:tplc="E3D03B84">
      <w:start w:val="1"/>
      <w:numFmt w:val="decimal"/>
      <w:lvlText w:val="%7."/>
      <w:lvlJc w:val="left"/>
      <w:pPr>
        <w:ind w:left="5040" w:hanging="360"/>
      </w:pPr>
    </w:lvl>
    <w:lvl w:ilvl="7" w:tplc="A5B8EF36">
      <w:start w:val="1"/>
      <w:numFmt w:val="lowerLetter"/>
      <w:lvlText w:val="%8."/>
      <w:lvlJc w:val="left"/>
      <w:pPr>
        <w:ind w:left="5760" w:hanging="360"/>
      </w:pPr>
    </w:lvl>
    <w:lvl w:ilvl="8" w:tplc="8230D7F0">
      <w:start w:val="1"/>
      <w:numFmt w:val="lowerRoman"/>
      <w:lvlText w:val="%9."/>
      <w:lvlJc w:val="right"/>
      <w:pPr>
        <w:ind w:left="6480" w:hanging="180"/>
      </w:pPr>
    </w:lvl>
  </w:abstractNum>
  <w:abstractNum w:abstractNumId="30" w15:restartNumberingAfterBreak="0">
    <w:nsid w:val="444313CA"/>
    <w:multiLevelType w:val="multilevel"/>
    <w:tmpl w:val="CA3E5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32" w15:restartNumberingAfterBreak="0">
    <w:nsid w:val="4D364483"/>
    <w:multiLevelType w:val="multilevel"/>
    <w:tmpl w:val="1DA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D2021"/>
    <w:multiLevelType w:val="multilevel"/>
    <w:tmpl w:val="72F8140E"/>
    <w:numStyleLink w:val="OutlineList"/>
  </w:abstractNum>
  <w:abstractNum w:abstractNumId="34"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88B06DD"/>
    <w:multiLevelType w:val="hybridMultilevel"/>
    <w:tmpl w:val="14D0F0E0"/>
    <w:lvl w:ilvl="0" w:tplc="8252201E">
      <w:start w:val="1"/>
      <w:numFmt w:val="bullet"/>
      <w:lvlText w:val=""/>
      <w:lvlJc w:val="left"/>
      <w:pPr>
        <w:tabs>
          <w:tab w:val="num" w:pos="720"/>
        </w:tabs>
        <w:ind w:left="720" w:hanging="360"/>
      </w:pPr>
      <w:rPr>
        <w:rFonts w:ascii="Wingdings" w:hAnsi="Wingdings" w:hint="default"/>
      </w:rPr>
    </w:lvl>
    <w:lvl w:ilvl="1" w:tplc="7F32FEC2" w:tentative="1">
      <w:start w:val="1"/>
      <w:numFmt w:val="bullet"/>
      <w:lvlText w:val=""/>
      <w:lvlJc w:val="left"/>
      <w:pPr>
        <w:tabs>
          <w:tab w:val="num" w:pos="1440"/>
        </w:tabs>
        <w:ind w:left="1440" w:hanging="360"/>
      </w:pPr>
      <w:rPr>
        <w:rFonts w:ascii="Wingdings" w:hAnsi="Wingdings" w:hint="default"/>
      </w:rPr>
    </w:lvl>
    <w:lvl w:ilvl="2" w:tplc="14BAA1B0" w:tentative="1">
      <w:start w:val="1"/>
      <w:numFmt w:val="bullet"/>
      <w:lvlText w:val=""/>
      <w:lvlJc w:val="left"/>
      <w:pPr>
        <w:tabs>
          <w:tab w:val="num" w:pos="2160"/>
        </w:tabs>
        <w:ind w:left="2160" w:hanging="360"/>
      </w:pPr>
      <w:rPr>
        <w:rFonts w:ascii="Wingdings" w:hAnsi="Wingdings" w:hint="default"/>
      </w:rPr>
    </w:lvl>
    <w:lvl w:ilvl="3" w:tplc="5094C0DC" w:tentative="1">
      <w:start w:val="1"/>
      <w:numFmt w:val="bullet"/>
      <w:lvlText w:val=""/>
      <w:lvlJc w:val="left"/>
      <w:pPr>
        <w:tabs>
          <w:tab w:val="num" w:pos="2880"/>
        </w:tabs>
        <w:ind w:left="2880" w:hanging="360"/>
      </w:pPr>
      <w:rPr>
        <w:rFonts w:ascii="Wingdings" w:hAnsi="Wingdings" w:hint="default"/>
      </w:rPr>
    </w:lvl>
    <w:lvl w:ilvl="4" w:tplc="2E861246" w:tentative="1">
      <w:start w:val="1"/>
      <w:numFmt w:val="bullet"/>
      <w:lvlText w:val=""/>
      <w:lvlJc w:val="left"/>
      <w:pPr>
        <w:tabs>
          <w:tab w:val="num" w:pos="3600"/>
        </w:tabs>
        <w:ind w:left="3600" w:hanging="360"/>
      </w:pPr>
      <w:rPr>
        <w:rFonts w:ascii="Wingdings" w:hAnsi="Wingdings" w:hint="default"/>
      </w:rPr>
    </w:lvl>
    <w:lvl w:ilvl="5" w:tplc="7922A4C4" w:tentative="1">
      <w:start w:val="1"/>
      <w:numFmt w:val="bullet"/>
      <w:lvlText w:val=""/>
      <w:lvlJc w:val="left"/>
      <w:pPr>
        <w:tabs>
          <w:tab w:val="num" w:pos="4320"/>
        </w:tabs>
        <w:ind w:left="4320" w:hanging="360"/>
      </w:pPr>
      <w:rPr>
        <w:rFonts w:ascii="Wingdings" w:hAnsi="Wingdings" w:hint="default"/>
      </w:rPr>
    </w:lvl>
    <w:lvl w:ilvl="6" w:tplc="70AE59F0" w:tentative="1">
      <w:start w:val="1"/>
      <w:numFmt w:val="bullet"/>
      <w:lvlText w:val=""/>
      <w:lvlJc w:val="left"/>
      <w:pPr>
        <w:tabs>
          <w:tab w:val="num" w:pos="5040"/>
        </w:tabs>
        <w:ind w:left="5040" w:hanging="360"/>
      </w:pPr>
      <w:rPr>
        <w:rFonts w:ascii="Wingdings" w:hAnsi="Wingdings" w:hint="default"/>
      </w:rPr>
    </w:lvl>
    <w:lvl w:ilvl="7" w:tplc="B1EC4EA2" w:tentative="1">
      <w:start w:val="1"/>
      <w:numFmt w:val="bullet"/>
      <w:lvlText w:val=""/>
      <w:lvlJc w:val="left"/>
      <w:pPr>
        <w:tabs>
          <w:tab w:val="num" w:pos="5760"/>
        </w:tabs>
        <w:ind w:left="5760" w:hanging="360"/>
      </w:pPr>
      <w:rPr>
        <w:rFonts w:ascii="Wingdings" w:hAnsi="Wingdings" w:hint="default"/>
      </w:rPr>
    </w:lvl>
    <w:lvl w:ilvl="8" w:tplc="EFAC48B0"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9C6C78"/>
    <w:multiLevelType w:val="hybridMultilevel"/>
    <w:tmpl w:val="27AC5B8E"/>
    <w:lvl w:ilvl="0" w:tplc="D44CF850">
      <w:start w:val="1"/>
      <w:numFmt w:val="bullet"/>
      <w:lvlText w:val=""/>
      <w:lvlJc w:val="left"/>
      <w:pPr>
        <w:ind w:left="1440" w:hanging="360"/>
      </w:pPr>
      <w:rPr>
        <w:rFonts w:ascii="Symbol" w:hAnsi="Symbol"/>
      </w:rPr>
    </w:lvl>
    <w:lvl w:ilvl="1" w:tplc="A942E8D2">
      <w:start w:val="1"/>
      <w:numFmt w:val="bullet"/>
      <w:lvlText w:val=""/>
      <w:lvlJc w:val="left"/>
      <w:pPr>
        <w:ind w:left="1440" w:hanging="360"/>
      </w:pPr>
      <w:rPr>
        <w:rFonts w:ascii="Symbol" w:hAnsi="Symbol"/>
      </w:rPr>
    </w:lvl>
    <w:lvl w:ilvl="2" w:tplc="5418ABAC">
      <w:start w:val="1"/>
      <w:numFmt w:val="bullet"/>
      <w:lvlText w:val=""/>
      <w:lvlJc w:val="left"/>
      <w:pPr>
        <w:ind w:left="1440" w:hanging="360"/>
      </w:pPr>
      <w:rPr>
        <w:rFonts w:ascii="Symbol" w:hAnsi="Symbol"/>
      </w:rPr>
    </w:lvl>
    <w:lvl w:ilvl="3" w:tplc="9A4C0024">
      <w:start w:val="1"/>
      <w:numFmt w:val="bullet"/>
      <w:lvlText w:val=""/>
      <w:lvlJc w:val="left"/>
      <w:pPr>
        <w:ind w:left="1440" w:hanging="360"/>
      </w:pPr>
      <w:rPr>
        <w:rFonts w:ascii="Symbol" w:hAnsi="Symbol"/>
      </w:rPr>
    </w:lvl>
    <w:lvl w:ilvl="4" w:tplc="AA922680">
      <w:start w:val="1"/>
      <w:numFmt w:val="bullet"/>
      <w:lvlText w:val=""/>
      <w:lvlJc w:val="left"/>
      <w:pPr>
        <w:ind w:left="1440" w:hanging="360"/>
      </w:pPr>
      <w:rPr>
        <w:rFonts w:ascii="Symbol" w:hAnsi="Symbol"/>
      </w:rPr>
    </w:lvl>
    <w:lvl w:ilvl="5" w:tplc="5BC8856A">
      <w:start w:val="1"/>
      <w:numFmt w:val="bullet"/>
      <w:lvlText w:val=""/>
      <w:lvlJc w:val="left"/>
      <w:pPr>
        <w:ind w:left="1440" w:hanging="360"/>
      </w:pPr>
      <w:rPr>
        <w:rFonts w:ascii="Symbol" w:hAnsi="Symbol"/>
      </w:rPr>
    </w:lvl>
    <w:lvl w:ilvl="6" w:tplc="C22ED184">
      <w:start w:val="1"/>
      <w:numFmt w:val="bullet"/>
      <w:lvlText w:val=""/>
      <w:lvlJc w:val="left"/>
      <w:pPr>
        <w:ind w:left="1440" w:hanging="360"/>
      </w:pPr>
      <w:rPr>
        <w:rFonts w:ascii="Symbol" w:hAnsi="Symbol"/>
      </w:rPr>
    </w:lvl>
    <w:lvl w:ilvl="7" w:tplc="4BF8FB2C">
      <w:start w:val="1"/>
      <w:numFmt w:val="bullet"/>
      <w:lvlText w:val=""/>
      <w:lvlJc w:val="left"/>
      <w:pPr>
        <w:ind w:left="1440" w:hanging="360"/>
      </w:pPr>
      <w:rPr>
        <w:rFonts w:ascii="Symbol" w:hAnsi="Symbol"/>
      </w:rPr>
    </w:lvl>
    <w:lvl w:ilvl="8" w:tplc="9270379A">
      <w:start w:val="1"/>
      <w:numFmt w:val="bullet"/>
      <w:lvlText w:val=""/>
      <w:lvlJc w:val="left"/>
      <w:pPr>
        <w:ind w:left="1440" w:hanging="360"/>
      </w:pPr>
      <w:rPr>
        <w:rFonts w:ascii="Symbol" w:hAnsi="Symbol"/>
      </w:rPr>
    </w:lvl>
  </w:abstractNum>
  <w:abstractNum w:abstractNumId="37"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26B65B4"/>
    <w:multiLevelType w:val="hybridMultilevel"/>
    <w:tmpl w:val="0B3694CE"/>
    <w:lvl w:ilvl="0" w:tplc="327AC27C">
      <w:start w:val="1"/>
      <w:numFmt w:val="bullet"/>
      <w:lvlText w:val=""/>
      <w:lvlJc w:val="left"/>
      <w:pPr>
        <w:ind w:left="720" w:hanging="360"/>
      </w:pPr>
      <w:rPr>
        <w:rFonts w:ascii="Symbol" w:hAnsi="Symbol"/>
      </w:rPr>
    </w:lvl>
    <w:lvl w:ilvl="1" w:tplc="B9B0305E">
      <w:start w:val="1"/>
      <w:numFmt w:val="bullet"/>
      <w:lvlText w:val=""/>
      <w:lvlJc w:val="left"/>
      <w:pPr>
        <w:ind w:left="720" w:hanging="360"/>
      </w:pPr>
      <w:rPr>
        <w:rFonts w:ascii="Symbol" w:hAnsi="Symbol"/>
      </w:rPr>
    </w:lvl>
    <w:lvl w:ilvl="2" w:tplc="E5628BF0">
      <w:start w:val="1"/>
      <w:numFmt w:val="bullet"/>
      <w:lvlText w:val=""/>
      <w:lvlJc w:val="left"/>
      <w:pPr>
        <w:ind w:left="720" w:hanging="360"/>
      </w:pPr>
      <w:rPr>
        <w:rFonts w:ascii="Symbol" w:hAnsi="Symbol"/>
      </w:rPr>
    </w:lvl>
    <w:lvl w:ilvl="3" w:tplc="0B0C4A04">
      <w:start w:val="1"/>
      <w:numFmt w:val="bullet"/>
      <w:lvlText w:val=""/>
      <w:lvlJc w:val="left"/>
      <w:pPr>
        <w:ind w:left="720" w:hanging="360"/>
      </w:pPr>
      <w:rPr>
        <w:rFonts w:ascii="Symbol" w:hAnsi="Symbol"/>
      </w:rPr>
    </w:lvl>
    <w:lvl w:ilvl="4" w:tplc="E2265476">
      <w:start w:val="1"/>
      <w:numFmt w:val="bullet"/>
      <w:lvlText w:val=""/>
      <w:lvlJc w:val="left"/>
      <w:pPr>
        <w:ind w:left="720" w:hanging="360"/>
      </w:pPr>
      <w:rPr>
        <w:rFonts w:ascii="Symbol" w:hAnsi="Symbol"/>
      </w:rPr>
    </w:lvl>
    <w:lvl w:ilvl="5" w:tplc="BAA83324">
      <w:start w:val="1"/>
      <w:numFmt w:val="bullet"/>
      <w:lvlText w:val=""/>
      <w:lvlJc w:val="left"/>
      <w:pPr>
        <w:ind w:left="720" w:hanging="360"/>
      </w:pPr>
      <w:rPr>
        <w:rFonts w:ascii="Symbol" w:hAnsi="Symbol"/>
      </w:rPr>
    </w:lvl>
    <w:lvl w:ilvl="6" w:tplc="58B6D6E4">
      <w:start w:val="1"/>
      <w:numFmt w:val="bullet"/>
      <w:lvlText w:val=""/>
      <w:lvlJc w:val="left"/>
      <w:pPr>
        <w:ind w:left="720" w:hanging="360"/>
      </w:pPr>
      <w:rPr>
        <w:rFonts w:ascii="Symbol" w:hAnsi="Symbol"/>
      </w:rPr>
    </w:lvl>
    <w:lvl w:ilvl="7" w:tplc="7AAA5680">
      <w:start w:val="1"/>
      <w:numFmt w:val="bullet"/>
      <w:lvlText w:val=""/>
      <w:lvlJc w:val="left"/>
      <w:pPr>
        <w:ind w:left="720" w:hanging="360"/>
      </w:pPr>
      <w:rPr>
        <w:rFonts w:ascii="Symbol" w:hAnsi="Symbol"/>
      </w:rPr>
    </w:lvl>
    <w:lvl w:ilvl="8" w:tplc="F4D67834">
      <w:start w:val="1"/>
      <w:numFmt w:val="bullet"/>
      <w:lvlText w:val=""/>
      <w:lvlJc w:val="left"/>
      <w:pPr>
        <w:ind w:left="720" w:hanging="360"/>
      </w:pPr>
      <w:rPr>
        <w:rFonts w:ascii="Symbol" w:hAnsi="Symbol"/>
      </w:rPr>
    </w:lvl>
  </w:abstractNum>
  <w:abstractNum w:abstractNumId="39" w15:restartNumberingAfterBreak="0">
    <w:nsid w:val="67D958EB"/>
    <w:multiLevelType w:val="hybridMultilevel"/>
    <w:tmpl w:val="FFFFFFFF"/>
    <w:lvl w:ilvl="0" w:tplc="AFE6B432">
      <w:start w:val="1"/>
      <w:numFmt w:val="decimal"/>
      <w:lvlText w:val="•"/>
      <w:lvlJc w:val="left"/>
      <w:pPr>
        <w:ind w:left="720" w:hanging="360"/>
      </w:pPr>
    </w:lvl>
    <w:lvl w:ilvl="1" w:tplc="71705784">
      <w:start w:val="1"/>
      <w:numFmt w:val="lowerLetter"/>
      <w:lvlText w:val="%2."/>
      <w:lvlJc w:val="left"/>
      <w:pPr>
        <w:ind w:left="1440" w:hanging="360"/>
      </w:pPr>
    </w:lvl>
    <w:lvl w:ilvl="2" w:tplc="CAD273CA">
      <w:start w:val="1"/>
      <w:numFmt w:val="lowerRoman"/>
      <w:lvlText w:val="%3."/>
      <w:lvlJc w:val="right"/>
      <w:pPr>
        <w:ind w:left="2160" w:hanging="180"/>
      </w:pPr>
    </w:lvl>
    <w:lvl w:ilvl="3" w:tplc="7ED4110C">
      <w:start w:val="1"/>
      <w:numFmt w:val="decimal"/>
      <w:lvlText w:val="%4."/>
      <w:lvlJc w:val="left"/>
      <w:pPr>
        <w:ind w:left="2880" w:hanging="360"/>
      </w:pPr>
    </w:lvl>
    <w:lvl w:ilvl="4" w:tplc="7A684F46">
      <w:start w:val="1"/>
      <w:numFmt w:val="lowerLetter"/>
      <w:lvlText w:val="%5."/>
      <w:lvlJc w:val="left"/>
      <w:pPr>
        <w:ind w:left="3600" w:hanging="360"/>
      </w:pPr>
    </w:lvl>
    <w:lvl w:ilvl="5" w:tplc="8F16C82E">
      <w:start w:val="1"/>
      <w:numFmt w:val="lowerRoman"/>
      <w:lvlText w:val="%6."/>
      <w:lvlJc w:val="right"/>
      <w:pPr>
        <w:ind w:left="4320" w:hanging="180"/>
      </w:pPr>
    </w:lvl>
    <w:lvl w:ilvl="6" w:tplc="2A8A3524">
      <w:start w:val="1"/>
      <w:numFmt w:val="decimal"/>
      <w:lvlText w:val="%7."/>
      <w:lvlJc w:val="left"/>
      <w:pPr>
        <w:ind w:left="5040" w:hanging="360"/>
      </w:pPr>
    </w:lvl>
    <w:lvl w:ilvl="7" w:tplc="EE68BED4">
      <w:start w:val="1"/>
      <w:numFmt w:val="lowerLetter"/>
      <w:lvlText w:val="%8."/>
      <w:lvlJc w:val="left"/>
      <w:pPr>
        <w:ind w:left="5760" w:hanging="360"/>
      </w:pPr>
    </w:lvl>
    <w:lvl w:ilvl="8" w:tplc="3EE0876E">
      <w:start w:val="1"/>
      <w:numFmt w:val="lowerRoman"/>
      <w:lvlText w:val="%9."/>
      <w:lvlJc w:val="right"/>
      <w:pPr>
        <w:ind w:left="6480" w:hanging="180"/>
      </w:pPr>
    </w:lvl>
  </w:abstractNum>
  <w:abstractNum w:abstractNumId="40" w15:restartNumberingAfterBreak="0">
    <w:nsid w:val="693159FC"/>
    <w:multiLevelType w:val="multilevel"/>
    <w:tmpl w:val="C0AC1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2" w15:restartNumberingAfterBreak="0">
    <w:nsid w:val="6E811844"/>
    <w:multiLevelType w:val="hybridMultilevel"/>
    <w:tmpl w:val="CC50AD4C"/>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AE1E95"/>
    <w:multiLevelType w:val="multilevel"/>
    <w:tmpl w:val="C240AF2A"/>
    <w:lvl w:ilvl="0">
      <w:start w:val="1"/>
      <w:numFmt w:val="decimal"/>
      <w:lvlText w:val="%1."/>
      <w:lvlJc w:val="left"/>
      <w:pPr>
        <w:ind w:left="284" w:hanging="284"/>
      </w:pPr>
      <w:rPr>
        <w:rFonts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44"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78176609"/>
    <w:multiLevelType w:val="multilevel"/>
    <w:tmpl w:val="7A42D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99EEDC"/>
    <w:multiLevelType w:val="hybridMultilevel"/>
    <w:tmpl w:val="FFFFFFFF"/>
    <w:lvl w:ilvl="0" w:tplc="0248E6AA">
      <w:start w:val="1"/>
      <w:numFmt w:val="decimal"/>
      <w:lvlText w:val="•"/>
      <w:lvlJc w:val="left"/>
      <w:pPr>
        <w:ind w:left="720" w:hanging="360"/>
      </w:pPr>
    </w:lvl>
    <w:lvl w:ilvl="1" w:tplc="ADCE4718">
      <w:start w:val="1"/>
      <w:numFmt w:val="lowerLetter"/>
      <w:lvlText w:val="%2."/>
      <w:lvlJc w:val="left"/>
      <w:pPr>
        <w:ind w:left="1440" w:hanging="360"/>
      </w:pPr>
    </w:lvl>
    <w:lvl w:ilvl="2" w:tplc="C90C79E8">
      <w:start w:val="1"/>
      <w:numFmt w:val="lowerRoman"/>
      <w:lvlText w:val="%3."/>
      <w:lvlJc w:val="right"/>
      <w:pPr>
        <w:ind w:left="2160" w:hanging="180"/>
      </w:pPr>
    </w:lvl>
    <w:lvl w:ilvl="3" w:tplc="3DC29780">
      <w:start w:val="1"/>
      <w:numFmt w:val="decimal"/>
      <w:lvlText w:val="%4."/>
      <w:lvlJc w:val="left"/>
      <w:pPr>
        <w:ind w:left="2880" w:hanging="360"/>
      </w:pPr>
    </w:lvl>
    <w:lvl w:ilvl="4" w:tplc="887472C0">
      <w:start w:val="1"/>
      <w:numFmt w:val="lowerLetter"/>
      <w:lvlText w:val="%5."/>
      <w:lvlJc w:val="left"/>
      <w:pPr>
        <w:ind w:left="3600" w:hanging="360"/>
      </w:pPr>
    </w:lvl>
    <w:lvl w:ilvl="5" w:tplc="C62CF820">
      <w:start w:val="1"/>
      <w:numFmt w:val="lowerRoman"/>
      <w:lvlText w:val="%6."/>
      <w:lvlJc w:val="right"/>
      <w:pPr>
        <w:ind w:left="4320" w:hanging="180"/>
      </w:pPr>
    </w:lvl>
    <w:lvl w:ilvl="6" w:tplc="8098CBEE">
      <w:start w:val="1"/>
      <w:numFmt w:val="decimal"/>
      <w:lvlText w:val="%7."/>
      <w:lvlJc w:val="left"/>
      <w:pPr>
        <w:ind w:left="5040" w:hanging="360"/>
      </w:pPr>
    </w:lvl>
    <w:lvl w:ilvl="7" w:tplc="0280655A">
      <w:start w:val="1"/>
      <w:numFmt w:val="lowerLetter"/>
      <w:lvlText w:val="%8."/>
      <w:lvlJc w:val="left"/>
      <w:pPr>
        <w:ind w:left="5760" w:hanging="360"/>
      </w:pPr>
    </w:lvl>
    <w:lvl w:ilvl="8" w:tplc="BB5E9D64">
      <w:start w:val="1"/>
      <w:numFmt w:val="lowerRoman"/>
      <w:lvlText w:val="%9."/>
      <w:lvlJc w:val="right"/>
      <w:pPr>
        <w:ind w:left="6480" w:hanging="180"/>
      </w:pPr>
    </w:lvl>
  </w:abstractNum>
  <w:abstractNum w:abstractNumId="47"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BF275E"/>
    <w:multiLevelType w:val="multilevel"/>
    <w:tmpl w:val="A6800B9E"/>
    <w:styleLink w:val="ChartandTableFootnoteAlphaList"/>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9" w15:restartNumberingAfterBreak="0">
    <w:nsid w:val="7EFB4764"/>
    <w:multiLevelType w:val="multilevel"/>
    <w:tmpl w:val="0E7C2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509446909">
    <w:abstractNumId w:val="24"/>
  </w:num>
  <w:num w:numId="2" w16cid:durableId="230386874">
    <w:abstractNumId w:val="2"/>
  </w:num>
  <w:num w:numId="3" w16cid:durableId="1716855291">
    <w:abstractNumId w:val="27"/>
  </w:num>
  <w:num w:numId="4" w16cid:durableId="797724066">
    <w:abstractNumId w:val="7"/>
  </w:num>
  <w:num w:numId="5" w16cid:durableId="709110180">
    <w:abstractNumId w:val="11"/>
  </w:num>
  <w:num w:numId="6" w16cid:durableId="306596971">
    <w:abstractNumId w:val="33"/>
  </w:num>
  <w:num w:numId="7" w16cid:durableId="1739129519">
    <w:abstractNumId w:val="26"/>
    <w:lvlOverride w:ilvl="0">
      <w:lvl w:ilvl="0" w:tplc="72AEF60E">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plc="0C9AC5C2" w:tentative="1">
        <w:start w:val="1"/>
        <w:numFmt w:val="lowerLetter"/>
        <w:lvlText w:val="%2."/>
        <w:lvlJc w:val="left"/>
        <w:pPr>
          <w:ind w:left="1080" w:hanging="360"/>
        </w:pPr>
      </w:lvl>
    </w:lvlOverride>
    <w:lvlOverride w:ilvl="2">
      <w:lvl w:ilvl="2" w:tplc="51F0DABE" w:tentative="1">
        <w:start w:val="1"/>
        <w:numFmt w:val="lowerRoman"/>
        <w:lvlText w:val="%3."/>
        <w:lvlJc w:val="right"/>
        <w:pPr>
          <w:ind w:left="1800" w:hanging="180"/>
        </w:pPr>
      </w:lvl>
    </w:lvlOverride>
    <w:lvlOverride w:ilvl="3">
      <w:lvl w:ilvl="3" w:tplc="6F5C7530" w:tentative="1">
        <w:start w:val="1"/>
        <w:numFmt w:val="decimal"/>
        <w:lvlText w:val="%4."/>
        <w:lvlJc w:val="left"/>
        <w:pPr>
          <w:ind w:left="2520" w:hanging="360"/>
        </w:pPr>
      </w:lvl>
    </w:lvlOverride>
    <w:lvlOverride w:ilvl="4">
      <w:lvl w:ilvl="4" w:tplc="0DF841D2" w:tentative="1">
        <w:start w:val="1"/>
        <w:numFmt w:val="lowerLetter"/>
        <w:lvlText w:val="%5."/>
        <w:lvlJc w:val="left"/>
        <w:pPr>
          <w:ind w:left="3240" w:hanging="360"/>
        </w:pPr>
      </w:lvl>
    </w:lvlOverride>
    <w:lvlOverride w:ilvl="5">
      <w:lvl w:ilvl="5" w:tplc="9E44324A" w:tentative="1">
        <w:start w:val="1"/>
        <w:numFmt w:val="lowerRoman"/>
        <w:lvlText w:val="%6."/>
        <w:lvlJc w:val="right"/>
        <w:pPr>
          <w:ind w:left="3960" w:hanging="180"/>
        </w:pPr>
      </w:lvl>
    </w:lvlOverride>
    <w:lvlOverride w:ilvl="6">
      <w:lvl w:ilvl="6" w:tplc="9192043E" w:tentative="1">
        <w:start w:val="1"/>
        <w:numFmt w:val="decimal"/>
        <w:lvlText w:val="%7."/>
        <w:lvlJc w:val="left"/>
        <w:pPr>
          <w:ind w:left="4680" w:hanging="360"/>
        </w:pPr>
      </w:lvl>
    </w:lvlOverride>
    <w:lvlOverride w:ilvl="7">
      <w:lvl w:ilvl="7" w:tplc="2CEA80DC" w:tentative="1">
        <w:start w:val="1"/>
        <w:numFmt w:val="lowerLetter"/>
        <w:lvlText w:val="%8."/>
        <w:lvlJc w:val="left"/>
        <w:pPr>
          <w:ind w:left="5400" w:hanging="360"/>
        </w:pPr>
      </w:lvl>
    </w:lvlOverride>
    <w:lvlOverride w:ilvl="8">
      <w:lvl w:ilvl="8" w:tplc="11F2B56E" w:tentative="1">
        <w:start w:val="1"/>
        <w:numFmt w:val="lowerRoman"/>
        <w:lvlText w:val="%9."/>
        <w:lvlJc w:val="right"/>
        <w:pPr>
          <w:ind w:left="6120" w:hanging="180"/>
        </w:pPr>
      </w:lvl>
    </w:lvlOverride>
  </w:num>
  <w:num w:numId="8" w16cid:durableId="1043020558">
    <w:abstractNumId w:val="12"/>
  </w:num>
  <w:num w:numId="9" w16cid:durableId="1591279926">
    <w:abstractNumId w:val="3"/>
  </w:num>
  <w:num w:numId="10" w16cid:durableId="832991063">
    <w:abstractNumId w:val="19"/>
  </w:num>
  <w:num w:numId="11" w16cid:durableId="215508863">
    <w:abstractNumId w:val="48"/>
  </w:num>
  <w:num w:numId="12" w16cid:durableId="2019234066">
    <w:abstractNumId w:val="33"/>
  </w:num>
  <w:num w:numId="13" w16cid:durableId="1757362042">
    <w:abstractNumId w:val="50"/>
  </w:num>
  <w:num w:numId="14" w16cid:durableId="353965158">
    <w:abstractNumId w:val="31"/>
  </w:num>
  <w:num w:numId="15" w16cid:durableId="77220001">
    <w:abstractNumId w:val="18"/>
  </w:num>
  <w:num w:numId="16" w16cid:durableId="626086807">
    <w:abstractNumId w:val="37"/>
  </w:num>
  <w:num w:numId="17" w16cid:durableId="143200778">
    <w:abstractNumId w:val="26"/>
  </w:num>
  <w:num w:numId="18" w16cid:durableId="10540393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85910852">
    <w:abstractNumId w:val="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6955640">
    <w:abstractNumId w:val="25"/>
  </w:num>
  <w:num w:numId="21" w16cid:durableId="525217854">
    <w:abstractNumId w:val="34"/>
  </w:num>
  <w:num w:numId="22" w16cid:durableId="1017973052">
    <w:abstractNumId w:val="10"/>
  </w:num>
  <w:num w:numId="23" w16cid:durableId="1710757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227257">
    <w:abstractNumId w:val="41"/>
  </w:num>
  <w:num w:numId="25" w16cid:durableId="1198618205">
    <w:abstractNumId w:val="14"/>
  </w:num>
  <w:num w:numId="26" w16cid:durableId="2090078784">
    <w:abstractNumId w:val="43"/>
  </w:num>
  <w:num w:numId="27" w16cid:durableId="1679116893">
    <w:abstractNumId w:val="23"/>
  </w:num>
  <w:num w:numId="28" w16cid:durableId="1046414519">
    <w:abstractNumId w:val="20"/>
  </w:num>
  <w:num w:numId="29" w16cid:durableId="837157681">
    <w:abstractNumId w:val="17"/>
  </w:num>
  <w:num w:numId="30" w16cid:durableId="1406953576">
    <w:abstractNumId w:val="41"/>
  </w:num>
  <w:num w:numId="31" w16cid:durableId="2099861519">
    <w:abstractNumId w:val="39"/>
  </w:num>
  <w:num w:numId="32" w16cid:durableId="1236084365">
    <w:abstractNumId w:val="46"/>
  </w:num>
  <w:num w:numId="33" w16cid:durableId="1731223524">
    <w:abstractNumId w:val="6"/>
  </w:num>
  <w:num w:numId="34" w16cid:durableId="1631324316">
    <w:abstractNumId w:val="29"/>
  </w:num>
  <w:num w:numId="35" w16cid:durableId="1867524118">
    <w:abstractNumId w:val="40"/>
  </w:num>
  <w:num w:numId="36" w16cid:durableId="667946809">
    <w:abstractNumId w:val="41"/>
  </w:num>
  <w:num w:numId="37" w16cid:durableId="1115174770">
    <w:abstractNumId w:val="36"/>
  </w:num>
  <w:num w:numId="38" w16cid:durableId="1147669364">
    <w:abstractNumId w:val="45"/>
  </w:num>
  <w:num w:numId="39" w16cid:durableId="2104834828">
    <w:abstractNumId w:val="49"/>
  </w:num>
  <w:num w:numId="40" w16cid:durableId="1873767842">
    <w:abstractNumId w:val="9"/>
  </w:num>
  <w:num w:numId="41" w16cid:durableId="641882272">
    <w:abstractNumId w:val="16"/>
  </w:num>
  <w:num w:numId="42" w16cid:durableId="1488085277">
    <w:abstractNumId w:val="5"/>
  </w:num>
  <w:num w:numId="43" w16cid:durableId="501509105">
    <w:abstractNumId w:val="41"/>
  </w:num>
  <w:num w:numId="44" w16cid:durableId="304315770">
    <w:abstractNumId w:val="41"/>
  </w:num>
  <w:num w:numId="45" w16cid:durableId="1593198740">
    <w:abstractNumId w:val="41"/>
  </w:num>
  <w:num w:numId="46" w16cid:durableId="2077118056">
    <w:abstractNumId w:val="21"/>
  </w:num>
  <w:num w:numId="47" w16cid:durableId="490683785">
    <w:abstractNumId w:val="30"/>
  </w:num>
  <w:num w:numId="48" w16cid:durableId="1979187714">
    <w:abstractNumId w:val="41"/>
  </w:num>
  <w:num w:numId="49" w16cid:durableId="1888494094">
    <w:abstractNumId w:val="41"/>
  </w:num>
  <w:num w:numId="50" w16cid:durableId="812529022">
    <w:abstractNumId w:val="32"/>
  </w:num>
  <w:num w:numId="51" w16cid:durableId="420032885">
    <w:abstractNumId w:val="0"/>
  </w:num>
  <w:num w:numId="52" w16cid:durableId="1918978874">
    <w:abstractNumId w:val="35"/>
  </w:num>
  <w:num w:numId="53" w16cid:durableId="1551962869">
    <w:abstractNumId w:val="1"/>
  </w:num>
  <w:num w:numId="54" w16cid:durableId="774399095">
    <w:abstractNumId w:val="22"/>
  </w:num>
  <w:num w:numId="55" w16cid:durableId="848835689">
    <w:abstractNumId w:val="42"/>
  </w:num>
  <w:num w:numId="56" w16cid:durableId="1768383106">
    <w:abstractNumId w:val="38"/>
  </w:num>
  <w:num w:numId="57" w16cid:durableId="1646351632">
    <w:abstractNumId w:val="13"/>
  </w:num>
  <w:num w:numId="58" w16cid:durableId="998770574">
    <w:abstractNumId w:val="15"/>
  </w:num>
  <w:num w:numId="59" w16cid:durableId="1422990916">
    <w:abstractNumId w:val="4"/>
  </w:num>
  <w:num w:numId="60" w16cid:durableId="1502357248">
    <w:abstractNumId w:val="41"/>
  </w:num>
  <w:num w:numId="61" w16cid:durableId="478034186">
    <w:abstractNumId w:val="28"/>
  </w:num>
  <w:num w:numId="62" w16cid:durableId="1241721049">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8B5287"/>
    <w:rsid w:val="00000313"/>
    <w:rsid w:val="000006BC"/>
    <w:rsid w:val="000007C5"/>
    <w:rsid w:val="00001232"/>
    <w:rsid w:val="00001252"/>
    <w:rsid w:val="000016DA"/>
    <w:rsid w:val="00001DC3"/>
    <w:rsid w:val="0000227C"/>
    <w:rsid w:val="00002536"/>
    <w:rsid w:val="000025A9"/>
    <w:rsid w:val="0000336E"/>
    <w:rsid w:val="00003594"/>
    <w:rsid w:val="00003D2E"/>
    <w:rsid w:val="00004446"/>
    <w:rsid w:val="00004D6D"/>
    <w:rsid w:val="00005667"/>
    <w:rsid w:val="000057CD"/>
    <w:rsid w:val="00005E2D"/>
    <w:rsid w:val="0000605F"/>
    <w:rsid w:val="00006F2A"/>
    <w:rsid w:val="00006F88"/>
    <w:rsid w:val="00007131"/>
    <w:rsid w:val="00007251"/>
    <w:rsid w:val="00010285"/>
    <w:rsid w:val="00010E6C"/>
    <w:rsid w:val="00010EFC"/>
    <w:rsid w:val="000110B9"/>
    <w:rsid w:val="00011725"/>
    <w:rsid w:val="00011B3C"/>
    <w:rsid w:val="00011C96"/>
    <w:rsid w:val="0001231B"/>
    <w:rsid w:val="00012C62"/>
    <w:rsid w:val="00012FB0"/>
    <w:rsid w:val="00013033"/>
    <w:rsid w:val="0001396A"/>
    <w:rsid w:val="000142E8"/>
    <w:rsid w:val="000145C8"/>
    <w:rsid w:val="00014E2A"/>
    <w:rsid w:val="000157E4"/>
    <w:rsid w:val="00015E4D"/>
    <w:rsid w:val="00016636"/>
    <w:rsid w:val="00016731"/>
    <w:rsid w:val="000167EE"/>
    <w:rsid w:val="00016B3E"/>
    <w:rsid w:val="000170A2"/>
    <w:rsid w:val="000171F5"/>
    <w:rsid w:val="0001734C"/>
    <w:rsid w:val="000178FC"/>
    <w:rsid w:val="00017FA6"/>
    <w:rsid w:val="000201B5"/>
    <w:rsid w:val="00020271"/>
    <w:rsid w:val="00020963"/>
    <w:rsid w:val="00020ECD"/>
    <w:rsid w:val="00021A38"/>
    <w:rsid w:val="00021E05"/>
    <w:rsid w:val="0002213D"/>
    <w:rsid w:val="000228A7"/>
    <w:rsid w:val="00023264"/>
    <w:rsid w:val="00023736"/>
    <w:rsid w:val="00023973"/>
    <w:rsid w:val="00023B93"/>
    <w:rsid w:val="000245A0"/>
    <w:rsid w:val="00024CE1"/>
    <w:rsid w:val="0002544D"/>
    <w:rsid w:val="00025825"/>
    <w:rsid w:val="00025CF6"/>
    <w:rsid w:val="00025EDC"/>
    <w:rsid w:val="0002769E"/>
    <w:rsid w:val="00030003"/>
    <w:rsid w:val="00030961"/>
    <w:rsid w:val="00030DC9"/>
    <w:rsid w:val="00031364"/>
    <w:rsid w:val="0003142C"/>
    <w:rsid w:val="00031D52"/>
    <w:rsid w:val="00031E67"/>
    <w:rsid w:val="0003209D"/>
    <w:rsid w:val="00032812"/>
    <w:rsid w:val="00033420"/>
    <w:rsid w:val="0003380E"/>
    <w:rsid w:val="000346C2"/>
    <w:rsid w:val="000347DD"/>
    <w:rsid w:val="00034C00"/>
    <w:rsid w:val="0003505D"/>
    <w:rsid w:val="0003513A"/>
    <w:rsid w:val="0003514D"/>
    <w:rsid w:val="00035154"/>
    <w:rsid w:val="00035385"/>
    <w:rsid w:val="000353A9"/>
    <w:rsid w:val="00035DA8"/>
    <w:rsid w:val="000360F4"/>
    <w:rsid w:val="000365E1"/>
    <w:rsid w:val="00036B50"/>
    <w:rsid w:val="00037E1C"/>
    <w:rsid w:val="000400C0"/>
    <w:rsid w:val="00040132"/>
    <w:rsid w:val="00040380"/>
    <w:rsid w:val="00040C3D"/>
    <w:rsid w:val="00040F9A"/>
    <w:rsid w:val="00041019"/>
    <w:rsid w:val="00041167"/>
    <w:rsid w:val="0004133F"/>
    <w:rsid w:val="00041378"/>
    <w:rsid w:val="000417D8"/>
    <w:rsid w:val="00041D51"/>
    <w:rsid w:val="00041E41"/>
    <w:rsid w:val="00041F86"/>
    <w:rsid w:val="00042359"/>
    <w:rsid w:val="0004270A"/>
    <w:rsid w:val="0004274D"/>
    <w:rsid w:val="00042ADB"/>
    <w:rsid w:val="00043348"/>
    <w:rsid w:val="0004338C"/>
    <w:rsid w:val="00043552"/>
    <w:rsid w:val="000437EA"/>
    <w:rsid w:val="00043956"/>
    <w:rsid w:val="00043CFC"/>
    <w:rsid w:val="0004410B"/>
    <w:rsid w:val="0004423A"/>
    <w:rsid w:val="000445D5"/>
    <w:rsid w:val="0004483F"/>
    <w:rsid w:val="00044E15"/>
    <w:rsid w:val="0004506B"/>
    <w:rsid w:val="000456F9"/>
    <w:rsid w:val="0004662D"/>
    <w:rsid w:val="0004683F"/>
    <w:rsid w:val="0004689C"/>
    <w:rsid w:val="00046CB4"/>
    <w:rsid w:val="00047125"/>
    <w:rsid w:val="00047F41"/>
    <w:rsid w:val="00050246"/>
    <w:rsid w:val="000505D0"/>
    <w:rsid w:val="000508D5"/>
    <w:rsid w:val="00050A2D"/>
    <w:rsid w:val="00050C05"/>
    <w:rsid w:val="00050D8A"/>
    <w:rsid w:val="00050FF7"/>
    <w:rsid w:val="0005138B"/>
    <w:rsid w:val="0005192F"/>
    <w:rsid w:val="000522B7"/>
    <w:rsid w:val="0005342A"/>
    <w:rsid w:val="00053717"/>
    <w:rsid w:val="00053DA3"/>
    <w:rsid w:val="00053F32"/>
    <w:rsid w:val="000541B1"/>
    <w:rsid w:val="000543AA"/>
    <w:rsid w:val="0005474E"/>
    <w:rsid w:val="00054863"/>
    <w:rsid w:val="00054BB4"/>
    <w:rsid w:val="00054CBB"/>
    <w:rsid w:val="00054CFD"/>
    <w:rsid w:val="00054D56"/>
    <w:rsid w:val="00055328"/>
    <w:rsid w:val="00055ABC"/>
    <w:rsid w:val="00055BB6"/>
    <w:rsid w:val="00055C36"/>
    <w:rsid w:val="00055ECA"/>
    <w:rsid w:val="00056880"/>
    <w:rsid w:val="00056E8C"/>
    <w:rsid w:val="0005718F"/>
    <w:rsid w:val="0005768D"/>
    <w:rsid w:val="00057EE1"/>
    <w:rsid w:val="00057F23"/>
    <w:rsid w:val="000601B7"/>
    <w:rsid w:val="000601FE"/>
    <w:rsid w:val="0006028A"/>
    <w:rsid w:val="00060963"/>
    <w:rsid w:val="00060AF9"/>
    <w:rsid w:val="00060D12"/>
    <w:rsid w:val="000611AE"/>
    <w:rsid w:val="000617CB"/>
    <w:rsid w:val="00061DAE"/>
    <w:rsid w:val="000629F3"/>
    <w:rsid w:val="00062CE2"/>
    <w:rsid w:val="000639F1"/>
    <w:rsid w:val="00063E08"/>
    <w:rsid w:val="0006452E"/>
    <w:rsid w:val="00064763"/>
    <w:rsid w:val="000649A2"/>
    <w:rsid w:val="000649A9"/>
    <w:rsid w:val="00065141"/>
    <w:rsid w:val="00065236"/>
    <w:rsid w:val="00065E73"/>
    <w:rsid w:val="000665F7"/>
    <w:rsid w:val="000668FD"/>
    <w:rsid w:val="000675D1"/>
    <w:rsid w:val="00067768"/>
    <w:rsid w:val="00067B1F"/>
    <w:rsid w:val="0007036D"/>
    <w:rsid w:val="00070520"/>
    <w:rsid w:val="00070EC7"/>
    <w:rsid w:val="00071456"/>
    <w:rsid w:val="00071587"/>
    <w:rsid w:val="00072072"/>
    <w:rsid w:val="000725C2"/>
    <w:rsid w:val="00072C3D"/>
    <w:rsid w:val="00072E8D"/>
    <w:rsid w:val="00073521"/>
    <w:rsid w:val="00073544"/>
    <w:rsid w:val="000735E6"/>
    <w:rsid w:val="00073BC3"/>
    <w:rsid w:val="00074067"/>
    <w:rsid w:val="000740C2"/>
    <w:rsid w:val="000741DD"/>
    <w:rsid w:val="00074B76"/>
    <w:rsid w:val="00074BD3"/>
    <w:rsid w:val="00074F58"/>
    <w:rsid w:val="00074FB3"/>
    <w:rsid w:val="00075064"/>
    <w:rsid w:val="000758A1"/>
    <w:rsid w:val="00075EA0"/>
    <w:rsid w:val="000764B5"/>
    <w:rsid w:val="000767D0"/>
    <w:rsid w:val="00076869"/>
    <w:rsid w:val="00076944"/>
    <w:rsid w:val="00076E06"/>
    <w:rsid w:val="00076FDA"/>
    <w:rsid w:val="000775DE"/>
    <w:rsid w:val="00077BFB"/>
    <w:rsid w:val="0008018B"/>
    <w:rsid w:val="00081266"/>
    <w:rsid w:val="000815B5"/>
    <w:rsid w:val="000821A0"/>
    <w:rsid w:val="000821DB"/>
    <w:rsid w:val="00082BBA"/>
    <w:rsid w:val="00083065"/>
    <w:rsid w:val="000830DE"/>
    <w:rsid w:val="0008374A"/>
    <w:rsid w:val="000842CB"/>
    <w:rsid w:val="0008438C"/>
    <w:rsid w:val="00084557"/>
    <w:rsid w:val="000847B8"/>
    <w:rsid w:val="00084865"/>
    <w:rsid w:val="000848A2"/>
    <w:rsid w:val="00084B7E"/>
    <w:rsid w:val="00085486"/>
    <w:rsid w:val="000854A7"/>
    <w:rsid w:val="0008572B"/>
    <w:rsid w:val="0008574D"/>
    <w:rsid w:val="00085B57"/>
    <w:rsid w:val="00086066"/>
    <w:rsid w:val="000860CC"/>
    <w:rsid w:val="000866F9"/>
    <w:rsid w:val="00086889"/>
    <w:rsid w:val="00086E75"/>
    <w:rsid w:val="00086FB5"/>
    <w:rsid w:val="000870C7"/>
    <w:rsid w:val="0008777F"/>
    <w:rsid w:val="00087896"/>
    <w:rsid w:val="00087AD2"/>
    <w:rsid w:val="00087FAF"/>
    <w:rsid w:val="00090189"/>
    <w:rsid w:val="00090D91"/>
    <w:rsid w:val="00090ED1"/>
    <w:rsid w:val="00090EEC"/>
    <w:rsid w:val="000911EA"/>
    <w:rsid w:val="0009146E"/>
    <w:rsid w:val="000915A9"/>
    <w:rsid w:val="0009181D"/>
    <w:rsid w:val="00091D52"/>
    <w:rsid w:val="000921B6"/>
    <w:rsid w:val="0009220D"/>
    <w:rsid w:val="00092598"/>
    <w:rsid w:val="000929D8"/>
    <w:rsid w:val="000935C7"/>
    <w:rsid w:val="00093775"/>
    <w:rsid w:val="00093888"/>
    <w:rsid w:val="00093B15"/>
    <w:rsid w:val="00094835"/>
    <w:rsid w:val="00094AC7"/>
    <w:rsid w:val="00095101"/>
    <w:rsid w:val="00095522"/>
    <w:rsid w:val="00095D88"/>
    <w:rsid w:val="000960B1"/>
    <w:rsid w:val="0009616D"/>
    <w:rsid w:val="000963E5"/>
    <w:rsid w:val="00096F85"/>
    <w:rsid w:val="00097286"/>
    <w:rsid w:val="00097348"/>
    <w:rsid w:val="000979ED"/>
    <w:rsid w:val="00097B7B"/>
    <w:rsid w:val="00097BEE"/>
    <w:rsid w:val="000A0078"/>
    <w:rsid w:val="000A02A5"/>
    <w:rsid w:val="000A048D"/>
    <w:rsid w:val="000A0636"/>
    <w:rsid w:val="000A06E6"/>
    <w:rsid w:val="000A0B42"/>
    <w:rsid w:val="000A1280"/>
    <w:rsid w:val="000A130F"/>
    <w:rsid w:val="000A1C93"/>
    <w:rsid w:val="000A20A6"/>
    <w:rsid w:val="000A211F"/>
    <w:rsid w:val="000A21B1"/>
    <w:rsid w:val="000A2510"/>
    <w:rsid w:val="000A2B81"/>
    <w:rsid w:val="000A2C3A"/>
    <w:rsid w:val="000A3296"/>
    <w:rsid w:val="000A32F3"/>
    <w:rsid w:val="000A3B13"/>
    <w:rsid w:val="000A3BF6"/>
    <w:rsid w:val="000A3FC0"/>
    <w:rsid w:val="000A4FDC"/>
    <w:rsid w:val="000A53C6"/>
    <w:rsid w:val="000A54F8"/>
    <w:rsid w:val="000A5BC1"/>
    <w:rsid w:val="000A65D0"/>
    <w:rsid w:val="000A6C1C"/>
    <w:rsid w:val="000A6D1B"/>
    <w:rsid w:val="000A6EF5"/>
    <w:rsid w:val="000A737C"/>
    <w:rsid w:val="000A7453"/>
    <w:rsid w:val="000A77C9"/>
    <w:rsid w:val="000A7A3E"/>
    <w:rsid w:val="000A7DBD"/>
    <w:rsid w:val="000A7DDF"/>
    <w:rsid w:val="000B093F"/>
    <w:rsid w:val="000B0D96"/>
    <w:rsid w:val="000B0E52"/>
    <w:rsid w:val="000B0F4C"/>
    <w:rsid w:val="000B1084"/>
    <w:rsid w:val="000B16B8"/>
    <w:rsid w:val="000B1C33"/>
    <w:rsid w:val="000B1C8D"/>
    <w:rsid w:val="000B293B"/>
    <w:rsid w:val="000B302A"/>
    <w:rsid w:val="000B40B0"/>
    <w:rsid w:val="000B423F"/>
    <w:rsid w:val="000B462E"/>
    <w:rsid w:val="000B4A80"/>
    <w:rsid w:val="000B4C40"/>
    <w:rsid w:val="000B4E0F"/>
    <w:rsid w:val="000B5195"/>
    <w:rsid w:val="000B53A2"/>
    <w:rsid w:val="000B545C"/>
    <w:rsid w:val="000B593E"/>
    <w:rsid w:val="000B5BC0"/>
    <w:rsid w:val="000B6293"/>
    <w:rsid w:val="000B632C"/>
    <w:rsid w:val="000B65F9"/>
    <w:rsid w:val="000B67D8"/>
    <w:rsid w:val="000B6DB9"/>
    <w:rsid w:val="000B6E5C"/>
    <w:rsid w:val="000B7341"/>
    <w:rsid w:val="000B7A4A"/>
    <w:rsid w:val="000B7C2B"/>
    <w:rsid w:val="000B7ED2"/>
    <w:rsid w:val="000C0225"/>
    <w:rsid w:val="000C05C0"/>
    <w:rsid w:val="000C0666"/>
    <w:rsid w:val="000C0FFB"/>
    <w:rsid w:val="000C124A"/>
    <w:rsid w:val="000C1BF1"/>
    <w:rsid w:val="000C1E18"/>
    <w:rsid w:val="000C23FE"/>
    <w:rsid w:val="000C3027"/>
    <w:rsid w:val="000C3752"/>
    <w:rsid w:val="000C3D7E"/>
    <w:rsid w:val="000C461C"/>
    <w:rsid w:val="000C4B1B"/>
    <w:rsid w:val="000C4D9C"/>
    <w:rsid w:val="000C4E3C"/>
    <w:rsid w:val="000C4E53"/>
    <w:rsid w:val="000C52F1"/>
    <w:rsid w:val="000C571D"/>
    <w:rsid w:val="000C5F40"/>
    <w:rsid w:val="000C67A3"/>
    <w:rsid w:val="000C6B08"/>
    <w:rsid w:val="000C6E2C"/>
    <w:rsid w:val="000C6EED"/>
    <w:rsid w:val="000C6FA4"/>
    <w:rsid w:val="000C71C6"/>
    <w:rsid w:val="000C735B"/>
    <w:rsid w:val="000C76CB"/>
    <w:rsid w:val="000C7855"/>
    <w:rsid w:val="000D0198"/>
    <w:rsid w:val="000D095B"/>
    <w:rsid w:val="000D0BA5"/>
    <w:rsid w:val="000D1F99"/>
    <w:rsid w:val="000D210D"/>
    <w:rsid w:val="000D2BFF"/>
    <w:rsid w:val="000D2FD6"/>
    <w:rsid w:val="000D34BA"/>
    <w:rsid w:val="000D3A4B"/>
    <w:rsid w:val="000D4186"/>
    <w:rsid w:val="000D4996"/>
    <w:rsid w:val="000D4E1B"/>
    <w:rsid w:val="000D559F"/>
    <w:rsid w:val="000D5A30"/>
    <w:rsid w:val="000D5C59"/>
    <w:rsid w:val="000D5CB9"/>
    <w:rsid w:val="000D62C9"/>
    <w:rsid w:val="000D635B"/>
    <w:rsid w:val="000D65D5"/>
    <w:rsid w:val="000D6D74"/>
    <w:rsid w:val="000D79E2"/>
    <w:rsid w:val="000E054F"/>
    <w:rsid w:val="000E0AA7"/>
    <w:rsid w:val="000E0B74"/>
    <w:rsid w:val="000E0FE4"/>
    <w:rsid w:val="000E1148"/>
    <w:rsid w:val="000E187F"/>
    <w:rsid w:val="000E19C7"/>
    <w:rsid w:val="000E19E5"/>
    <w:rsid w:val="000E1A5A"/>
    <w:rsid w:val="000E1A94"/>
    <w:rsid w:val="000E22DA"/>
    <w:rsid w:val="000E3373"/>
    <w:rsid w:val="000E3677"/>
    <w:rsid w:val="000E36E1"/>
    <w:rsid w:val="000E3753"/>
    <w:rsid w:val="000E3C26"/>
    <w:rsid w:val="000E43E8"/>
    <w:rsid w:val="000E4B69"/>
    <w:rsid w:val="000E582F"/>
    <w:rsid w:val="000E605B"/>
    <w:rsid w:val="000E704F"/>
    <w:rsid w:val="000E7691"/>
    <w:rsid w:val="000E7901"/>
    <w:rsid w:val="000F0268"/>
    <w:rsid w:val="000F0741"/>
    <w:rsid w:val="000F0BD3"/>
    <w:rsid w:val="000F10EB"/>
    <w:rsid w:val="000F11B9"/>
    <w:rsid w:val="000F1457"/>
    <w:rsid w:val="000F1C7F"/>
    <w:rsid w:val="000F1EBC"/>
    <w:rsid w:val="000F20CB"/>
    <w:rsid w:val="000F269C"/>
    <w:rsid w:val="000F323A"/>
    <w:rsid w:val="000F36DF"/>
    <w:rsid w:val="000F390F"/>
    <w:rsid w:val="000F3AD7"/>
    <w:rsid w:val="000F4349"/>
    <w:rsid w:val="000F4587"/>
    <w:rsid w:val="000F48D9"/>
    <w:rsid w:val="000F4A2E"/>
    <w:rsid w:val="000F5758"/>
    <w:rsid w:val="000F5ACF"/>
    <w:rsid w:val="000F5CA0"/>
    <w:rsid w:val="000F5DBB"/>
    <w:rsid w:val="000F6233"/>
    <w:rsid w:val="000F6955"/>
    <w:rsid w:val="00100A00"/>
    <w:rsid w:val="001025C6"/>
    <w:rsid w:val="0010261C"/>
    <w:rsid w:val="00102A8B"/>
    <w:rsid w:val="00102B06"/>
    <w:rsid w:val="00102BCE"/>
    <w:rsid w:val="00102E93"/>
    <w:rsid w:val="001037AD"/>
    <w:rsid w:val="00103F3C"/>
    <w:rsid w:val="00104523"/>
    <w:rsid w:val="00104759"/>
    <w:rsid w:val="00104855"/>
    <w:rsid w:val="00104AD6"/>
    <w:rsid w:val="00104B06"/>
    <w:rsid w:val="00104BBA"/>
    <w:rsid w:val="00104D31"/>
    <w:rsid w:val="00104DFC"/>
    <w:rsid w:val="00105343"/>
    <w:rsid w:val="0010664C"/>
    <w:rsid w:val="00106933"/>
    <w:rsid w:val="00106B7E"/>
    <w:rsid w:val="001073C2"/>
    <w:rsid w:val="001077B7"/>
    <w:rsid w:val="00107A84"/>
    <w:rsid w:val="00107B5C"/>
    <w:rsid w:val="00107D2C"/>
    <w:rsid w:val="001104AE"/>
    <w:rsid w:val="001117E4"/>
    <w:rsid w:val="001118CB"/>
    <w:rsid w:val="00111B0C"/>
    <w:rsid w:val="00111F54"/>
    <w:rsid w:val="00111FB9"/>
    <w:rsid w:val="00112259"/>
    <w:rsid w:val="00112877"/>
    <w:rsid w:val="00112B2E"/>
    <w:rsid w:val="00112B83"/>
    <w:rsid w:val="0011359D"/>
    <w:rsid w:val="001137A9"/>
    <w:rsid w:val="00113873"/>
    <w:rsid w:val="0011390F"/>
    <w:rsid w:val="0011403C"/>
    <w:rsid w:val="00114104"/>
    <w:rsid w:val="0011488F"/>
    <w:rsid w:val="00115898"/>
    <w:rsid w:val="00116343"/>
    <w:rsid w:val="001167D5"/>
    <w:rsid w:val="00116F50"/>
    <w:rsid w:val="00117048"/>
    <w:rsid w:val="0011761B"/>
    <w:rsid w:val="00117806"/>
    <w:rsid w:val="00117BAE"/>
    <w:rsid w:val="001203CA"/>
    <w:rsid w:val="00120662"/>
    <w:rsid w:val="00121211"/>
    <w:rsid w:val="001215CC"/>
    <w:rsid w:val="001217DD"/>
    <w:rsid w:val="00122DDD"/>
    <w:rsid w:val="001234DC"/>
    <w:rsid w:val="0012374E"/>
    <w:rsid w:val="00123EFD"/>
    <w:rsid w:val="001244C2"/>
    <w:rsid w:val="00124612"/>
    <w:rsid w:val="00124B7A"/>
    <w:rsid w:val="0012510E"/>
    <w:rsid w:val="001252A8"/>
    <w:rsid w:val="001253B6"/>
    <w:rsid w:val="001255B8"/>
    <w:rsid w:val="001255DC"/>
    <w:rsid w:val="00125AC8"/>
    <w:rsid w:val="00125BFC"/>
    <w:rsid w:val="0012639B"/>
    <w:rsid w:val="001264B0"/>
    <w:rsid w:val="0012698F"/>
    <w:rsid w:val="00126F3A"/>
    <w:rsid w:val="001274D9"/>
    <w:rsid w:val="00130CD8"/>
    <w:rsid w:val="0013121C"/>
    <w:rsid w:val="00131DC3"/>
    <w:rsid w:val="0013214E"/>
    <w:rsid w:val="00132CA5"/>
    <w:rsid w:val="001334D5"/>
    <w:rsid w:val="0013573D"/>
    <w:rsid w:val="00135E4C"/>
    <w:rsid w:val="00136882"/>
    <w:rsid w:val="00136BEF"/>
    <w:rsid w:val="00137139"/>
    <w:rsid w:val="001373F5"/>
    <w:rsid w:val="00140059"/>
    <w:rsid w:val="00140731"/>
    <w:rsid w:val="0014121F"/>
    <w:rsid w:val="0014170A"/>
    <w:rsid w:val="00141A03"/>
    <w:rsid w:val="001424A7"/>
    <w:rsid w:val="001429DD"/>
    <w:rsid w:val="00142AB9"/>
    <w:rsid w:val="00143831"/>
    <w:rsid w:val="00143E61"/>
    <w:rsid w:val="00143FB0"/>
    <w:rsid w:val="00144038"/>
    <w:rsid w:val="00144830"/>
    <w:rsid w:val="00144AC9"/>
    <w:rsid w:val="00144D42"/>
    <w:rsid w:val="00144FFA"/>
    <w:rsid w:val="00145215"/>
    <w:rsid w:val="0014544D"/>
    <w:rsid w:val="00145996"/>
    <w:rsid w:val="00145F81"/>
    <w:rsid w:val="00145FEF"/>
    <w:rsid w:val="0014696D"/>
    <w:rsid w:val="00150B80"/>
    <w:rsid w:val="00150B93"/>
    <w:rsid w:val="00150C05"/>
    <w:rsid w:val="00150F5C"/>
    <w:rsid w:val="00151D4D"/>
    <w:rsid w:val="001520FD"/>
    <w:rsid w:val="0015250E"/>
    <w:rsid w:val="001527C4"/>
    <w:rsid w:val="00152A3E"/>
    <w:rsid w:val="00152FBE"/>
    <w:rsid w:val="0015311F"/>
    <w:rsid w:val="0015314C"/>
    <w:rsid w:val="001536BB"/>
    <w:rsid w:val="00153E31"/>
    <w:rsid w:val="001544BA"/>
    <w:rsid w:val="00154C8C"/>
    <w:rsid w:val="001551EC"/>
    <w:rsid w:val="0015535E"/>
    <w:rsid w:val="001556B2"/>
    <w:rsid w:val="001558B4"/>
    <w:rsid w:val="00155D79"/>
    <w:rsid w:val="001568A8"/>
    <w:rsid w:val="001574C0"/>
    <w:rsid w:val="00157731"/>
    <w:rsid w:val="00157EBE"/>
    <w:rsid w:val="00160510"/>
    <w:rsid w:val="00160632"/>
    <w:rsid w:val="001606CF"/>
    <w:rsid w:val="001609D9"/>
    <w:rsid w:val="00160AAF"/>
    <w:rsid w:val="00161240"/>
    <w:rsid w:val="0016128D"/>
    <w:rsid w:val="00161F97"/>
    <w:rsid w:val="001626BE"/>
    <w:rsid w:val="0016295F"/>
    <w:rsid w:val="00163073"/>
    <w:rsid w:val="00163789"/>
    <w:rsid w:val="001644A7"/>
    <w:rsid w:val="00164599"/>
    <w:rsid w:val="001648D6"/>
    <w:rsid w:val="00164B7A"/>
    <w:rsid w:val="00164D6B"/>
    <w:rsid w:val="00164E19"/>
    <w:rsid w:val="00165369"/>
    <w:rsid w:val="0016627E"/>
    <w:rsid w:val="00166360"/>
    <w:rsid w:val="0016671D"/>
    <w:rsid w:val="00166793"/>
    <w:rsid w:val="0016683B"/>
    <w:rsid w:val="0016683C"/>
    <w:rsid w:val="00166B01"/>
    <w:rsid w:val="00166B6E"/>
    <w:rsid w:val="00166C15"/>
    <w:rsid w:val="0016755C"/>
    <w:rsid w:val="00167772"/>
    <w:rsid w:val="001677E5"/>
    <w:rsid w:val="00170208"/>
    <w:rsid w:val="00170410"/>
    <w:rsid w:val="001705F2"/>
    <w:rsid w:val="00170797"/>
    <w:rsid w:val="0017089D"/>
    <w:rsid w:val="00170DBE"/>
    <w:rsid w:val="00170E21"/>
    <w:rsid w:val="00171280"/>
    <w:rsid w:val="001713DF"/>
    <w:rsid w:val="001714A3"/>
    <w:rsid w:val="001714C4"/>
    <w:rsid w:val="00171A86"/>
    <w:rsid w:val="00171E83"/>
    <w:rsid w:val="00172611"/>
    <w:rsid w:val="00172707"/>
    <w:rsid w:val="00172B7B"/>
    <w:rsid w:val="00173747"/>
    <w:rsid w:val="00173B37"/>
    <w:rsid w:val="0017469D"/>
    <w:rsid w:val="001766E6"/>
    <w:rsid w:val="00176CD3"/>
    <w:rsid w:val="001771F1"/>
    <w:rsid w:val="00177517"/>
    <w:rsid w:val="0017793A"/>
    <w:rsid w:val="001805A8"/>
    <w:rsid w:val="001809A7"/>
    <w:rsid w:val="001817F5"/>
    <w:rsid w:val="00182D0F"/>
    <w:rsid w:val="00182F0D"/>
    <w:rsid w:val="0018312B"/>
    <w:rsid w:val="00183B34"/>
    <w:rsid w:val="00183C5F"/>
    <w:rsid w:val="00184520"/>
    <w:rsid w:val="00184F2F"/>
    <w:rsid w:val="0018582B"/>
    <w:rsid w:val="00185EF5"/>
    <w:rsid w:val="00186CEF"/>
    <w:rsid w:val="001873DE"/>
    <w:rsid w:val="00190710"/>
    <w:rsid w:val="001907CA"/>
    <w:rsid w:val="00190941"/>
    <w:rsid w:val="00190B9E"/>
    <w:rsid w:val="0019101A"/>
    <w:rsid w:val="00191566"/>
    <w:rsid w:val="00191A34"/>
    <w:rsid w:val="00191A61"/>
    <w:rsid w:val="00191B1F"/>
    <w:rsid w:val="00191D83"/>
    <w:rsid w:val="00191DF3"/>
    <w:rsid w:val="00191F17"/>
    <w:rsid w:val="001930A2"/>
    <w:rsid w:val="0019340E"/>
    <w:rsid w:val="00193DAF"/>
    <w:rsid w:val="00194996"/>
    <w:rsid w:val="00195536"/>
    <w:rsid w:val="00195671"/>
    <w:rsid w:val="0019573C"/>
    <w:rsid w:val="00195C8E"/>
    <w:rsid w:val="001969B6"/>
    <w:rsid w:val="001972D2"/>
    <w:rsid w:val="0019743F"/>
    <w:rsid w:val="00197964"/>
    <w:rsid w:val="00197E51"/>
    <w:rsid w:val="001A06F6"/>
    <w:rsid w:val="001A0B12"/>
    <w:rsid w:val="001A0CA1"/>
    <w:rsid w:val="001A1164"/>
    <w:rsid w:val="001A1361"/>
    <w:rsid w:val="001A1446"/>
    <w:rsid w:val="001A1B02"/>
    <w:rsid w:val="001A2256"/>
    <w:rsid w:val="001A24F9"/>
    <w:rsid w:val="001A2528"/>
    <w:rsid w:val="001A2994"/>
    <w:rsid w:val="001A2DF1"/>
    <w:rsid w:val="001A3646"/>
    <w:rsid w:val="001A41B2"/>
    <w:rsid w:val="001A4201"/>
    <w:rsid w:val="001A43C9"/>
    <w:rsid w:val="001A44E7"/>
    <w:rsid w:val="001A4D59"/>
    <w:rsid w:val="001A4D65"/>
    <w:rsid w:val="001A4EC5"/>
    <w:rsid w:val="001A4EEE"/>
    <w:rsid w:val="001A50E5"/>
    <w:rsid w:val="001A5AC9"/>
    <w:rsid w:val="001A6698"/>
    <w:rsid w:val="001A6772"/>
    <w:rsid w:val="001A6984"/>
    <w:rsid w:val="001A6B0F"/>
    <w:rsid w:val="001A7F83"/>
    <w:rsid w:val="001B06BF"/>
    <w:rsid w:val="001B0BCA"/>
    <w:rsid w:val="001B1124"/>
    <w:rsid w:val="001B14B8"/>
    <w:rsid w:val="001B175B"/>
    <w:rsid w:val="001B1B73"/>
    <w:rsid w:val="001B1C05"/>
    <w:rsid w:val="001B25ED"/>
    <w:rsid w:val="001B29A5"/>
    <w:rsid w:val="001B2E67"/>
    <w:rsid w:val="001B30AA"/>
    <w:rsid w:val="001B36A5"/>
    <w:rsid w:val="001B373D"/>
    <w:rsid w:val="001B47A5"/>
    <w:rsid w:val="001B5144"/>
    <w:rsid w:val="001B6103"/>
    <w:rsid w:val="001B6352"/>
    <w:rsid w:val="001B64A3"/>
    <w:rsid w:val="001B66AB"/>
    <w:rsid w:val="001B66F6"/>
    <w:rsid w:val="001B6971"/>
    <w:rsid w:val="001B7A5E"/>
    <w:rsid w:val="001B7D6D"/>
    <w:rsid w:val="001C01AF"/>
    <w:rsid w:val="001C05D2"/>
    <w:rsid w:val="001C0BF7"/>
    <w:rsid w:val="001C0BFE"/>
    <w:rsid w:val="001C1F9D"/>
    <w:rsid w:val="001C2E60"/>
    <w:rsid w:val="001C2EDE"/>
    <w:rsid w:val="001C354E"/>
    <w:rsid w:val="001C358D"/>
    <w:rsid w:val="001C390F"/>
    <w:rsid w:val="001C3D12"/>
    <w:rsid w:val="001C3E54"/>
    <w:rsid w:val="001C40A0"/>
    <w:rsid w:val="001C48BE"/>
    <w:rsid w:val="001C4F3E"/>
    <w:rsid w:val="001C4F41"/>
    <w:rsid w:val="001C573B"/>
    <w:rsid w:val="001C5C04"/>
    <w:rsid w:val="001C6813"/>
    <w:rsid w:val="001C6C27"/>
    <w:rsid w:val="001C6E3F"/>
    <w:rsid w:val="001C72E6"/>
    <w:rsid w:val="001C743E"/>
    <w:rsid w:val="001C7B5D"/>
    <w:rsid w:val="001C7D55"/>
    <w:rsid w:val="001D088C"/>
    <w:rsid w:val="001D0D70"/>
    <w:rsid w:val="001D16B0"/>
    <w:rsid w:val="001D21AD"/>
    <w:rsid w:val="001D2A40"/>
    <w:rsid w:val="001D2E54"/>
    <w:rsid w:val="001D3794"/>
    <w:rsid w:val="001D3CBD"/>
    <w:rsid w:val="001D4086"/>
    <w:rsid w:val="001D40BB"/>
    <w:rsid w:val="001D4A65"/>
    <w:rsid w:val="001D5112"/>
    <w:rsid w:val="001D57AB"/>
    <w:rsid w:val="001D5CC9"/>
    <w:rsid w:val="001D5F1E"/>
    <w:rsid w:val="001D636E"/>
    <w:rsid w:val="001D644F"/>
    <w:rsid w:val="001D654E"/>
    <w:rsid w:val="001D6588"/>
    <w:rsid w:val="001D6A0C"/>
    <w:rsid w:val="001D75B5"/>
    <w:rsid w:val="001D7957"/>
    <w:rsid w:val="001D7BBF"/>
    <w:rsid w:val="001E099F"/>
    <w:rsid w:val="001E121B"/>
    <w:rsid w:val="001E12E1"/>
    <w:rsid w:val="001E2304"/>
    <w:rsid w:val="001E27C3"/>
    <w:rsid w:val="001E2EC7"/>
    <w:rsid w:val="001E38E1"/>
    <w:rsid w:val="001E3A27"/>
    <w:rsid w:val="001E3A55"/>
    <w:rsid w:val="001E4741"/>
    <w:rsid w:val="001E48B9"/>
    <w:rsid w:val="001E5CB4"/>
    <w:rsid w:val="001E5CD2"/>
    <w:rsid w:val="001E5EE6"/>
    <w:rsid w:val="001E6229"/>
    <w:rsid w:val="001E65A5"/>
    <w:rsid w:val="001E65D0"/>
    <w:rsid w:val="001E71B1"/>
    <w:rsid w:val="001E781C"/>
    <w:rsid w:val="001F0DF0"/>
    <w:rsid w:val="001F1703"/>
    <w:rsid w:val="001F1925"/>
    <w:rsid w:val="001F1B27"/>
    <w:rsid w:val="001F25E9"/>
    <w:rsid w:val="001F3334"/>
    <w:rsid w:val="001F3690"/>
    <w:rsid w:val="001F3A49"/>
    <w:rsid w:val="001F3C09"/>
    <w:rsid w:val="001F3D58"/>
    <w:rsid w:val="001F4178"/>
    <w:rsid w:val="001F4767"/>
    <w:rsid w:val="001F4EC9"/>
    <w:rsid w:val="001F54CB"/>
    <w:rsid w:val="001F55F4"/>
    <w:rsid w:val="001F69B1"/>
    <w:rsid w:val="001F712C"/>
    <w:rsid w:val="001F71D7"/>
    <w:rsid w:val="001F72BC"/>
    <w:rsid w:val="001F764E"/>
    <w:rsid w:val="001F7A3C"/>
    <w:rsid w:val="001F7A75"/>
    <w:rsid w:val="0020028F"/>
    <w:rsid w:val="002003D9"/>
    <w:rsid w:val="002012D4"/>
    <w:rsid w:val="00202105"/>
    <w:rsid w:val="0020232C"/>
    <w:rsid w:val="002023BF"/>
    <w:rsid w:val="00202BAF"/>
    <w:rsid w:val="0020425A"/>
    <w:rsid w:val="00204524"/>
    <w:rsid w:val="00204804"/>
    <w:rsid w:val="00204E69"/>
    <w:rsid w:val="002054A8"/>
    <w:rsid w:val="0020559D"/>
    <w:rsid w:val="0020577C"/>
    <w:rsid w:val="00206632"/>
    <w:rsid w:val="0020695F"/>
    <w:rsid w:val="00206AAE"/>
    <w:rsid w:val="00206C67"/>
    <w:rsid w:val="00206F8D"/>
    <w:rsid w:val="00206F8E"/>
    <w:rsid w:val="00207CB7"/>
    <w:rsid w:val="002100C1"/>
    <w:rsid w:val="002101AA"/>
    <w:rsid w:val="002114A2"/>
    <w:rsid w:val="002116F9"/>
    <w:rsid w:val="00211E11"/>
    <w:rsid w:val="002126A7"/>
    <w:rsid w:val="00212AEF"/>
    <w:rsid w:val="00212CB0"/>
    <w:rsid w:val="00213C19"/>
    <w:rsid w:val="00213CE0"/>
    <w:rsid w:val="00213E75"/>
    <w:rsid w:val="00215797"/>
    <w:rsid w:val="00216077"/>
    <w:rsid w:val="002162C6"/>
    <w:rsid w:val="002165E5"/>
    <w:rsid w:val="00216839"/>
    <w:rsid w:val="0021716A"/>
    <w:rsid w:val="00220646"/>
    <w:rsid w:val="00220AAB"/>
    <w:rsid w:val="00220B09"/>
    <w:rsid w:val="00221BB6"/>
    <w:rsid w:val="00221EC0"/>
    <w:rsid w:val="00222CED"/>
    <w:rsid w:val="002236A9"/>
    <w:rsid w:val="00223E83"/>
    <w:rsid w:val="00223E9D"/>
    <w:rsid w:val="00223F87"/>
    <w:rsid w:val="00224298"/>
    <w:rsid w:val="00224547"/>
    <w:rsid w:val="002245FF"/>
    <w:rsid w:val="00224AAA"/>
    <w:rsid w:val="002252AD"/>
    <w:rsid w:val="00225740"/>
    <w:rsid w:val="00225905"/>
    <w:rsid w:val="0022595B"/>
    <w:rsid w:val="00227167"/>
    <w:rsid w:val="00227F38"/>
    <w:rsid w:val="00230287"/>
    <w:rsid w:val="0023041B"/>
    <w:rsid w:val="00230792"/>
    <w:rsid w:val="00230B91"/>
    <w:rsid w:val="00230D8E"/>
    <w:rsid w:val="00230E91"/>
    <w:rsid w:val="00231049"/>
    <w:rsid w:val="002313E5"/>
    <w:rsid w:val="002314D2"/>
    <w:rsid w:val="002317D4"/>
    <w:rsid w:val="00231EDE"/>
    <w:rsid w:val="00231F5E"/>
    <w:rsid w:val="00232621"/>
    <w:rsid w:val="00232A6F"/>
    <w:rsid w:val="00232CF9"/>
    <w:rsid w:val="0023305C"/>
    <w:rsid w:val="00233802"/>
    <w:rsid w:val="0023394B"/>
    <w:rsid w:val="00235494"/>
    <w:rsid w:val="00235560"/>
    <w:rsid w:val="00235661"/>
    <w:rsid w:val="0023594F"/>
    <w:rsid w:val="0023610D"/>
    <w:rsid w:val="002361C8"/>
    <w:rsid w:val="0023663B"/>
    <w:rsid w:val="00236994"/>
    <w:rsid w:val="00236B92"/>
    <w:rsid w:val="0023720F"/>
    <w:rsid w:val="002373B9"/>
    <w:rsid w:val="00237945"/>
    <w:rsid w:val="00237A97"/>
    <w:rsid w:val="002401D1"/>
    <w:rsid w:val="00240738"/>
    <w:rsid w:val="00240E31"/>
    <w:rsid w:val="0024123D"/>
    <w:rsid w:val="00241532"/>
    <w:rsid w:val="00241881"/>
    <w:rsid w:val="00241B70"/>
    <w:rsid w:val="00241C62"/>
    <w:rsid w:val="00242707"/>
    <w:rsid w:val="0024276D"/>
    <w:rsid w:val="0024291C"/>
    <w:rsid w:val="0024294C"/>
    <w:rsid w:val="00242DC5"/>
    <w:rsid w:val="00242E1D"/>
    <w:rsid w:val="00242E97"/>
    <w:rsid w:val="00242EF0"/>
    <w:rsid w:val="002430A0"/>
    <w:rsid w:val="0024323C"/>
    <w:rsid w:val="0024325E"/>
    <w:rsid w:val="0024357F"/>
    <w:rsid w:val="00243DC3"/>
    <w:rsid w:val="00243F71"/>
    <w:rsid w:val="002440B5"/>
    <w:rsid w:val="00244C48"/>
    <w:rsid w:val="00244DC0"/>
    <w:rsid w:val="002450C6"/>
    <w:rsid w:val="00245342"/>
    <w:rsid w:val="002456A0"/>
    <w:rsid w:val="00245908"/>
    <w:rsid w:val="00245A88"/>
    <w:rsid w:val="00246073"/>
    <w:rsid w:val="002461BA"/>
    <w:rsid w:val="00246248"/>
    <w:rsid w:val="002465F9"/>
    <w:rsid w:val="002469E7"/>
    <w:rsid w:val="00246EF7"/>
    <w:rsid w:val="00246EFD"/>
    <w:rsid w:val="00247263"/>
    <w:rsid w:val="0024730C"/>
    <w:rsid w:val="0024739C"/>
    <w:rsid w:val="00247559"/>
    <w:rsid w:val="00247AB5"/>
    <w:rsid w:val="00250252"/>
    <w:rsid w:val="00250387"/>
    <w:rsid w:val="00250400"/>
    <w:rsid w:val="002505CF"/>
    <w:rsid w:val="00250C58"/>
    <w:rsid w:val="00250D3C"/>
    <w:rsid w:val="00251293"/>
    <w:rsid w:val="002513D7"/>
    <w:rsid w:val="00251AC8"/>
    <w:rsid w:val="00252487"/>
    <w:rsid w:val="00252A01"/>
    <w:rsid w:val="00252DC0"/>
    <w:rsid w:val="002530AC"/>
    <w:rsid w:val="002530B8"/>
    <w:rsid w:val="00253D00"/>
    <w:rsid w:val="00254237"/>
    <w:rsid w:val="002543D8"/>
    <w:rsid w:val="002546B8"/>
    <w:rsid w:val="002548A6"/>
    <w:rsid w:val="002559AD"/>
    <w:rsid w:val="00256138"/>
    <w:rsid w:val="0025623B"/>
    <w:rsid w:val="00256279"/>
    <w:rsid w:val="00256497"/>
    <w:rsid w:val="0025652F"/>
    <w:rsid w:val="002566D4"/>
    <w:rsid w:val="00256C67"/>
    <w:rsid w:val="00256E73"/>
    <w:rsid w:val="00256EE6"/>
    <w:rsid w:val="00257744"/>
    <w:rsid w:val="002578B8"/>
    <w:rsid w:val="00257F44"/>
    <w:rsid w:val="00257FDB"/>
    <w:rsid w:val="00260270"/>
    <w:rsid w:val="0026063E"/>
    <w:rsid w:val="00260A5A"/>
    <w:rsid w:val="00260CF3"/>
    <w:rsid w:val="00260DE1"/>
    <w:rsid w:val="002611E6"/>
    <w:rsid w:val="002614CF"/>
    <w:rsid w:val="0026173F"/>
    <w:rsid w:val="0026180B"/>
    <w:rsid w:val="00261ADE"/>
    <w:rsid w:val="00261C7B"/>
    <w:rsid w:val="00262270"/>
    <w:rsid w:val="002625F5"/>
    <w:rsid w:val="002626FC"/>
    <w:rsid w:val="002637CC"/>
    <w:rsid w:val="00263AA2"/>
    <w:rsid w:val="00263B6C"/>
    <w:rsid w:val="00263CF1"/>
    <w:rsid w:val="0026456E"/>
    <w:rsid w:val="0026459D"/>
    <w:rsid w:val="00264839"/>
    <w:rsid w:val="00264C64"/>
    <w:rsid w:val="00264E50"/>
    <w:rsid w:val="00264F51"/>
    <w:rsid w:val="0026523E"/>
    <w:rsid w:val="002660A7"/>
    <w:rsid w:val="002664EC"/>
    <w:rsid w:val="00266632"/>
    <w:rsid w:val="002669C4"/>
    <w:rsid w:val="00266AF7"/>
    <w:rsid w:val="00267701"/>
    <w:rsid w:val="00267870"/>
    <w:rsid w:val="00267BB3"/>
    <w:rsid w:val="00267CF5"/>
    <w:rsid w:val="00267D83"/>
    <w:rsid w:val="0027004D"/>
    <w:rsid w:val="0027042D"/>
    <w:rsid w:val="00270924"/>
    <w:rsid w:val="00270948"/>
    <w:rsid w:val="00270EE8"/>
    <w:rsid w:val="002712F7"/>
    <w:rsid w:val="002714AE"/>
    <w:rsid w:val="00271648"/>
    <w:rsid w:val="002718CD"/>
    <w:rsid w:val="002724D8"/>
    <w:rsid w:val="00272939"/>
    <w:rsid w:val="00272BDD"/>
    <w:rsid w:val="00272FEB"/>
    <w:rsid w:val="0027316E"/>
    <w:rsid w:val="0027338D"/>
    <w:rsid w:val="002733D7"/>
    <w:rsid w:val="002737D5"/>
    <w:rsid w:val="0027411B"/>
    <w:rsid w:val="00274738"/>
    <w:rsid w:val="002748B4"/>
    <w:rsid w:val="00275387"/>
    <w:rsid w:val="0027570B"/>
    <w:rsid w:val="002758B4"/>
    <w:rsid w:val="0027590B"/>
    <w:rsid w:val="00275C0F"/>
    <w:rsid w:val="00276117"/>
    <w:rsid w:val="00276206"/>
    <w:rsid w:val="00276CC2"/>
    <w:rsid w:val="00277DD0"/>
    <w:rsid w:val="00277E1F"/>
    <w:rsid w:val="00277FBC"/>
    <w:rsid w:val="0028074B"/>
    <w:rsid w:val="002809FC"/>
    <w:rsid w:val="00280B83"/>
    <w:rsid w:val="00280BE0"/>
    <w:rsid w:val="00280E24"/>
    <w:rsid w:val="00280F63"/>
    <w:rsid w:val="0028116C"/>
    <w:rsid w:val="0028117E"/>
    <w:rsid w:val="002811ED"/>
    <w:rsid w:val="00281525"/>
    <w:rsid w:val="00281A2B"/>
    <w:rsid w:val="0028253B"/>
    <w:rsid w:val="00282767"/>
    <w:rsid w:val="002833F3"/>
    <w:rsid w:val="00283B28"/>
    <w:rsid w:val="002843B2"/>
    <w:rsid w:val="002849D6"/>
    <w:rsid w:val="002852F8"/>
    <w:rsid w:val="002855ED"/>
    <w:rsid w:val="00285969"/>
    <w:rsid w:val="00285C33"/>
    <w:rsid w:val="00285C8E"/>
    <w:rsid w:val="0028600C"/>
    <w:rsid w:val="00286FBE"/>
    <w:rsid w:val="00286FD4"/>
    <w:rsid w:val="00287CE0"/>
    <w:rsid w:val="00290512"/>
    <w:rsid w:val="002905AD"/>
    <w:rsid w:val="00290AA4"/>
    <w:rsid w:val="00290E4F"/>
    <w:rsid w:val="002910EF"/>
    <w:rsid w:val="0029127B"/>
    <w:rsid w:val="00291980"/>
    <w:rsid w:val="00292009"/>
    <w:rsid w:val="0029250C"/>
    <w:rsid w:val="0029258E"/>
    <w:rsid w:val="00293033"/>
    <w:rsid w:val="0029304C"/>
    <w:rsid w:val="00293588"/>
    <w:rsid w:val="002936E5"/>
    <w:rsid w:val="0029451E"/>
    <w:rsid w:val="00294B40"/>
    <w:rsid w:val="00294EA7"/>
    <w:rsid w:val="00294FEF"/>
    <w:rsid w:val="00295028"/>
    <w:rsid w:val="002957B3"/>
    <w:rsid w:val="00295B30"/>
    <w:rsid w:val="00295B35"/>
    <w:rsid w:val="00295EC1"/>
    <w:rsid w:val="00296258"/>
    <w:rsid w:val="00296A23"/>
    <w:rsid w:val="00296C94"/>
    <w:rsid w:val="002972E5"/>
    <w:rsid w:val="002A00CA"/>
    <w:rsid w:val="002A078A"/>
    <w:rsid w:val="002A0CA7"/>
    <w:rsid w:val="002A0E52"/>
    <w:rsid w:val="002A1525"/>
    <w:rsid w:val="002A1637"/>
    <w:rsid w:val="002A1CB3"/>
    <w:rsid w:val="002A200D"/>
    <w:rsid w:val="002A22DC"/>
    <w:rsid w:val="002A231F"/>
    <w:rsid w:val="002A2A12"/>
    <w:rsid w:val="002A3518"/>
    <w:rsid w:val="002A3939"/>
    <w:rsid w:val="002A3C2F"/>
    <w:rsid w:val="002A3EE6"/>
    <w:rsid w:val="002A4573"/>
    <w:rsid w:val="002A4CAF"/>
    <w:rsid w:val="002A5F04"/>
    <w:rsid w:val="002A60D7"/>
    <w:rsid w:val="002A6970"/>
    <w:rsid w:val="002A70DA"/>
    <w:rsid w:val="002A7203"/>
    <w:rsid w:val="002A74A3"/>
    <w:rsid w:val="002A74EF"/>
    <w:rsid w:val="002A786D"/>
    <w:rsid w:val="002A7A31"/>
    <w:rsid w:val="002A7A46"/>
    <w:rsid w:val="002A7E63"/>
    <w:rsid w:val="002B0051"/>
    <w:rsid w:val="002B0223"/>
    <w:rsid w:val="002B05C2"/>
    <w:rsid w:val="002B06BD"/>
    <w:rsid w:val="002B0D6A"/>
    <w:rsid w:val="002B0E18"/>
    <w:rsid w:val="002B166C"/>
    <w:rsid w:val="002B2BAD"/>
    <w:rsid w:val="002B31D6"/>
    <w:rsid w:val="002B3577"/>
    <w:rsid w:val="002B3798"/>
    <w:rsid w:val="002B3829"/>
    <w:rsid w:val="002B3B3A"/>
    <w:rsid w:val="002B3D41"/>
    <w:rsid w:val="002B408E"/>
    <w:rsid w:val="002B4346"/>
    <w:rsid w:val="002B4347"/>
    <w:rsid w:val="002B4680"/>
    <w:rsid w:val="002B48DE"/>
    <w:rsid w:val="002B5027"/>
    <w:rsid w:val="002B5AC2"/>
    <w:rsid w:val="002B5BE6"/>
    <w:rsid w:val="002B7693"/>
    <w:rsid w:val="002B7946"/>
    <w:rsid w:val="002B7FF8"/>
    <w:rsid w:val="002C0413"/>
    <w:rsid w:val="002C1669"/>
    <w:rsid w:val="002C22EF"/>
    <w:rsid w:val="002C23CB"/>
    <w:rsid w:val="002C35DA"/>
    <w:rsid w:val="002C3793"/>
    <w:rsid w:val="002C3A61"/>
    <w:rsid w:val="002C3B82"/>
    <w:rsid w:val="002C3BD3"/>
    <w:rsid w:val="002C4119"/>
    <w:rsid w:val="002C4AF1"/>
    <w:rsid w:val="002C56DD"/>
    <w:rsid w:val="002C5863"/>
    <w:rsid w:val="002C5988"/>
    <w:rsid w:val="002C6B24"/>
    <w:rsid w:val="002C6D51"/>
    <w:rsid w:val="002C756D"/>
    <w:rsid w:val="002C79F3"/>
    <w:rsid w:val="002D16E7"/>
    <w:rsid w:val="002D17C0"/>
    <w:rsid w:val="002D187B"/>
    <w:rsid w:val="002D19C5"/>
    <w:rsid w:val="002D2446"/>
    <w:rsid w:val="002D292D"/>
    <w:rsid w:val="002D35B9"/>
    <w:rsid w:val="002D47D4"/>
    <w:rsid w:val="002D4FC2"/>
    <w:rsid w:val="002D52F8"/>
    <w:rsid w:val="002D58CC"/>
    <w:rsid w:val="002D5D6D"/>
    <w:rsid w:val="002D6563"/>
    <w:rsid w:val="002D699B"/>
    <w:rsid w:val="002D69A9"/>
    <w:rsid w:val="002D7354"/>
    <w:rsid w:val="002E18C4"/>
    <w:rsid w:val="002E1B70"/>
    <w:rsid w:val="002E1CE9"/>
    <w:rsid w:val="002E1FB6"/>
    <w:rsid w:val="002E20FC"/>
    <w:rsid w:val="002E2685"/>
    <w:rsid w:val="002E3917"/>
    <w:rsid w:val="002E405F"/>
    <w:rsid w:val="002E40DF"/>
    <w:rsid w:val="002E4100"/>
    <w:rsid w:val="002E454C"/>
    <w:rsid w:val="002E4875"/>
    <w:rsid w:val="002E4C2C"/>
    <w:rsid w:val="002E4DEB"/>
    <w:rsid w:val="002E4F56"/>
    <w:rsid w:val="002E605C"/>
    <w:rsid w:val="002E6B9F"/>
    <w:rsid w:val="002E6C52"/>
    <w:rsid w:val="002E6D00"/>
    <w:rsid w:val="002E74FF"/>
    <w:rsid w:val="002E75A5"/>
    <w:rsid w:val="002E7A5A"/>
    <w:rsid w:val="002E7E37"/>
    <w:rsid w:val="002F0C38"/>
    <w:rsid w:val="002F1170"/>
    <w:rsid w:val="002F1221"/>
    <w:rsid w:val="002F1B1C"/>
    <w:rsid w:val="002F1DED"/>
    <w:rsid w:val="002F22D1"/>
    <w:rsid w:val="002F2767"/>
    <w:rsid w:val="002F2B66"/>
    <w:rsid w:val="002F2D74"/>
    <w:rsid w:val="002F2DB4"/>
    <w:rsid w:val="002F2F5B"/>
    <w:rsid w:val="002F342C"/>
    <w:rsid w:val="002F3692"/>
    <w:rsid w:val="002F379E"/>
    <w:rsid w:val="002F37A7"/>
    <w:rsid w:val="002F38FE"/>
    <w:rsid w:val="002F3BD5"/>
    <w:rsid w:val="002F3D47"/>
    <w:rsid w:val="002F471D"/>
    <w:rsid w:val="002F49A1"/>
    <w:rsid w:val="002F4BB1"/>
    <w:rsid w:val="002F4E88"/>
    <w:rsid w:val="002F503C"/>
    <w:rsid w:val="002F505F"/>
    <w:rsid w:val="002F55C5"/>
    <w:rsid w:val="002F5A38"/>
    <w:rsid w:val="002F5DD8"/>
    <w:rsid w:val="002F617F"/>
    <w:rsid w:val="002F61B5"/>
    <w:rsid w:val="002F62ED"/>
    <w:rsid w:val="002F6609"/>
    <w:rsid w:val="002F6885"/>
    <w:rsid w:val="002F6A54"/>
    <w:rsid w:val="002F709D"/>
    <w:rsid w:val="002F75CC"/>
    <w:rsid w:val="002F7686"/>
    <w:rsid w:val="002F77F7"/>
    <w:rsid w:val="002F7833"/>
    <w:rsid w:val="002F7CF0"/>
    <w:rsid w:val="00300109"/>
    <w:rsid w:val="00300458"/>
    <w:rsid w:val="00300613"/>
    <w:rsid w:val="00300930"/>
    <w:rsid w:val="00300F89"/>
    <w:rsid w:val="00301755"/>
    <w:rsid w:val="0030190E"/>
    <w:rsid w:val="003019E4"/>
    <w:rsid w:val="00301D86"/>
    <w:rsid w:val="00301E35"/>
    <w:rsid w:val="00301FC6"/>
    <w:rsid w:val="003020EE"/>
    <w:rsid w:val="0030229C"/>
    <w:rsid w:val="00302C9E"/>
    <w:rsid w:val="00303A59"/>
    <w:rsid w:val="00303A6E"/>
    <w:rsid w:val="00303A95"/>
    <w:rsid w:val="00303CD0"/>
    <w:rsid w:val="00305B0B"/>
    <w:rsid w:val="00305D49"/>
    <w:rsid w:val="00305F5B"/>
    <w:rsid w:val="0030665E"/>
    <w:rsid w:val="00306766"/>
    <w:rsid w:val="00306894"/>
    <w:rsid w:val="00306BED"/>
    <w:rsid w:val="00310331"/>
    <w:rsid w:val="003105E2"/>
    <w:rsid w:val="0031076C"/>
    <w:rsid w:val="0031083B"/>
    <w:rsid w:val="00310BA0"/>
    <w:rsid w:val="00310E65"/>
    <w:rsid w:val="00311491"/>
    <w:rsid w:val="003114BD"/>
    <w:rsid w:val="00311658"/>
    <w:rsid w:val="0031174D"/>
    <w:rsid w:val="00311775"/>
    <w:rsid w:val="00311ADF"/>
    <w:rsid w:val="003122F4"/>
    <w:rsid w:val="00312860"/>
    <w:rsid w:val="00313643"/>
    <w:rsid w:val="003140F5"/>
    <w:rsid w:val="0031445D"/>
    <w:rsid w:val="00314549"/>
    <w:rsid w:val="003150BA"/>
    <w:rsid w:val="0031539E"/>
    <w:rsid w:val="00315CA8"/>
    <w:rsid w:val="00315E64"/>
    <w:rsid w:val="003160C9"/>
    <w:rsid w:val="0031640E"/>
    <w:rsid w:val="00317704"/>
    <w:rsid w:val="003206EB"/>
    <w:rsid w:val="00320731"/>
    <w:rsid w:val="003208EF"/>
    <w:rsid w:val="00322037"/>
    <w:rsid w:val="003224CE"/>
    <w:rsid w:val="00322534"/>
    <w:rsid w:val="003225C7"/>
    <w:rsid w:val="00322981"/>
    <w:rsid w:val="00322D5A"/>
    <w:rsid w:val="003244EE"/>
    <w:rsid w:val="00324D7F"/>
    <w:rsid w:val="003250C9"/>
    <w:rsid w:val="00325B0A"/>
    <w:rsid w:val="00326447"/>
    <w:rsid w:val="003265E0"/>
    <w:rsid w:val="003268D5"/>
    <w:rsid w:val="00326C4C"/>
    <w:rsid w:val="003274D3"/>
    <w:rsid w:val="003276B7"/>
    <w:rsid w:val="00330E83"/>
    <w:rsid w:val="00330F4B"/>
    <w:rsid w:val="003319B9"/>
    <w:rsid w:val="00331C0D"/>
    <w:rsid w:val="00331C16"/>
    <w:rsid w:val="00332628"/>
    <w:rsid w:val="00332638"/>
    <w:rsid w:val="003331D5"/>
    <w:rsid w:val="003332C7"/>
    <w:rsid w:val="0033463A"/>
    <w:rsid w:val="00334AAA"/>
    <w:rsid w:val="00334B18"/>
    <w:rsid w:val="00334FCD"/>
    <w:rsid w:val="00334FF8"/>
    <w:rsid w:val="00335137"/>
    <w:rsid w:val="0033527E"/>
    <w:rsid w:val="00335715"/>
    <w:rsid w:val="003360CF"/>
    <w:rsid w:val="00336426"/>
    <w:rsid w:val="0033755F"/>
    <w:rsid w:val="0033778D"/>
    <w:rsid w:val="003409A7"/>
    <w:rsid w:val="00340C2E"/>
    <w:rsid w:val="00341450"/>
    <w:rsid w:val="003417F7"/>
    <w:rsid w:val="00341906"/>
    <w:rsid w:val="0034212E"/>
    <w:rsid w:val="00342430"/>
    <w:rsid w:val="00342A73"/>
    <w:rsid w:val="00342AF4"/>
    <w:rsid w:val="00342B2D"/>
    <w:rsid w:val="00342DAE"/>
    <w:rsid w:val="00342DF8"/>
    <w:rsid w:val="00342F4C"/>
    <w:rsid w:val="00343BB0"/>
    <w:rsid w:val="00343BF3"/>
    <w:rsid w:val="0034421F"/>
    <w:rsid w:val="00344268"/>
    <w:rsid w:val="00344603"/>
    <w:rsid w:val="0034468D"/>
    <w:rsid w:val="003448F6"/>
    <w:rsid w:val="0034499C"/>
    <w:rsid w:val="0034520E"/>
    <w:rsid w:val="00345396"/>
    <w:rsid w:val="003458D8"/>
    <w:rsid w:val="00346CB6"/>
    <w:rsid w:val="00346CEF"/>
    <w:rsid w:val="003477D3"/>
    <w:rsid w:val="003478FF"/>
    <w:rsid w:val="00347AFB"/>
    <w:rsid w:val="00347D89"/>
    <w:rsid w:val="00350481"/>
    <w:rsid w:val="00350759"/>
    <w:rsid w:val="00350877"/>
    <w:rsid w:val="00350F78"/>
    <w:rsid w:val="0035101B"/>
    <w:rsid w:val="003512DA"/>
    <w:rsid w:val="003518FD"/>
    <w:rsid w:val="00351E61"/>
    <w:rsid w:val="003521F1"/>
    <w:rsid w:val="003523F0"/>
    <w:rsid w:val="00352671"/>
    <w:rsid w:val="003528C4"/>
    <w:rsid w:val="0035291F"/>
    <w:rsid w:val="00352ED6"/>
    <w:rsid w:val="003531E5"/>
    <w:rsid w:val="00353BBA"/>
    <w:rsid w:val="0035413B"/>
    <w:rsid w:val="003547BA"/>
    <w:rsid w:val="00354B91"/>
    <w:rsid w:val="00354D27"/>
    <w:rsid w:val="003551CB"/>
    <w:rsid w:val="0035553A"/>
    <w:rsid w:val="00355AA5"/>
    <w:rsid w:val="00355AC5"/>
    <w:rsid w:val="00355EA2"/>
    <w:rsid w:val="00356382"/>
    <w:rsid w:val="003563F7"/>
    <w:rsid w:val="00356641"/>
    <w:rsid w:val="003567C2"/>
    <w:rsid w:val="00356B8B"/>
    <w:rsid w:val="00356FE8"/>
    <w:rsid w:val="00357383"/>
    <w:rsid w:val="0035738A"/>
    <w:rsid w:val="00357EB8"/>
    <w:rsid w:val="003606F5"/>
    <w:rsid w:val="0036074A"/>
    <w:rsid w:val="00360A39"/>
    <w:rsid w:val="00360F16"/>
    <w:rsid w:val="00361F3F"/>
    <w:rsid w:val="00361F73"/>
    <w:rsid w:val="003628C0"/>
    <w:rsid w:val="00362E72"/>
    <w:rsid w:val="003632B4"/>
    <w:rsid w:val="00363746"/>
    <w:rsid w:val="0036374A"/>
    <w:rsid w:val="00363B22"/>
    <w:rsid w:val="00363D43"/>
    <w:rsid w:val="003641D4"/>
    <w:rsid w:val="003646DA"/>
    <w:rsid w:val="003648C6"/>
    <w:rsid w:val="00364FAE"/>
    <w:rsid w:val="0036562B"/>
    <w:rsid w:val="0036563C"/>
    <w:rsid w:val="00365BFF"/>
    <w:rsid w:val="003664B0"/>
    <w:rsid w:val="00366762"/>
    <w:rsid w:val="003667B4"/>
    <w:rsid w:val="0036710E"/>
    <w:rsid w:val="0036728F"/>
    <w:rsid w:val="00367F7E"/>
    <w:rsid w:val="0037121F"/>
    <w:rsid w:val="0037145E"/>
    <w:rsid w:val="0037146A"/>
    <w:rsid w:val="0037163A"/>
    <w:rsid w:val="003721B3"/>
    <w:rsid w:val="00372B05"/>
    <w:rsid w:val="00372BF1"/>
    <w:rsid w:val="00372D93"/>
    <w:rsid w:val="003733E3"/>
    <w:rsid w:val="003735F7"/>
    <w:rsid w:val="00373BF8"/>
    <w:rsid w:val="00374191"/>
    <w:rsid w:val="0037428A"/>
    <w:rsid w:val="0037467B"/>
    <w:rsid w:val="00374BAE"/>
    <w:rsid w:val="00374F9B"/>
    <w:rsid w:val="00375655"/>
    <w:rsid w:val="0037696E"/>
    <w:rsid w:val="00376AF3"/>
    <w:rsid w:val="00376CCE"/>
    <w:rsid w:val="0037722C"/>
    <w:rsid w:val="00377507"/>
    <w:rsid w:val="00377661"/>
    <w:rsid w:val="00377E60"/>
    <w:rsid w:val="00377F60"/>
    <w:rsid w:val="00380184"/>
    <w:rsid w:val="00380602"/>
    <w:rsid w:val="00380850"/>
    <w:rsid w:val="003813EF"/>
    <w:rsid w:val="00381A97"/>
    <w:rsid w:val="00381E01"/>
    <w:rsid w:val="0038259E"/>
    <w:rsid w:val="003826AA"/>
    <w:rsid w:val="003829A7"/>
    <w:rsid w:val="00383219"/>
    <w:rsid w:val="0038362E"/>
    <w:rsid w:val="00383BA1"/>
    <w:rsid w:val="00383BCE"/>
    <w:rsid w:val="00383D67"/>
    <w:rsid w:val="0038489B"/>
    <w:rsid w:val="0038527E"/>
    <w:rsid w:val="003858A6"/>
    <w:rsid w:val="00386220"/>
    <w:rsid w:val="00386283"/>
    <w:rsid w:val="00386297"/>
    <w:rsid w:val="00386356"/>
    <w:rsid w:val="0038644C"/>
    <w:rsid w:val="00386A45"/>
    <w:rsid w:val="00386AAA"/>
    <w:rsid w:val="00386D28"/>
    <w:rsid w:val="003875D9"/>
    <w:rsid w:val="0038767C"/>
    <w:rsid w:val="00390065"/>
    <w:rsid w:val="003911ED"/>
    <w:rsid w:val="0039179C"/>
    <w:rsid w:val="00391A42"/>
    <w:rsid w:val="00392066"/>
    <w:rsid w:val="003927BA"/>
    <w:rsid w:val="00392DCC"/>
    <w:rsid w:val="00392F6D"/>
    <w:rsid w:val="003930D6"/>
    <w:rsid w:val="00393E67"/>
    <w:rsid w:val="003940A6"/>
    <w:rsid w:val="00394FA3"/>
    <w:rsid w:val="00395F42"/>
    <w:rsid w:val="00396BBE"/>
    <w:rsid w:val="00396C48"/>
    <w:rsid w:val="00396F2F"/>
    <w:rsid w:val="003970F1"/>
    <w:rsid w:val="00397AB3"/>
    <w:rsid w:val="00397BB5"/>
    <w:rsid w:val="003A066A"/>
    <w:rsid w:val="003A0B3F"/>
    <w:rsid w:val="003A0E01"/>
    <w:rsid w:val="003A0E25"/>
    <w:rsid w:val="003A0FE8"/>
    <w:rsid w:val="003A1343"/>
    <w:rsid w:val="003A169C"/>
    <w:rsid w:val="003A177B"/>
    <w:rsid w:val="003A1DC2"/>
    <w:rsid w:val="003A2834"/>
    <w:rsid w:val="003A2D49"/>
    <w:rsid w:val="003A2DC3"/>
    <w:rsid w:val="003A2F09"/>
    <w:rsid w:val="003A33F2"/>
    <w:rsid w:val="003A359B"/>
    <w:rsid w:val="003A35DA"/>
    <w:rsid w:val="003A3CB3"/>
    <w:rsid w:val="003A4721"/>
    <w:rsid w:val="003A4938"/>
    <w:rsid w:val="003A4BB2"/>
    <w:rsid w:val="003A4F3E"/>
    <w:rsid w:val="003A4FC1"/>
    <w:rsid w:val="003A5B03"/>
    <w:rsid w:val="003A5B36"/>
    <w:rsid w:val="003A5D4C"/>
    <w:rsid w:val="003A5E3D"/>
    <w:rsid w:val="003A68F2"/>
    <w:rsid w:val="003A6F24"/>
    <w:rsid w:val="003A7078"/>
    <w:rsid w:val="003B0205"/>
    <w:rsid w:val="003B0708"/>
    <w:rsid w:val="003B1729"/>
    <w:rsid w:val="003B1733"/>
    <w:rsid w:val="003B278B"/>
    <w:rsid w:val="003B2B14"/>
    <w:rsid w:val="003B2C6F"/>
    <w:rsid w:val="003B30A8"/>
    <w:rsid w:val="003B33D0"/>
    <w:rsid w:val="003B44E2"/>
    <w:rsid w:val="003B46B7"/>
    <w:rsid w:val="003B50ED"/>
    <w:rsid w:val="003B5379"/>
    <w:rsid w:val="003B5824"/>
    <w:rsid w:val="003B582E"/>
    <w:rsid w:val="003B5E19"/>
    <w:rsid w:val="003B600D"/>
    <w:rsid w:val="003B6554"/>
    <w:rsid w:val="003B6783"/>
    <w:rsid w:val="003B6817"/>
    <w:rsid w:val="003B6B35"/>
    <w:rsid w:val="003B6BA0"/>
    <w:rsid w:val="003B72E3"/>
    <w:rsid w:val="003B73AF"/>
    <w:rsid w:val="003B7462"/>
    <w:rsid w:val="003B7744"/>
    <w:rsid w:val="003B7F6B"/>
    <w:rsid w:val="003B7FB5"/>
    <w:rsid w:val="003C0356"/>
    <w:rsid w:val="003C03EF"/>
    <w:rsid w:val="003C085C"/>
    <w:rsid w:val="003C0861"/>
    <w:rsid w:val="003C08C9"/>
    <w:rsid w:val="003C0F5E"/>
    <w:rsid w:val="003C0F95"/>
    <w:rsid w:val="003C24B4"/>
    <w:rsid w:val="003C2AEF"/>
    <w:rsid w:val="003C3494"/>
    <w:rsid w:val="003C396D"/>
    <w:rsid w:val="003C4A27"/>
    <w:rsid w:val="003C4EA3"/>
    <w:rsid w:val="003C4F52"/>
    <w:rsid w:val="003C4FC1"/>
    <w:rsid w:val="003C5694"/>
    <w:rsid w:val="003C5D17"/>
    <w:rsid w:val="003C604D"/>
    <w:rsid w:val="003C614E"/>
    <w:rsid w:val="003C6825"/>
    <w:rsid w:val="003C69C3"/>
    <w:rsid w:val="003C6B8E"/>
    <w:rsid w:val="003C7207"/>
    <w:rsid w:val="003C73FD"/>
    <w:rsid w:val="003C749E"/>
    <w:rsid w:val="003C74AB"/>
    <w:rsid w:val="003C7725"/>
    <w:rsid w:val="003C7B89"/>
    <w:rsid w:val="003C7FF0"/>
    <w:rsid w:val="003D0219"/>
    <w:rsid w:val="003D0572"/>
    <w:rsid w:val="003D0903"/>
    <w:rsid w:val="003D0E3E"/>
    <w:rsid w:val="003D1124"/>
    <w:rsid w:val="003D14F5"/>
    <w:rsid w:val="003D1652"/>
    <w:rsid w:val="003D2047"/>
    <w:rsid w:val="003D258D"/>
    <w:rsid w:val="003D2EE8"/>
    <w:rsid w:val="003D459B"/>
    <w:rsid w:val="003D47AC"/>
    <w:rsid w:val="003D4966"/>
    <w:rsid w:val="003D4A2B"/>
    <w:rsid w:val="003D4E99"/>
    <w:rsid w:val="003D5699"/>
    <w:rsid w:val="003D5B97"/>
    <w:rsid w:val="003D62AF"/>
    <w:rsid w:val="003D6379"/>
    <w:rsid w:val="003D6990"/>
    <w:rsid w:val="003D79D2"/>
    <w:rsid w:val="003D7A26"/>
    <w:rsid w:val="003E0233"/>
    <w:rsid w:val="003E07DD"/>
    <w:rsid w:val="003E08AA"/>
    <w:rsid w:val="003E0AA2"/>
    <w:rsid w:val="003E0FCA"/>
    <w:rsid w:val="003E1436"/>
    <w:rsid w:val="003E14C7"/>
    <w:rsid w:val="003E1B5C"/>
    <w:rsid w:val="003E1F9E"/>
    <w:rsid w:val="003E20D6"/>
    <w:rsid w:val="003E2563"/>
    <w:rsid w:val="003E2887"/>
    <w:rsid w:val="003E3293"/>
    <w:rsid w:val="003E3358"/>
    <w:rsid w:val="003E34E9"/>
    <w:rsid w:val="003E37DF"/>
    <w:rsid w:val="003E44C6"/>
    <w:rsid w:val="003E463B"/>
    <w:rsid w:val="003E4764"/>
    <w:rsid w:val="003E4A25"/>
    <w:rsid w:val="003E4B5F"/>
    <w:rsid w:val="003E4C13"/>
    <w:rsid w:val="003E4D40"/>
    <w:rsid w:val="003E4D87"/>
    <w:rsid w:val="003E4F4C"/>
    <w:rsid w:val="003E55D2"/>
    <w:rsid w:val="003E6165"/>
    <w:rsid w:val="003E651A"/>
    <w:rsid w:val="003E667E"/>
    <w:rsid w:val="003E67D9"/>
    <w:rsid w:val="003E67FC"/>
    <w:rsid w:val="003E6901"/>
    <w:rsid w:val="003E6D6B"/>
    <w:rsid w:val="003E6E25"/>
    <w:rsid w:val="003E6F7B"/>
    <w:rsid w:val="003E71F6"/>
    <w:rsid w:val="003E74AE"/>
    <w:rsid w:val="003E75DC"/>
    <w:rsid w:val="003E79B1"/>
    <w:rsid w:val="003E7E6B"/>
    <w:rsid w:val="003E7FCE"/>
    <w:rsid w:val="003F04D5"/>
    <w:rsid w:val="003F0630"/>
    <w:rsid w:val="003F1237"/>
    <w:rsid w:val="003F1264"/>
    <w:rsid w:val="003F1582"/>
    <w:rsid w:val="003F2187"/>
    <w:rsid w:val="003F2459"/>
    <w:rsid w:val="003F2641"/>
    <w:rsid w:val="003F34E2"/>
    <w:rsid w:val="003F3704"/>
    <w:rsid w:val="003F3782"/>
    <w:rsid w:val="003F5B16"/>
    <w:rsid w:val="003F5F01"/>
    <w:rsid w:val="003F6202"/>
    <w:rsid w:val="003F6B5F"/>
    <w:rsid w:val="003F6CC7"/>
    <w:rsid w:val="003F6FB9"/>
    <w:rsid w:val="003F7440"/>
    <w:rsid w:val="003F7A9E"/>
    <w:rsid w:val="003F7B36"/>
    <w:rsid w:val="00400E88"/>
    <w:rsid w:val="00401082"/>
    <w:rsid w:val="004010C2"/>
    <w:rsid w:val="004011BA"/>
    <w:rsid w:val="004011CE"/>
    <w:rsid w:val="004012B4"/>
    <w:rsid w:val="00401AF3"/>
    <w:rsid w:val="00401B07"/>
    <w:rsid w:val="00401D31"/>
    <w:rsid w:val="00402C27"/>
    <w:rsid w:val="00403F2B"/>
    <w:rsid w:val="004040FF"/>
    <w:rsid w:val="00404580"/>
    <w:rsid w:val="00404812"/>
    <w:rsid w:val="00404837"/>
    <w:rsid w:val="00404A16"/>
    <w:rsid w:val="00405929"/>
    <w:rsid w:val="004059B1"/>
    <w:rsid w:val="00405A56"/>
    <w:rsid w:val="00405AE5"/>
    <w:rsid w:val="00405B86"/>
    <w:rsid w:val="00405CAA"/>
    <w:rsid w:val="00405CAB"/>
    <w:rsid w:val="0040607A"/>
    <w:rsid w:val="00406219"/>
    <w:rsid w:val="00406325"/>
    <w:rsid w:val="00406498"/>
    <w:rsid w:val="00406D7D"/>
    <w:rsid w:val="00406FD4"/>
    <w:rsid w:val="00410271"/>
    <w:rsid w:val="0041058F"/>
    <w:rsid w:val="00410819"/>
    <w:rsid w:val="004109C9"/>
    <w:rsid w:val="00410B5F"/>
    <w:rsid w:val="00411233"/>
    <w:rsid w:val="00411C91"/>
    <w:rsid w:val="00411DCE"/>
    <w:rsid w:val="00411E5D"/>
    <w:rsid w:val="00411F75"/>
    <w:rsid w:val="00412475"/>
    <w:rsid w:val="0041329B"/>
    <w:rsid w:val="004135FE"/>
    <w:rsid w:val="004138C9"/>
    <w:rsid w:val="00413D2F"/>
    <w:rsid w:val="00413DAB"/>
    <w:rsid w:val="00413ED5"/>
    <w:rsid w:val="00413F60"/>
    <w:rsid w:val="004140A7"/>
    <w:rsid w:val="004143DE"/>
    <w:rsid w:val="00414584"/>
    <w:rsid w:val="00414DAD"/>
    <w:rsid w:val="004155D4"/>
    <w:rsid w:val="00416760"/>
    <w:rsid w:val="00416762"/>
    <w:rsid w:val="0041683F"/>
    <w:rsid w:val="00416E55"/>
    <w:rsid w:val="0041722E"/>
    <w:rsid w:val="0042028F"/>
    <w:rsid w:val="004203D5"/>
    <w:rsid w:val="00420409"/>
    <w:rsid w:val="00420479"/>
    <w:rsid w:val="00420A53"/>
    <w:rsid w:val="00420DCE"/>
    <w:rsid w:val="00421955"/>
    <w:rsid w:val="00422327"/>
    <w:rsid w:val="004223EF"/>
    <w:rsid w:val="00422453"/>
    <w:rsid w:val="004225C7"/>
    <w:rsid w:val="00422E7B"/>
    <w:rsid w:val="0042351B"/>
    <w:rsid w:val="00423D5E"/>
    <w:rsid w:val="00423DCE"/>
    <w:rsid w:val="0042483C"/>
    <w:rsid w:val="0042484E"/>
    <w:rsid w:val="00424D97"/>
    <w:rsid w:val="004250F4"/>
    <w:rsid w:val="0042518A"/>
    <w:rsid w:val="0042568E"/>
    <w:rsid w:val="004256B3"/>
    <w:rsid w:val="004256B8"/>
    <w:rsid w:val="00425F7A"/>
    <w:rsid w:val="00426396"/>
    <w:rsid w:val="004267F5"/>
    <w:rsid w:val="004276A0"/>
    <w:rsid w:val="00430246"/>
    <w:rsid w:val="00430465"/>
    <w:rsid w:val="00430D28"/>
    <w:rsid w:val="004311F8"/>
    <w:rsid w:val="004312A0"/>
    <w:rsid w:val="004313A8"/>
    <w:rsid w:val="004317EC"/>
    <w:rsid w:val="00431D99"/>
    <w:rsid w:val="00432994"/>
    <w:rsid w:val="00433249"/>
    <w:rsid w:val="00433436"/>
    <w:rsid w:val="004338C0"/>
    <w:rsid w:val="00434486"/>
    <w:rsid w:val="004344DE"/>
    <w:rsid w:val="004345E1"/>
    <w:rsid w:val="00434E1B"/>
    <w:rsid w:val="004354F5"/>
    <w:rsid w:val="0043574C"/>
    <w:rsid w:val="00435911"/>
    <w:rsid w:val="00435D60"/>
    <w:rsid w:val="00436383"/>
    <w:rsid w:val="00436430"/>
    <w:rsid w:val="004369E7"/>
    <w:rsid w:val="00437E4E"/>
    <w:rsid w:val="00440366"/>
    <w:rsid w:val="004405CA"/>
    <w:rsid w:val="004406A0"/>
    <w:rsid w:val="00440DAA"/>
    <w:rsid w:val="00440F3A"/>
    <w:rsid w:val="00441148"/>
    <w:rsid w:val="0044148A"/>
    <w:rsid w:val="004414B9"/>
    <w:rsid w:val="004416AB"/>
    <w:rsid w:val="004416CF"/>
    <w:rsid w:val="0044307E"/>
    <w:rsid w:val="00443210"/>
    <w:rsid w:val="0044321F"/>
    <w:rsid w:val="00443483"/>
    <w:rsid w:val="00443791"/>
    <w:rsid w:val="0044382A"/>
    <w:rsid w:val="00443A3C"/>
    <w:rsid w:val="004444BA"/>
    <w:rsid w:val="0044498A"/>
    <w:rsid w:val="00444A63"/>
    <w:rsid w:val="00444CE4"/>
    <w:rsid w:val="00445265"/>
    <w:rsid w:val="004454DE"/>
    <w:rsid w:val="004457B1"/>
    <w:rsid w:val="00445882"/>
    <w:rsid w:val="00445AB7"/>
    <w:rsid w:val="00445FB3"/>
    <w:rsid w:val="00445FF5"/>
    <w:rsid w:val="004475D1"/>
    <w:rsid w:val="00450526"/>
    <w:rsid w:val="00451812"/>
    <w:rsid w:val="00452899"/>
    <w:rsid w:val="0045329F"/>
    <w:rsid w:val="004537FE"/>
    <w:rsid w:val="00453827"/>
    <w:rsid w:val="00453E96"/>
    <w:rsid w:val="00454869"/>
    <w:rsid w:val="004550EF"/>
    <w:rsid w:val="004555DE"/>
    <w:rsid w:val="004559CE"/>
    <w:rsid w:val="00456197"/>
    <w:rsid w:val="004564AC"/>
    <w:rsid w:val="0045657B"/>
    <w:rsid w:val="00456D62"/>
    <w:rsid w:val="004574C1"/>
    <w:rsid w:val="0045779C"/>
    <w:rsid w:val="004578E3"/>
    <w:rsid w:val="004609D1"/>
    <w:rsid w:val="00460E1A"/>
    <w:rsid w:val="00460EEF"/>
    <w:rsid w:val="00461028"/>
    <w:rsid w:val="00461370"/>
    <w:rsid w:val="004616F7"/>
    <w:rsid w:val="004620CF"/>
    <w:rsid w:val="00462A33"/>
    <w:rsid w:val="004638E8"/>
    <w:rsid w:val="00463925"/>
    <w:rsid w:val="00463DF8"/>
    <w:rsid w:val="0046417E"/>
    <w:rsid w:val="004642FC"/>
    <w:rsid w:val="004644FE"/>
    <w:rsid w:val="00464AE8"/>
    <w:rsid w:val="00465448"/>
    <w:rsid w:val="0046642B"/>
    <w:rsid w:val="00466EE5"/>
    <w:rsid w:val="00467805"/>
    <w:rsid w:val="0046797B"/>
    <w:rsid w:val="00467A07"/>
    <w:rsid w:val="00467F02"/>
    <w:rsid w:val="00467F38"/>
    <w:rsid w:val="0047007C"/>
    <w:rsid w:val="0047088B"/>
    <w:rsid w:val="00470CE5"/>
    <w:rsid w:val="00470FC6"/>
    <w:rsid w:val="00471850"/>
    <w:rsid w:val="0047274B"/>
    <w:rsid w:val="004729FC"/>
    <w:rsid w:val="00472DF7"/>
    <w:rsid w:val="00473245"/>
    <w:rsid w:val="004732F5"/>
    <w:rsid w:val="00473B00"/>
    <w:rsid w:val="00473C29"/>
    <w:rsid w:val="00473CF4"/>
    <w:rsid w:val="00473CF8"/>
    <w:rsid w:val="00474084"/>
    <w:rsid w:val="00474625"/>
    <w:rsid w:val="00474784"/>
    <w:rsid w:val="00475085"/>
    <w:rsid w:val="00475166"/>
    <w:rsid w:val="004751B6"/>
    <w:rsid w:val="00475A25"/>
    <w:rsid w:val="00476A33"/>
    <w:rsid w:val="00476CF6"/>
    <w:rsid w:val="00477AA8"/>
    <w:rsid w:val="004801D0"/>
    <w:rsid w:val="00480A1F"/>
    <w:rsid w:val="0048128F"/>
    <w:rsid w:val="004813B1"/>
    <w:rsid w:val="0048145F"/>
    <w:rsid w:val="00481F91"/>
    <w:rsid w:val="00482C16"/>
    <w:rsid w:val="00482C57"/>
    <w:rsid w:val="00482C95"/>
    <w:rsid w:val="00482D69"/>
    <w:rsid w:val="00482FBE"/>
    <w:rsid w:val="004830BA"/>
    <w:rsid w:val="0048339E"/>
    <w:rsid w:val="00483748"/>
    <w:rsid w:val="00484C44"/>
    <w:rsid w:val="00484D21"/>
    <w:rsid w:val="00484FA8"/>
    <w:rsid w:val="0048535A"/>
    <w:rsid w:val="00485930"/>
    <w:rsid w:val="00486977"/>
    <w:rsid w:val="00487063"/>
    <w:rsid w:val="004874F6"/>
    <w:rsid w:val="00490580"/>
    <w:rsid w:val="00490877"/>
    <w:rsid w:val="00490980"/>
    <w:rsid w:val="00490D76"/>
    <w:rsid w:val="00490F79"/>
    <w:rsid w:val="004912F1"/>
    <w:rsid w:val="004915F3"/>
    <w:rsid w:val="00491604"/>
    <w:rsid w:val="00491A07"/>
    <w:rsid w:val="00492C66"/>
    <w:rsid w:val="00492FCB"/>
    <w:rsid w:val="004935A4"/>
    <w:rsid w:val="00493B1B"/>
    <w:rsid w:val="00493D67"/>
    <w:rsid w:val="0049435B"/>
    <w:rsid w:val="00494C72"/>
    <w:rsid w:val="00494F91"/>
    <w:rsid w:val="00495814"/>
    <w:rsid w:val="00495FEF"/>
    <w:rsid w:val="004963C5"/>
    <w:rsid w:val="00497678"/>
    <w:rsid w:val="004976AC"/>
    <w:rsid w:val="004976E8"/>
    <w:rsid w:val="00497B59"/>
    <w:rsid w:val="004A0358"/>
    <w:rsid w:val="004A0492"/>
    <w:rsid w:val="004A05C1"/>
    <w:rsid w:val="004A06B6"/>
    <w:rsid w:val="004A0F11"/>
    <w:rsid w:val="004A1121"/>
    <w:rsid w:val="004A1717"/>
    <w:rsid w:val="004A1C14"/>
    <w:rsid w:val="004A296E"/>
    <w:rsid w:val="004A2AED"/>
    <w:rsid w:val="004A3793"/>
    <w:rsid w:val="004A3839"/>
    <w:rsid w:val="004A3D3D"/>
    <w:rsid w:val="004A3DE1"/>
    <w:rsid w:val="004A3E88"/>
    <w:rsid w:val="004A3EAA"/>
    <w:rsid w:val="004A40C6"/>
    <w:rsid w:val="004A4BC8"/>
    <w:rsid w:val="004A5143"/>
    <w:rsid w:val="004A6293"/>
    <w:rsid w:val="004A6CA5"/>
    <w:rsid w:val="004A79E8"/>
    <w:rsid w:val="004A7D97"/>
    <w:rsid w:val="004B01B0"/>
    <w:rsid w:val="004B0A16"/>
    <w:rsid w:val="004B10CE"/>
    <w:rsid w:val="004B15F2"/>
    <w:rsid w:val="004B220A"/>
    <w:rsid w:val="004B2788"/>
    <w:rsid w:val="004B2856"/>
    <w:rsid w:val="004B2B9E"/>
    <w:rsid w:val="004B3AB3"/>
    <w:rsid w:val="004B3BBD"/>
    <w:rsid w:val="004B3DF5"/>
    <w:rsid w:val="004B3FFF"/>
    <w:rsid w:val="004B4663"/>
    <w:rsid w:val="004B48EF"/>
    <w:rsid w:val="004B5133"/>
    <w:rsid w:val="004B570C"/>
    <w:rsid w:val="004B5F23"/>
    <w:rsid w:val="004B65E5"/>
    <w:rsid w:val="004B69E5"/>
    <w:rsid w:val="004B7567"/>
    <w:rsid w:val="004B773D"/>
    <w:rsid w:val="004B78E6"/>
    <w:rsid w:val="004B7AE8"/>
    <w:rsid w:val="004C0568"/>
    <w:rsid w:val="004C0759"/>
    <w:rsid w:val="004C0C45"/>
    <w:rsid w:val="004C0C6A"/>
    <w:rsid w:val="004C0DD1"/>
    <w:rsid w:val="004C0E44"/>
    <w:rsid w:val="004C15EF"/>
    <w:rsid w:val="004C16AC"/>
    <w:rsid w:val="004C18EB"/>
    <w:rsid w:val="004C1A83"/>
    <w:rsid w:val="004C2065"/>
    <w:rsid w:val="004C244A"/>
    <w:rsid w:val="004C2902"/>
    <w:rsid w:val="004C2AB9"/>
    <w:rsid w:val="004C2C61"/>
    <w:rsid w:val="004C30E4"/>
    <w:rsid w:val="004C3BFD"/>
    <w:rsid w:val="004C41AF"/>
    <w:rsid w:val="004C41B6"/>
    <w:rsid w:val="004C448E"/>
    <w:rsid w:val="004C4A77"/>
    <w:rsid w:val="004C4B15"/>
    <w:rsid w:val="004C51A4"/>
    <w:rsid w:val="004C5EF2"/>
    <w:rsid w:val="004C61DD"/>
    <w:rsid w:val="004C6341"/>
    <w:rsid w:val="004C64C7"/>
    <w:rsid w:val="004C6941"/>
    <w:rsid w:val="004C6A2F"/>
    <w:rsid w:val="004C6B03"/>
    <w:rsid w:val="004C6CE2"/>
    <w:rsid w:val="004C6D25"/>
    <w:rsid w:val="004C7212"/>
    <w:rsid w:val="004C7338"/>
    <w:rsid w:val="004C758A"/>
    <w:rsid w:val="004C7727"/>
    <w:rsid w:val="004C7924"/>
    <w:rsid w:val="004C7E41"/>
    <w:rsid w:val="004D0126"/>
    <w:rsid w:val="004D04B3"/>
    <w:rsid w:val="004D052B"/>
    <w:rsid w:val="004D096B"/>
    <w:rsid w:val="004D0CFA"/>
    <w:rsid w:val="004D1260"/>
    <w:rsid w:val="004D1BF0"/>
    <w:rsid w:val="004D1F24"/>
    <w:rsid w:val="004D2018"/>
    <w:rsid w:val="004D38F8"/>
    <w:rsid w:val="004D4312"/>
    <w:rsid w:val="004D46FE"/>
    <w:rsid w:val="004D4E29"/>
    <w:rsid w:val="004D4F82"/>
    <w:rsid w:val="004D5D88"/>
    <w:rsid w:val="004D68A4"/>
    <w:rsid w:val="004D6E37"/>
    <w:rsid w:val="004D7025"/>
    <w:rsid w:val="004D7062"/>
    <w:rsid w:val="004D7224"/>
    <w:rsid w:val="004D7D7E"/>
    <w:rsid w:val="004D7E95"/>
    <w:rsid w:val="004E00EA"/>
    <w:rsid w:val="004E084F"/>
    <w:rsid w:val="004E0959"/>
    <w:rsid w:val="004E0B57"/>
    <w:rsid w:val="004E0E34"/>
    <w:rsid w:val="004E1053"/>
    <w:rsid w:val="004E1781"/>
    <w:rsid w:val="004E1C07"/>
    <w:rsid w:val="004E204E"/>
    <w:rsid w:val="004E246A"/>
    <w:rsid w:val="004E2B1C"/>
    <w:rsid w:val="004E2C34"/>
    <w:rsid w:val="004E2E52"/>
    <w:rsid w:val="004E346A"/>
    <w:rsid w:val="004E3AEE"/>
    <w:rsid w:val="004E3AF2"/>
    <w:rsid w:val="004E4639"/>
    <w:rsid w:val="004E4CBE"/>
    <w:rsid w:val="004E520F"/>
    <w:rsid w:val="004E53A0"/>
    <w:rsid w:val="004E5681"/>
    <w:rsid w:val="004E59CC"/>
    <w:rsid w:val="004E5A4E"/>
    <w:rsid w:val="004E64B2"/>
    <w:rsid w:val="004E66FA"/>
    <w:rsid w:val="004E67E8"/>
    <w:rsid w:val="004E6B14"/>
    <w:rsid w:val="004E6EB4"/>
    <w:rsid w:val="004E6FC1"/>
    <w:rsid w:val="004E71F1"/>
    <w:rsid w:val="004E7399"/>
    <w:rsid w:val="004E74C9"/>
    <w:rsid w:val="004E7521"/>
    <w:rsid w:val="004E7B25"/>
    <w:rsid w:val="004E7C49"/>
    <w:rsid w:val="004E7C85"/>
    <w:rsid w:val="004E7D36"/>
    <w:rsid w:val="004E7E21"/>
    <w:rsid w:val="004E7E7B"/>
    <w:rsid w:val="004F014F"/>
    <w:rsid w:val="004F0779"/>
    <w:rsid w:val="004F08F4"/>
    <w:rsid w:val="004F0F5F"/>
    <w:rsid w:val="004F10F4"/>
    <w:rsid w:val="004F164D"/>
    <w:rsid w:val="004F178C"/>
    <w:rsid w:val="004F1ED7"/>
    <w:rsid w:val="004F2212"/>
    <w:rsid w:val="004F228D"/>
    <w:rsid w:val="004F24C3"/>
    <w:rsid w:val="004F29FC"/>
    <w:rsid w:val="004F2E7E"/>
    <w:rsid w:val="004F303A"/>
    <w:rsid w:val="004F3158"/>
    <w:rsid w:val="004F3494"/>
    <w:rsid w:val="004F4B92"/>
    <w:rsid w:val="004F4D62"/>
    <w:rsid w:val="004F4E43"/>
    <w:rsid w:val="004F5174"/>
    <w:rsid w:val="004F535B"/>
    <w:rsid w:val="004F56E7"/>
    <w:rsid w:val="004F5FBE"/>
    <w:rsid w:val="004F7C2F"/>
    <w:rsid w:val="005002C0"/>
    <w:rsid w:val="005008BE"/>
    <w:rsid w:val="00500C19"/>
    <w:rsid w:val="0050157F"/>
    <w:rsid w:val="00501686"/>
    <w:rsid w:val="00501B6C"/>
    <w:rsid w:val="00502101"/>
    <w:rsid w:val="00502A57"/>
    <w:rsid w:val="00502A9D"/>
    <w:rsid w:val="00503A4B"/>
    <w:rsid w:val="0050477E"/>
    <w:rsid w:val="00504802"/>
    <w:rsid w:val="0050489F"/>
    <w:rsid w:val="00504DFC"/>
    <w:rsid w:val="00506A30"/>
    <w:rsid w:val="00506E32"/>
    <w:rsid w:val="005076E9"/>
    <w:rsid w:val="0050772F"/>
    <w:rsid w:val="00507739"/>
    <w:rsid w:val="00507BA6"/>
    <w:rsid w:val="00507CE1"/>
    <w:rsid w:val="0051051E"/>
    <w:rsid w:val="00510A5E"/>
    <w:rsid w:val="00510C70"/>
    <w:rsid w:val="00511069"/>
    <w:rsid w:val="0051113C"/>
    <w:rsid w:val="00511276"/>
    <w:rsid w:val="0051148D"/>
    <w:rsid w:val="0051166C"/>
    <w:rsid w:val="00511B04"/>
    <w:rsid w:val="00511E71"/>
    <w:rsid w:val="00512191"/>
    <w:rsid w:val="005123F6"/>
    <w:rsid w:val="00512647"/>
    <w:rsid w:val="00512F8C"/>
    <w:rsid w:val="0051337D"/>
    <w:rsid w:val="00513658"/>
    <w:rsid w:val="00514398"/>
    <w:rsid w:val="005153D0"/>
    <w:rsid w:val="00515853"/>
    <w:rsid w:val="00515C20"/>
    <w:rsid w:val="005161BE"/>
    <w:rsid w:val="00516785"/>
    <w:rsid w:val="0051711F"/>
    <w:rsid w:val="005171F9"/>
    <w:rsid w:val="00517F40"/>
    <w:rsid w:val="00520705"/>
    <w:rsid w:val="005210E3"/>
    <w:rsid w:val="005211FE"/>
    <w:rsid w:val="005218E2"/>
    <w:rsid w:val="00521960"/>
    <w:rsid w:val="005223F5"/>
    <w:rsid w:val="0052378E"/>
    <w:rsid w:val="0052382D"/>
    <w:rsid w:val="00523A1E"/>
    <w:rsid w:val="00523DD0"/>
    <w:rsid w:val="0052419D"/>
    <w:rsid w:val="005242A5"/>
    <w:rsid w:val="0052499A"/>
    <w:rsid w:val="00524B2C"/>
    <w:rsid w:val="005257C5"/>
    <w:rsid w:val="005259B5"/>
    <w:rsid w:val="0052699C"/>
    <w:rsid w:val="00527027"/>
    <w:rsid w:val="00527B50"/>
    <w:rsid w:val="00527F4B"/>
    <w:rsid w:val="0053016C"/>
    <w:rsid w:val="005301F8"/>
    <w:rsid w:val="0053041E"/>
    <w:rsid w:val="00530996"/>
    <w:rsid w:val="00530A15"/>
    <w:rsid w:val="00530AE2"/>
    <w:rsid w:val="005312FC"/>
    <w:rsid w:val="00531F20"/>
    <w:rsid w:val="00532121"/>
    <w:rsid w:val="00532181"/>
    <w:rsid w:val="00532877"/>
    <w:rsid w:val="00532C6D"/>
    <w:rsid w:val="005333A3"/>
    <w:rsid w:val="0053366C"/>
    <w:rsid w:val="005342B8"/>
    <w:rsid w:val="005344D0"/>
    <w:rsid w:val="005348ED"/>
    <w:rsid w:val="00535469"/>
    <w:rsid w:val="0053569E"/>
    <w:rsid w:val="00535919"/>
    <w:rsid w:val="00535B13"/>
    <w:rsid w:val="00535E57"/>
    <w:rsid w:val="0053603D"/>
    <w:rsid w:val="00536427"/>
    <w:rsid w:val="00536467"/>
    <w:rsid w:val="005364F9"/>
    <w:rsid w:val="00536663"/>
    <w:rsid w:val="00536837"/>
    <w:rsid w:val="00536D42"/>
    <w:rsid w:val="005371AC"/>
    <w:rsid w:val="005372E1"/>
    <w:rsid w:val="0053742A"/>
    <w:rsid w:val="00537574"/>
    <w:rsid w:val="005376C5"/>
    <w:rsid w:val="00537B57"/>
    <w:rsid w:val="00537C85"/>
    <w:rsid w:val="00537F71"/>
    <w:rsid w:val="005400ED"/>
    <w:rsid w:val="00540355"/>
    <w:rsid w:val="00540713"/>
    <w:rsid w:val="00540822"/>
    <w:rsid w:val="00540882"/>
    <w:rsid w:val="00540A63"/>
    <w:rsid w:val="00540DF2"/>
    <w:rsid w:val="00541647"/>
    <w:rsid w:val="00541BD6"/>
    <w:rsid w:val="00541D29"/>
    <w:rsid w:val="0054237F"/>
    <w:rsid w:val="00542C19"/>
    <w:rsid w:val="005431CE"/>
    <w:rsid w:val="005435B9"/>
    <w:rsid w:val="00543B76"/>
    <w:rsid w:val="00543F23"/>
    <w:rsid w:val="00543FED"/>
    <w:rsid w:val="0054440C"/>
    <w:rsid w:val="00544787"/>
    <w:rsid w:val="005447C0"/>
    <w:rsid w:val="00544EA4"/>
    <w:rsid w:val="00545588"/>
    <w:rsid w:val="005459E2"/>
    <w:rsid w:val="00546141"/>
    <w:rsid w:val="00546333"/>
    <w:rsid w:val="005463FF"/>
    <w:rsid w:val="005465D1"/>
    <w:rsid w:val="0054689D"/>
    <w:rsid w:val="00546D4A"/>
    <w:rsid w:val="00546E41"/>
    <w:rsid w:val="005470C2"/>
    <w:rsid w:val="00547468"/>
    <w:rsid w:val="005504D3"/>
    <w:rsid w:val="005505FF"/>
    <w:rsid w:val="00550AA5"/>
    <w:rsid w:val="00551167"/>
    <w:rsid w:val="00551DA6"/>
    <w:rsid w:val="00551E45"/>
    <w:rsid w:val="00552121"/>
    <w:rsid w:val="005522CF"/>
    <w:rsid w:val="00552847"/>
    <w:rsid w:val="00552D52"/>
    <w:rsid w:val="00552DC4"/>
    <w:rsid w:val="00554526"/>
    <w:rsid w:val="00554784"/>
    <w:rsid w:val="005548F8"/>
    <w:rsid w:val="00554982"/>
    <w:rsid w:val="00554B0E"/>
    <w:rsid w:val="00555979"/>
    <w:rsid w:val="00555B3A"/>
    <w:rsid w:val="00555B6F"/>
    <w:rsid w:val="00555E8D"/>
    <w:rsid w:val="00556452"/>
    <w:rsid w:val="0055657B"/>
    <w:rsid w:val="0055657F"/>
    <w:rsid w:val="00556685"/>
    <w:rsid w:val="0055681A"/>
    <w:rsid w:val="005569DC"/>
    <w:rsid w:val="00556AD7"/>
    <w:rsid w:val="00556B07"/>
    <w:rsid w:val="00556F42"/>
    <w:rsid w:val="00556FC2"/>
    <w:rsid w:val="005572E6"/>
    <w:rsid w:val="00557317"/>
    <w:rsid w:val="00557B30"/>
    <w:rsid w:val="00560C5C"/>
    <w:rsid w:val="00561826"/>
    <w:rsid w:val="00561C38"/>
    <w:rsid w:val="0056214F"/>
    <w:rsid w:val="005621BA"/>
    <w:rsid w:val="005625C6"/>
    <w:rsid w:val="00562F17"/>
    <w:rsid w:val="00562F4A"/>
    <w:rsid w:val="005634D9"/>
    <w:rsid w:val="00563A15"/>
    <w:rsid w:val="00563D1E"/>
    <w:rsid w:val="00564093"/>
    <w:rsid w:val="00564184"/>
    <w:rsid w:val="00564887"/>
    <w:rsid w:val="00564AF1"/>
    <w:rsid w:val="00564B44"/>
    <w:rsid w:val="00564C97"/>
    <w:rsid w:val="00565386"/>
    <w:rsid w:val="0056582C"/>
    <w:rsid w:val="00565ADD"/>
    <w:rsid w:val="00565C46"/>
    <w:rsid w:val="005660A5"/>
    <w:rsid w:val="0056626F"/>
    <w:rsid w:val="005667DB"/>
    <w:rsid w:val="00566876"/>
    <w:rsid w:val="00566A5A"/>
    <w:rsid w:val="005674AE"/>
    <w:rsid w:val="00567F75"/>
    <w:rsid w:val="0056DD42"/>
    <w:rsid w:val="00570412"/>
    <w:rsid w:val="00570457"/>
    <w:rsid w:val="00570D8B"/>
    <w:rsid w:val="00570FD8"/>
    <w:rsid w:val="00571073"/>
    <w:rsid w:val="005712E0"/>
    <w:rsid w:val="00571BD1"/>
    <w:rsid w:val="00571CF1"/>
    <w:rsid w:val="00572F0E"/>
    <w:rsid w:val="00573269"/>
    <w:rsid w:val="005732E4"/>
    <w:rsid w:val="00573314"/>
    <w:rsid w:val="005733B8"/>
    <w:rsid w:val="00573782"/>
    <w:rsid w:val="005739BF"/>
    <w:rsid w:val="00573B9C"/>
    <w:rsid w:val="00574184"/>
    <w:rsid w:val="00575344"/>
    <w:rsid w:val="005753A2"/>
    <w:rsid w:val="005753D7"/>
    <w:rsid w:val="00575B74"/>
    <w:rsid w:val="00575C06"/>
    <w:rsid w:val="005764CF"/>
    <w:rsid w:val="00576693"/>
    <w:rsid w:val="0057674E"/>
    <w:rsid w:val="00576D5B"/>
    <w:rsid w:val="00576E3B"/>
    <w:rsid w:val="00577421"/>
    <w:rsid w:val="005776B2"/>
    <w:rsid w:val="005776DE"/>
    <w:rsid w:val="0058041D"/>
    <w:rsid w:val="005808F1"/>
    <w:rsid w:val="00580C91"/>
    <w:rsid w:val="00581608"/>
    <w:rsid w:val="005816B6"/>
    <w:rsid w:val="00582009"/>
    <w:rsid w:val="00582B46"/>
    <w:rsid w:val="00583868"/>
    <w:rsid w:val="00583D57"/>
    <w:rsid w:val="00583F21"/>
    <w:rsid w:val="00584842"/>
    <w:rsid w:val="00584AB3"/>
    <w:rsid w:val="00585E12"/>
    <w:rsid w:val="00586317"/>
    <w:rsid w:val="00586605"/>
    <w:rsid w:val="005868DE"/>
    <w:rsid w:val="00586C1F"/>
    <w:rsid w:val="00586F39"/>
    <w:rsid w:val="0058712E"/>
    <w:rsid w:val="005871FC"/>
    <w:rsid w:val="00587306"/>
    <w:rsid w:val="005877AC"/>
    <w:rsid w:val="00587A52"/>
    <w:rsid w:val="00587BD2"/>
    <w:rsid w:val="00587E46"/>
    <w:rsid w:val="00587F59"/>
    <w:rsid w:val="00590484"/>
    <w:rsid w:val="00590C44"/>
    <w:rsid w:val="00590C85"/>
    <w:rsid w:val="00591912"/>
    <w:rsid w:val="00592711"/>
    <w:rsid w:val="0059273E"/>
    <w:rsid w:val="00592935"/>
    <w:rsid w:val="00592A18"/>
    <w:rsid w:val="00593430"/>
    <w:rsid w:val="005935FA"/>
    <w:rsid w:val="005939F4"/>
    <w:rsid w:val="00593D00"/>
    <w:rsid w:val="00594138"/>
    <w:rsid w:val="005945D6"/>
    <w:rsid w:val="0059465F"/>
    <w:rsid w:val="00596233"/>
    <w:rsid w:val="00596460"/>
    <w:rsid w:val="00596514"/>
    <w:rsid w:val="005966B7"/>
    <w:rsid w:val="00596B61"/>
    <w:rsid w:val="005A0000"/>
    <w:rsid w:val="005A004A"/>
    <w:rsid w:val="005A030B"/>
    <w:rsid w:val="005A0738"/>
    <w:rsid w:val="005A0BC2"/>
    <w:rsid w:val="005A0FFF"/>
    <w:rsid w:val="005A2274"/>
    <w:rsid w:val="005A2CCA"/>
    <w:rsid w:val="005A3896"/>
    <w:rsid w:val="005A3931"/>
    <w:rsid w:val="005A3A40"/>
    <w:rsid w:val="005A50DE"/>
    <w:rsid w:val="005A5AA9"/>
    <w:rsid w:val="005A5D4D"/>
    <w:rsid w:val="005A5DF0"/>
    <w:rsid w:val="005A62D2"/>
    <w:rsid w:val="005A652E"/>
    <w:rsid w:val="005A70C4"/>
    <w:rsid w:val="005A75ED"/>
    <w:rsid w:val="005A7729"/>
    <w:rsid w:val="005A7834"/>
    <w:rsid w:val="005B01DF"/>
    <w:rsid w:val="005B09C5"/>
    <w:rsid w:val="005B0A37"/>
    <w:rsid w:val="005B0B01"/>
    <w:rsid w:val="005B1036"/>
    <w:rsid w:val="005B1A49"/>
    <w:rsid w:val="005B1CBE"/>
    <w:rsid w:val="005B1F86"/>
    <w:rsid w:val="005B22C1"/>
    <w:rsid w:val="005B22E6"/>
    <w:rsid w:val="005B25A5"/>
    <w:rsid w:val="005B25CF"/>
    <w:rsid w:val="005B2F55"/>
    <w:rsid w:val="005B2F60"/>
    <w:rsid w:val="005B3CB8"/>
    <w:rsid w:val="005B3F4F"/>
    <w:rsid w:val="005B4125"/>
    <w:rsid w:val="005B41C4"/>
    <w:rsid w:val="005B43DC"/>
    <w:rsid w:val="005B4A4C"/>
    <w:rsid w:val="005B5E2A"/>
    <w:rsid w:val="005B5F99"/>
    <w:rsid w:val="005B6641"/>
    <w:rsid w:val="005B7069"/>
    <w:rsid w:val="005B70B3"/>
    <w:rsid w:val="005B754B"/>
    <w:rsid w:val="005C02A4"/>
    <w:rsid w:val="005C0DF7"/>
    <w:rsid w:val="005C1052"/>
    <w:rsid w:val="005C20D2"/>
    <w:rsid w:val="005C2120"/>
    <w:rsid w:val="005C2647"/>
    <w:rsid w:val="005C30C6"/>
    <w:rsid w:val="005C32FE"/>
    <w:rsid w:val="005C3659"/>
    <w:rsid w:val="005C38E8"/>
    <w:rsid w:val="005C39AE"/>
    <w:rsid w:val="005C3C34"/>
    <w:rsid w:val="005C48C9"/>
    <w:rsid w:val="005C503A"/>
    <w:rsid w:val="005C60F5"/>
    <w:rsid w:val="005C6277"/>
    <w:rsid w:val="005C65D8"/>
    <w:rsid w:val="005C6869"/>
    <w:rsid w:val="005C6ABA"/>
    <w:rsid w:val="005C701B"/>
    <w:rsid w:val="005C72A4"/>
    <w:rsid w:val="005C7374"/>
    <w:rsid w:val="005C77F0"/>
    <w:rsid w:val="005C7E64"/>
    <w:rsid w:val="005D004B"/>
    <w:rsid w:val="005D024A"/>
    <w:rsid w:val="005D04C3"/>
    <w:rsid w:val="005D070B"/>
    <w:rsid w:val="005D0C62"/>
    <w:rsid w:val="005D11AF"/>
    <w:rsid w:val="005D122E"/>
    <w:rsid w:val="005D133B"/>
    <w:rsid w:val="005D19B9"/>
    <w:rsid w:val="005D1E08"/>
    <w:rsid w:val="005D1E0D"/>
    <w:rsid w:val="005D2E85"/>
    <w:rsid w:val="005D321F"/>
    <w:rsid w:val="005D3579"/>
    <w:rsid w:val="005D3A9D"/>
    <w:rsid w:val="005D3B57"/>
    <w:rsid w:val="005D425B"/>
    <w:rsid w:val="005D45DF"/>
    <w:rsid w:val="005D480D"/>
    <w:rsid w:val="005D4FD4"/>
    <w:rsid w:val="005D5967"/>
    <w:rsid w:val="005D5E0F"/>
    <w:rsid w:val="005D5FE6"/>
    <w:rsid w:val="005D6BF7"/>
    <w:rsid w:val="005D6D64"/>
    <w:rsid w:val="005E0014"/>
    <w:rsid w:val="005E078D"/>
    <w:rsid w:val="005E247B"/>
    <w:rsid w:val="005E2A98"/>
    <w:rsid w:val="005E2D5E"/>
    <w:rsid w:val="005E3F19"/>
    <w:rsid w:val="005E41DC"/>
    <w:rsid w:val="005E460D"/>
    <w:rsid w:val="005E46B5"/>
    <w:rsid w:val="005E4A0A"/>
    <w:rsid w:val="005E5907"/>
    <w:rsid w:val="005E5E55"/>
    <w:rsid w:val="005E5E88"/>
    <w:rsid w:val="005E5FD2"/>
    <w:rsid w:val="005E5FE1"/>
    <w:rsid w:val="005E62D5"/>
    <w:rsid w:val="005E6573"/>
    <w:rsid w:val="005E67C6"/>
    <w:rsid w:val="005E719A"/>
    <w:rsid w:val="005E7DC3"/>
    <w:rsid w:val="005F0743"/>
    <w:rsid w:val="005F16C7"/>
    <w:rsid w:val="005F174A"/>
    <w:rsid w:val="005F18EF"/>
    <w:rsid w:val="005F1C6B"/>
    <w:rsid w:val="005F1DEE"/>
    <w:rsid w:val="005F1F51"/>
    <w:rsid w:val="005F25B1"/>
    <w:rsid w:val="005F266C"/>
    <w:rsid w:val="005F3446"/>
    <w:rsid w:val="005F346B"/>
    <w:rsid w:val="005F3644"/>
    <w:rsid w:val="005F5000"/>
    <w:rsid w:val="005F54D1"/>
    <w:rsid w:val="005F57E5"/>
    <w:rsid w:val="005F5A39"/>
    <w:rsid w:val="005F5D08"/>
    <w:rsid w:val="005F6075"/>
    <w:rsid w:val="005F6219"/>
    <w:rsid w:val="005F641C"/>
    <w:rsid w:val="005F696C"/>
    <w:rsid w:val="005F783F"/>
    <w:rsid w:val="005F7AEA"/>
    <w:rsid w:val="005F7DB2"/>
    <w:rsid w:val="005F7FB1"/>
    <w:rsid w:val="006004E8"/>
    <w:rsid w:val="00600D2E"/>
    <w:rsid w:val="00600D82"/>
    <w:rsid w:val="00601612"/>
    <w:rsid w:val="00601650"/>
    <w:rsid w:val="00601CD6"/>
    <w:rsid w:val="00602A34"/>
    <w:rsid w:val="00602B31"/>
    <w:rsid w:val="00602CA2"/>
    <w:rsid w:val="00603C67"/>
    <w:rsid w:val="00603DC9"/>
    <w:rsid w:val="00603FA9"/>
    <w:rsid w:val="006040E7"/>
    <w:rsid w:val="006044EC"/>
    <w:rsid w:val="0060476F"/>
    <w:rsid w:val="00604827"/>
    <w:rsid w:val="00604EEF"/>
    <w:rsid w:val="006050AC"/>
    <w:rsid w:val="00605593"/>
    <w:rsid w:val="00605899"/>
    <w:rsid w:val="00605A00"/>
    <w:rsid w:val="00605AFD"/>
    <w:rsid w:val="00605BC5"/>
    <w:rsid w:val="00605F42"/>
    <w:rsid w:val="00607CDE"/>
    <w:rsid w:val="0061027C"/>
    <w:rsid w:val="00610536"/>
    <w:rsid w:val="00610DF1"/>
    <w:rsid w:val="00611B13"/>
    <w:rsid w:val="00611BB3"/>
    <w:rsid w:val="006123D4"/>
    <w:rsid w:val="00612D3C"/>
    <w:rsid w:val="00612DF7"/>
    <w:rsid w:val="00612EEA"/>
    <w:rsid w:val="00612F87"/>
    <w:rsid w:val="00613550"/>
    <w:rsid w:val="00613624"/>
    <w:rsid w:val="00613D2F"/>
    <w:rsid w:val="00614444"/>
    <w:rsid w:val="0061445B"/>
    <w:rsid w:val="00614602"/>
    <w:rsid w:val="006147AC"/>
    <w:rsid w:val="00615191"/>
    <w:rsid w:val="00615841"/>
    <w:rsid w:val="00615B0B"/>
    <w:rsid w:val="00615C2E"/>
    <w:rsid w:val="00615DFF"/>
    <w:rsid w:val="006163E3"/>
    <w:rsid w:val="006169A7"/>
    <w:rsid w:val="00616D15"/>
    <w:rsid w:val="00617390"/>
    <w:rsid w:val="006174B9"/>
    <w:rsid w:val="006177A2"/>
    <w:rsid w:val="0061796A"/>
    <w:rsid w:val="0062023A"/>
    <w:rsid w:val="00620252"/>
    <w:rsid w:val="0062061C"/>
    <w:rsid w:val="006208D5"/>
    <w:rsid w:val="006219B4"/>
    <w:rsid w:val="00621B51"/>
    <w:rsid w:val="00621E20"/>
    <w:rsid w:val="00621E94"/>
    <w:rsid w:val="00622003"/>
    <w:rsid w:val="00622249"/>
    <w:rsid w:val="00622347"/>
    <w:rsid w:val="0062236C"/>
    <w:rsid w:val="00622B4A"/>
    <w:rsid w:val="00622E17"/>
    <w:rsid w:val="00623141"/>
    <w:rsid w:val="0062319D"/>
    <w:rsid w:val="00623477"/>
    <w:rsid w:val="00624C4B"/>
    <w:rsid w:val="00625311"/>
    <w:rsid w:val="00625334"/>
    <w:rsid w:val="00625598"/>
    <w:rsid w:val="006258B7"/>
    <w:rsid w:val="00625B6E"/>
    <w:rsid w:val="00625CC8"/>
    <w:rsid w:val="00625EC6"/>
    <w:rsid w:val="0062637B"/>
    <w:rsid w:val="00626D30"/>
    <w:rsid w:val="0062707E"/>
    <w:rsid w:val="0062755A"/>
    <w:rsid w:val="006306E8"/>
    <w:rsid w:val="0063139C"/>
    <w:rsid w:val="00631650"/>
    <w:rsid w:val="00631694"/>
    <w:rsid w:val="00631981"/>
    <w:rsid w:val="00631C17"/>
    <w:rsid w:val="00631E38"/>
    <w:rsid w:val="00632EEF"/>
    <w:rsid w:val="00633000"/>
    <w:rsid w:val="00633112"/>
    <w:rsid w:val="00633486"/>
    <w:rsid w:val="0063483C"/>
    <w:rsid w:val="00634FEB"/>
    <w:rsid w:val="006353E5"/>
    <w:rsid w:val="0063552A"/>
    <w:rsid w:val="00635BCF"/>
    <w:rsid w:val="00636313"/>
    <w:rsid w:val="00637397"/>
    <w:rsid w:val="00637445"/>
    <w:rsid w:val="00637A68"/>
    <w:rsid w:val="006409CB"/>
    <w:rsid w:val="00640A2A"/>
    <w:rsid w:val="00641075"/>
    <w:rsid w:val="006419CC"/>
    <w:rsid w:val="006423FC"/>
    <w:rsid w:val="006429C6"/>
    <w:rsid w:val="006435E0"/>
    <w:rsid w:val="0064373D"/>
    <w:rsid w:val="006442B8"/>
    <w:rsid w:val="006448A0"/>
    <w:rsid w:val="00644AD9"/>
    <w:rsid w:val="00644D7E"/>
    <w:rsid w:val="00645290"/>
    <w:rsid w:val="00645542"/>
    <w:rsid w:val="00645677"/>
    <w:rsid w:val="00645720"/>
    <w:rsid w:val="0064666D"/>
    <w:rsid w:val="006467FF"/>
    <w:rsid w:val="006469CC"/>
    <w:rsid w:val="00646DDB"/>
    <w:rsid w:val="00646E39"/>
    <w:rsid w:val="0065035A"/>
    <w:rsid w:val="006515F6"/>
    <w:rsid w:val="00652193"/>
    <w:rsid w:val="006523A9"/>
    <w:rsid w:val="006527F1"/>
    <w:rsid w:val="00652F49"/>
    <w:rsid w:val="00653C18"/>
    <w:rsid w:val="00653C49"/>
    <w:rsid w:val="00654926"/>
    <w:rsid w:val="00654CC7"/>
    <w:rsid w:val="00655112"/>
    <w:rsid w:val="006559D5"/>
    <w:rsid w:val="006566DA"/>
    <w:rsid w:val="006568DF"/>
    <w:rsid w:val="00656F67"/>
    <w:rsid w:val="00657A32"/>
    <w:rsid w:val="00657FEB"/>
    <w:rsid w:val="00660132"/>
    <w:rsid w:val="00660316"/>
    <w:rsid w:val="006603EB"/>
    <w:rsid w:val="006606CE"/>
    <w:rsid w:val="0066086B"/>
    <w:rsid w:val="00660B1F"/>
    <w:rsid w:val="006610F6"/>
    <w:rsid w:val="006617F8"/>
    <w:rsid w:val="0066190F"/>
    <w:rsid w:val="00661C1E"/>
    <w:rsid w:val="006635A8"/>
    <w:rsid w:val="006635CF"/>
    <w:rsid w:val="00663819"/>
    <w:rsid w:val="0066393A"/>
    <w:rsid w:val="00663B56"/>
    <w:rsid w:val="00664701"/>
    <w:rsid w:val="006647FB"/>
    <w:rsid w:val="006647FD"/>
    <w:rsid w:val="00664A3D"/>
    <w:rsid w:val="00664C22"/>
    <w:rsid w:val="00665604"/>
    <w:rsid w:val="00665791"/>
    <w:rsid w:val="00666327"/>
    <w:rsid w:val="0066648D"/>
    <w:rsid w:val="0066657F"/>
    <w:rsid w:val="00666B81"/>
    <w:rsid w:val="00666F59"/>
    <w:rsid w:val="00667722"/>
    <w:rsid w:val="006678BE"/>
    <w:rsid w:val="00667EB7"/>
    <w:rsid w:val="00670645"/>
    <w:rsid w:val="00670766"/>
    <w:rsid w:val="00671229"/>
    <w:rsid w:val="00672859"/>
    <w:rsid w:val="00672B5D"/>
    <w:rsid w:val="006736DB"/>
    <w:rsid w:val="006738D7"/>
    <w:rsid w:val="00673C09"/>
    <w:rsid w:val="00673DC1"/>
    <w:rsid w:val="0067427A"/>
    <w:rsid w:val="006744B1"/>
    <w:rsid w:val="00674563"/>
    <w:rsid w:val="00675D7A"/>
    <w:rsid w:val="0067622C"/>
    <w:rsid w:val="00676651"/>
    <w:rsid w:val="00676E9E"/>
    <w:rsid w:val="0067745A"/>
    <w:rsid w:val="00677A3A"/>
    <w:rsid w:val="00677C61"/>
    <w:rsid w:val="00680271"/>
    <w:rsid w:val="00680944"/>
    <w:rsid w:val="00680F3A"/>
    <w:rsid w:val="0068118F"/>
    <w:rsid w:val="00681849"/>
    <w:rsid w:val="00681EC5"/>
    <w:rsid w:val="006820B9"/>
    <w:rsid w:val="00682249"/>
    <w:rsid w:val="00682BBB"/>
    <w:rsid w:val="00682D16"/>
    <w:rsid w:val="0068307D"/>
    <w:rsid w:val="0068326A"/>
    <w:rsid w:val="006843CD"/>
    <w:rsid w:val="006844C2"/>
    <w:rsid w:val="00684796"/>
    <w:rsid w:val="006849B6"/>
    <w:rsid w:val="00684DF5"/>
    <w:rsid w:val="00684FAE"/>
    <w:rsid w:val="006855CB"/>
    <w:rsid w:val="006859B2"/>
    <w:rsid w:val="00685CF7"/>
    <w:rsid w:val="00685DB8"/>
    <w:rsid w:val="00685E55"/>
    <w:rsid w:val="00686165"/>
    <w:rsid w:val="00686709"/>
    <w:rsid w:val="0068682A"/>
    <w:rsid w:val="006869FD"/>
    <w:rsid w:val="00686D0D"/>
    <w:rsid w:val="006871A2"/>
    <w:rsid w:val="00687CC8"/>
    <w:rsid w:val="00687FB3"/>
    <w:rsid w:val="00690AC6"/>
    <w:rsid w:val="00690BC2"/>
    <w:rsid w:val="00691840"/>
    <w:rsid w:val="00691C4B"/>
    <w:rsid w:val="00691CB5"/>
    <w:rsid w:val="00691F5F"/>
    <w:rsid w:val="006923DF"/>
    <w:rsid w:val="006928D3"/>
    <w:rsid w:val="00692C19"/>
    <w:rsid w:val="00692EC8"/>
    <w:rsid w:val="0069322F"/>
    <w:rsid w:val="00693348"/>
    <w:rsid w:val="006938E1"/>
    <w:rsid w:val="00693DCB"/>
    <w:rsid w:val="0069438B"/>
    <w:rsid w:val="00694635"/>
    <w:rsid w:val="006946A2"/>
    <w:rsid w:val="00694711"/>
    <w:rsid w:val="00694762"/>
    <w:rsid w:val="00695873"/>
    <w:rsid w:val="00695C3D"/>
    <w:rsid w:val="006966B7"/>
    <w:rsid w:val="00696C68"/>
    <w:rsid w:val="00696D33"/>
    <w:rsid w:val="00697400"/>
    <w:rsid w:val="00697B9F"/>
    <w:rsid w:val="00697CE3"/>
    <w:rsid w:val="006A04DF"/>
    <w:rsid w:val="006A0813"/>
    <w:rsid w:val="006A0D79"/>
    <w:rsid w:val="006A1432"/>
    <w:rsid w:val="006A1CD2"/>
    <w:rsid w:val="006A1E57"/>
    <w:rsid w:val="006A20DE"/>
    <w:rsid w:val="006A21E5"/>
    <w:rsid w:val="006A2906"/>
    <w:rsid w:val="006A3364"/>
    <w:rsid w:val="006A37F5"/>
    <w:rsid w:val="006A39AD"/>
    <w:rsid w:val="006A3EE6"/>
    <w:rsid w:val="006A3F3F"/>
    <w:rsid w:val="006A3F49"/>
    <w:rsid w:val="006A44BB"/>
    <w:rsid w:val="006A44F2"/>
    <w:rsid w:val="006A4743"/>
    <w:rsid w:val="006A4C15"/>
    <w:rsid w:val="006A5341"/>
    <w:rsid w:val="006A593A"/>
    <w:rsid w:val="006A5EC7"/>
    <w:rsid w:val="006A6F18"/>
    <w:rsid w:val="006A74C7"/>
    <w:rsid w:val="006A7937"/>
    <w:rsid w:val="006A79F4"/>
    <w:rsid w:val="006A7D3B"/>
    <w:rsid w:val="006B0202"/>
    <w:rsid w:val="006B0287"/>
    <w:rsid w:val="006B049E"/>
    <w:rsid w:val="006B0BA2"/>
    <w:rsid w:val="006B132F"/>
    <w:rsid w:val="006B2038"/>
    <w:rsid w:val="006B2098"/>
    <w:rsid w:val="006B27F2"/>
    <w:rsid w:val="006B388F"/>
    <w:rsid w:val="006B38FF"/>
    <w:rsid w:val="006B3D6E"/>
    <w:rsid w:val="006B3E3A"/>
    <w:rsid w:val="006B454E"/>
    <w:rsid w:val="006B4627"/>
    <w:rsid w:val="006B4758"/>
    <w:rsid w:val="006B47D2"/>
    <w:rsid w:val="006B4E07"/>
    <w:rsid w:val="006B695A"/>
    <w:rsid w:val="006B6AE4"/>
    <w:rsid w:val="006B6BE7"/>
    <w:rsid w:val="006B6E1D"/>
    <w:rsid w:val="006B7362"/>
    <w:rsid w:val="006B7964"/>
    <w:rsid w:val="006C004F"/>
    <w:rsid w:val="006C023D"/>
    <w:rsid w:val="006C03DC"/>
    <w:rsid w:val="006C1509"/>
    <w:rsid w:val="006C1892"/>
    <w:rsid w:val="006C1967"/>
    <w:rsid w:val="006C1EF4"/>
    <w:rsid w:val="006C2278"/>
    <w:rsid w:val="006C2334"/>
    <w:rsid w:val="006C2352"/>
    <w:rsid w:val="006C24E8"/>
    <w:rsid w:val="006C2509"/>
    <w:rsid w:val="006C29C6"/>
    <w:rsid w:val="006C2BC8"/>
    <w:rsid w:val="006C31A2"/>
    <w:rsid w:val="006C35FB"/>
    <w:rsid w:val="006C360C"/>
    <w:rsid w:val="006C3A9B"/>
    <w:rsid w:val="006C3AA1"/>
    <w:rsid w:val="006C3B6F"/>
    <w:rsid w:val="006C3C89"/>
    <w:rsid w:val="006C3F8A"/>
    <w:rsid w:val="006C485A"/>
    <w:rsid w:val="006C4B0C"/>
    <w:rsid w:val="006C4D75"/>
    <w:rsid w:val="006C55DE"/>
    <w:rsid w:val="006C592A"/>
    <w:rsid w:val="006C5B73"/>
    <w:rsid w:val="006C645D"/>
    <w:rsid w:val="006C6666"/>
    <w:rsid w:val="006C68FB"/>
    <w:rsid w:val="006C72EA"/>
    <w:rsid w:val="006C74DE"/>
    <w:rsid w:val="006C7512"/>
    <w:rsid w:val="006D03D0"/>
    <w:rsid w:val="006D0EC5"/>
    <w:rsid w:val="006D1163"/>
    <w:rsid w:val="006D1745"/>
    <w:rsid w:val="006D1808"/>
    <w:rsid w:val="006D1A34"/>
    <w:rsid w:val="006D1B13"/>
    <w:rsid w:val="006D293B"/>
    <w:rsid w:val="006D33B6"/>
    <w:rsid w:val="006D34D3"/>
    <w:rsid w:val="006D3531"/>
    <w:rsid w:val="006D4491"/>
    <w:rsid w:val="006D4B49"/>
    <w:rsid w:val="006D5150"/>
    <w:rsid w:val="006D60A7"/>
    <w:rsid w:val="006D61F9"/>
    <w:rsid w:val="006D6305"/>
    <w:rsid w:val="006D6924"/>
    <w:rsid w:val="006D728A"/>
    <w:rsid w:val="006D7455"/>
    <w:rsid w:val="006D7611"/>
    <w:rsid w:val="006D76D7"/>
    <w:rsid w:val="006D7EA0"/>
    <w:rsid w:val="006E0530"/>
    <w:rsid w:val="006E09D8"/>
    <w:rsid w:val="006E18C4"/>
    <w:rsid w:val="006E1A81"/>
    <w:rsid w:val="006E2ABB"/>
    <w:rsid w:val="006E2D2A"/>
    <w:rsid w:val="006E2D5C"/>
    <w:rsid w:val="006E370D"/>
    <w:rsid w:val="006E383D"/>
    <w:rsid w:val="006E3CC3"/>
    <w:rsid w:val="006E4AD4"/>
    <w:rsid w:val="006E4B08"/>
    <w:rsid w:val="006E4CFF"/>
    <w:rsid w:val="006E4DAE"/>
    <w:rsid w:val="006E52D9"/>
    <w:rsid w:val="006E548B"/>
    <w:rsid w:val="006E60AD"/>
    <w:rsid w:val="006E6D0A"/>
    <w:rsid w:val="006E71E1"/>
    <w:rsid w:val="006E7DF9"/>
    <w:rsid w:val="006E7F25"/>
    <w:rsid w:val="006F070B"/>
    <w:rsid w:val="006F086C"/>
    <w:rsid w:val="006F09A5"/>
    <w:rsid w:val="006F0EA2"/>
    <w:rsid w:val="006F1440"/>
    <w:rsid w:val="006F1537"/>
    <w:rsid w:val="006F1E38"/>
    <w:rsid w:val="006F2301"/>
    <w:rsid w:val="006F2909"/>
    <w:rsid w:val="006F2B4B"/>
    <w:rsid w:val="006F2FD6"/>
    <w:rsid w:val="006F36A3"/>
    <w:rsid w:val="006F3AD2"/>
    <w:rsid w:val="006F3BF4"/>
    <w:rsid w:val="006F45C6"/>
    <w:rsid w:val="006F4A80"/>
    <w:rsid w:val="006F4BF9"/>
    <w:rsid w:val="006F4F18"/>
    <w:rsid w:val="006F530D"/>
    <w:rsid w:val="006F5753"/>
    <w:rsid w:val="006F5DA1"/>
    <w:rsid w:val="006F7149"/>
    <w:rsid w:val="006F7970"/>
    <w:rsid w:val="006F7B89"/>
    <w:rsid w:val="006F7C4C"/>
    <w:rsid w:val="006F7E0E"/>
    <w:rsid w:val="00700300"/>
    <w:rsid w:val="007006FE"/>
    <w:rsid w:val="007008DD"/>
    <w:rsid w:val="00700A03"/>
    <w:rsid w:val="00700FD6"/>
    <w:rsid w:val="00701826"/>
    <w:rsid w:val="00701C46"/>
    <w:rsid w:val="00702468"/>
    <w:rsid w:val="00702A6A"/>
    <w:rsid w:val="00703995"/>
    <w:rsid w:val="0070429A"/>
    <w:rsid w:val="00704C0B"/>
    <w:rsid w:val="0070515C"/>
    <w:rsid w:val="007053BB"/>
    <w:rsid w:val="007054A2"/>
    <w:rsid w:val="00705BE4"/>
    <w:rsid w:val="007068C9"/>
    <w:rsid w:val="00706DBB"/>
    <w:rsid w:val="00706E8E"/>
    <w:rsid w:val="00707083"/>
    <w:rsid w:val="007103D2"/>
    <w:rsid w:val="00710502"/>
    <w:rsid w:val="007106E8"/>
    <w:rsid w:val="0071072D"/>
    <w:rsid w:val="00710851"/>
    <w:rsid w:val="007108DD"/>
    <w:rsid w:val="0071097F"/>
    <w:rsid w:val="00711340"/>
    <w:rsid w:val="0071138C"/>
    <w:rsid w:val="00711CCF"/>
    <w:rsid w:val="00711E1E"/>
    <w:rsid w:val="00712543"/>
    <w:rsid w:val="007129B3"/>
    <w:rsid w:val="007129F8"/>
    <w:rsid w:val="00712DE9"/>
    <w:rsid w:val="00712F3A"/>
    <w:rsid w:val="007138EA"/>
    <w:rsid w:val="00713B2F"/>
    <w:rsid w:val="00713B81"/>
    <w:rsid w:val="0071418A"/>
    <w:rsid w:val="00714665"/>
    <w:rsid w:val="00714B05"/>
    <w:rsid w:val="00714C25"/>
    <w:rsid w:val="00714EB2"/>
    <w:rsid w:val="007152C3"/>
    <w:rsid w:val="0071532E"/>
    <w:rsid w:val="007158EC"/>
    <w:rsid w:val="00716D5C"/>
    <w:rsid w:val="00716FF9"/>
    <w:rsid w:val="007170BE"/>
    <w:rsid w:val="00717892"/>
    <w:rsid w:val="00717B65"/>
    <w:rsid w:val="00717C54"/>
    <w:rsid w:val="007205E0"/>
    <w:rsid w:val="00720650"/>
    <w:rsid w:val="00720ADE"/>
    <w:rsid w:val="00720C06"/>
    <w:rsid w:val="00721107"/>
    <w:rsid w:val="007211E8"/>
    <w:rsid w:val="007219D2"/>
    <w:rsid w:val="00721D28"/>
    <w:rsid w:val="00722974"/>
    <w:rsid w:val="00722B53"/>
    <w:rsid w:val="00722D27"/>
    <w:rsid w:val="00722E56"/>
    <w:rsid w:val="00723133"/>
    <w:rsid w:val="00723578"/>
    <w:rsid w:val="00723627"/>
    <w:rsid w:val="00723DDF"/>
    <w:rsid w:val="00723F7F"/>
    <w:rsid w:val="007245A6"/>
    <w:rsid w:val="00724617"/>
    <w:rsid w:val="00724736"/>
    <w:rsid w:val="00724B88"/>
    <w:rsid w:val="00724EAD"/>
    <w:rsid w:val="00725109"/>
    <w:rsid w:val="007252A7"/>
    <w:rsid w:val="007253CA"/>
    <w:rsid w:val="00726504"/>
    <w:rsid w:val="007271A2"/>
    <w:rsid w:val="00730060"/>
    <w:rsid w:val="007306EE"/>
    <w:rsid w:val="0073076F"/>
    <w:rsid w:val="00730979"/>
    <w:rsid w:val="00730D78"/>
    <w:rsid w:val="007312F1"/>
    <w:rsid w:val="00731872"/>
    <w:rsid w:val="0073195A"/>
    <w:rsid w:val="00731D68"/>
    <w:rsid w:val="007329C6"/>
    <w:rsid w:val="00732CA9"/>
    <w:rsid w:val="0073301B"/>
    <w:rsid w:val="007338F1"/>
    <w:rsid w:val="00733B61"/>
    <w:rsid w:val="00733FA0"/>
    <w:rsid w:val="0073459E"/>
    <w:rsid w:val="00734BF8"/>
    <w:rsid w:val="00734D67"/>
    <w:rsid w:val="00735047"/>
    <w:rsid w:val="007356A8"/>
    <w:rsid w:val="00735D04"/>
    <w:rsid w:val="00735D4E"/>
    <w:rsid w:val="007361D4"/>
    <w:rsid w:val="00736520"/>
    <w:rsid w:val="007365E6"/>
    <w:rsid w:val="00736611"/>
    <w:rsid w:val="0073763D"/>
    <w:rsid w:val="0073799D"/>
    <w:rsid w:val="00737A95"/>
    <w:rsid w:val="00740676"/>
    <w:rsid w:val="00740D6F"/>
    <w:rsid w:val="00741278"/>
    <w:rsid w:val="007412D7"/>
    <w:rsid w:val="00741E6E"/>
    <w:rsid w:val="00742366"/>
    <w:rsid w:val="007429AC"/>
    <w:rsid w:val="00742CF4"/>
    <w:rsid w:val="00742F37"/>
    <w:rsid w:val="007435E9"/>
    <w:rsid w:val="00744484"/>
    <w:rsid w:val="00745104"/>
    <w:rsid w:val="00745382"/>
    <w:rsid w:val="007454B2"/>
    <w:rsid w:val="007455F5"/>
    <w:rsid w:val="00745E19"/>
    <w:rsid w:val="00745E4D"/>
    <w:rsid w:val="007461D2"/>
    <w:rsid w:val="007463F5"/>
    <w:rsid w:val="00747692"/>
    <w:rsid w:val="007479CE"/>
    <w:rsid w:val="00747C4E"/>
    <w:rsid w:val="0075009E"/>
    <w:rsid w:val="007500FC"/>
    <w:rsid w:val="007509DD"/>
    <w:rsid w:val="00750A45"/>
    <w:rsid w:val="00750C6D"/>
    <w:rsid w:val="00751740"/>
    <w:rsid w:val="007520D2"/>
    <w:rsid w:val="00752247"/>
    <w:rsid w:val="007530F4"/>
    <w:rsid w:val="00753294"/>
    <w:rsid w:val="0075380B"/>
    <w:rsid w:val="0075406B"/>
    <w:rsid w:val="0075406C"/>
    <w:rsid w:val="007540BA"/>
    <w:rsid w:val="0075425B"/>
    <w:rsid w:val="00754A8B"/>
    <w:rsid w:val="007550FC"/>
    <w:rsid w:val="007553B1"/>
    <w:rsid w:val="007556F2"/>
    <w:rsid w:val="00755905"/>
    <w:rsid w:val="00755F72"/>
    <w:rsid w:val="00756801"/>
    <w:rsid w:val="00756E3E"/>
    <w:rsid w:val="0075717B"/>
    <w:rsid w:val="00757548"/>
    <w:rsid w:val="00757FB1"/>
    <w:rsid w:val="0076027B"/>
    <w:rsid w:val="00760794"/>
    <w:rsid w:val="007607A4"/>
    <w:rsid w:val="00760870"/>
    <w:rsid w:val="0076110A"/>
    <w:rsid w:val="00761298"/>
    <w:rsid w:val="007614BF"/>
    <w:rsid w:val="0076174C"/>
    <w:rsid w:val="00762052"/>
    <w:rsid w:val="00762501"/>
    <w:rsid w:val="007625C7"/>
    <w:rsid w:val="007628B9"/>
    <w:rsid w:val="00762AE8"/>
    <w:rsid w:val="00762CEA"/>
    <w:rsid w:val="00762DB9"/>
    <w:rsid w:val="00762ED1"/>
    <w:rsid w:val="00762FCC"/>
    <w:rsid w:val="00763360"/>
    <w:rsid w:val="00763474"/>
    <w:rsid w:val="0076364F"/>
    <w:rsid w:val="00763960"/>
    <w:rsid w:val="00763D37"/>
    <w:rsid w:val="00764654"/>
    <w:rsid w:val="00764D72"/>
    <w:rsid w:val="00764D7E"/>
    <w:rsid w:val="0076537B"/>
    <w:rsid w:val="00765689"/>
    <w:rsid w:val="0076568C"/>
    <w:rsid w:val="00765A92"/>
    <w:rsid w:val="00766184"/>
    <w:rsid w:val="00766616"/>
    <w:rsid w:val="00766A67"/>
    <w:rsid w:val="00766DC6"/>
    <w:rsid w:val="00766DDC"/>
    <w:rsid w:val="00766F2D"/>
    <w:rsid w:val="0076797A"/>
    <w:rsid w:val="00770027"/>
    <w:rsid w:val="007701FE"/>
    <w:rsid w:val="00770942"/>
    <w:rsid w:val="0077098F"/>
    <w:rsid w:val="00770A68"/>
    <w:rsid w:val="00770D17"/>
    <w:rsid w:val="0077126F"/>
    <w:rsid w:val="00771960"/>
    <w:rsid w:val="0077225C"/>
    <w:rsid w:val="007724E2"/>
    <w:rsid w:val="007729B7"/>
    <w:rsid w:val="0077301D"/>
    <w:rsid w:val="00773030"/>
    <w:rsid w:val="00773461"/>
    <w:rsid w:val="00773CB5"/>
    <w:rsid w:val="00773ED2"/>
    <w:rsid w:val="00774849"/>
    <w:rsid w:val="00774CFA"/>
    <w:rsid w:val="007756B5"/>
    <w:rsid w:val="00775AF0"/>
    <w:rsid w:val="00775D02"/>
    <w:rsid w:val="00776086"/>
    <w:rsid w:val="00776DA1"/>
    <w:rsid w:val="00777FDC"/>
    <w:rsid w:val="00780081"/>
    <w:rsid w:val="00780391"/>
    <w:rsid w:val="00780FC1"/>
    <w:rsid w:val="0078115A"/>
    <w:rsid w:val="00781311"/>
    <w:rsid w:val="00781957"/>
    <w:rsid w:val="007819C5"/>
    <w:rsid w:val="00781F38"/>
    <w:rsid w:val="00781FC1"/>
    <w:rsid w:val="007821D8"/>
    <w:rsid w:val="0078257B"/>
    <w:rsid w:val="00782D0F"/>
    <w:rsid w:val="00782E75"/>
    <w:rsid w:val="00783044"/>
    <w:rsid w:val="00783751"/>
    <w:rsid w:val="00783B23"/>
    <w:rsid w:val="00783BAF"/>
    <w:rsid w:val="00783D75"/>
    <w:rsid w:val="00783D9A"/>
    <w:rsid w:val="0078425A"/>
    <w:rsid w:val="007847A9"/>
    <w:rsid w:val="00784838"/>
    <w:rsid w:val="00784885"/>
    <w:rsid w:val="00784C0A"/>
    <w:rsid w:val="00785107"/>
    <w:rsid w:val="007852F6"/>
    <w:rsid w:val="0078747F"/>
    <w:rsid w:val="007876F5"/>
    <w:rsid w:val="00787B09"/>
    <w:rsid w:val="00787E84"/>
    <w:rsid w:val="00787F14"/>
    <w:rsid w:val="007908DB"/>
    <w:rsid w:val="00790F67"/>
    <w:rsid w:val="007910C7"/>
    <w:rsid w:val="00791703"/>
    <w:rsid w:val="00791705"/>
    <w:rsid w:val="007917FA"/>
    <w:rsid w:val="00791862"/>
    <w:rsid w:val="00791AC2"/>
    <w:rsid w:val="00792A1F"/>
    <w:rsid w:val="00792B2A"/>
    <w:rsid w:val="007930EE"/>
    <w:rsid w:val="00793275"/>
    <w:rsid w:val="00793AFD"/>
    <w:rsid w:val="00794305"/>
    <w:rsid w:val="007945A9"/>
    <w:rsid w:val="00794B40"/>
    <w:rsid w:val="00794F65"/>
    <w:rsid w:val="007966A9"/>
    <w:rsid w:val="00796807"/>
    <w:rsid w:val="00796B2F"/>
    <w:rsid w:val="00796D9D"/>
    <w:rsid w:val="00796E26"/>
    <w:rsid w:val="00797720"/>
    <w:rsid w:val="00797814"/>
    <w:rsid w:val="007A05B0"/>
    <w:rsid w:val="007A0AAA"/>
    <w:rsid w:val="007A0ACB"/>
    <w:rsid w:val="007A0F21"/>
    <w:rsid w:val="007A1079"/>
    <w:rsid w:val="007A114B"/>
    <w:rsid w:val="007A1374"/>
    <w:rsid w:val="007A185A"/>
    <w:rsid w:val="007A1CF7"/>
    <w:rsid w:val="007A1E98"/>
    <w:rsid w:val="007A2927"/>
    <w:rsid w:val="007A31D4"/>
    <w:rsid w:val="007A3830"/>
    <w:rsid w:val="007A3871"/>
    <w:rsid w:val="007A3F49"/>
    <w:rsid w:val="007A4176"/>
    <w:rsid w:val="007A4347"/>
    <w:rsid w:val="007A438E"/>
    <w:rsid w:val="007A449E"/>
    <w:rsid w:val="007A4FB6"/>
    <w:rsid w:val="007A5640"/>
    <w:rsid w:val="007A57B6"/>
    <w:rsid w:val="007A6255"/>
    <w:rsid w:val="007A73D8"/>
    <w:rsid w:val="007B02C0"/>
    <w:rsid w:val="007B03D4"/>
    <w:rsid w:val="007B06F0"/>
    <w:rsid w:val="007B0B15"/>
    <w:rsid w:val="007B10E8"/>
    <w:rsid w:val="007B1D21"/>
    <w:rsid w:val="007B1EE4"/>
    <w:rsid w:val="007B2171"/>
    <w:rsid w:val="007B22EA"/>
    <w:rsid w:val="007B25C4"/>
    <w:rsid w:val="007B2677"/>
    <w:rsid w:val="007B28E3"/>
    <w:rsid w:val="007B2B54"/>
    <w:rsid w:val="007B2C10"/>
    <w:rsid w:val="007B356B"/>
    <w:rsid w:val="007B359C"/>
    <w:rsid w:val="007B4214"/>
    <w:rsid w:val="007B4298"/>
    <w:rsid w:val="007B4AAC"/>
    <w:rsid w:val="007B4DD8"/>
    <w:rsid w:val="007B4F2D"/>
    <w:rsid w:val="007B50E1"/>
    <w:rsid w:val="007B5138"/>
    <w:rsid w:val="007B519B"/>
    <w:rsid w:val="007B5211"/>
    <w:rsid w:val="007B5509"/>
    <w:rsid w:val="007B5C23"/>
    <w:rsid w:val="007B6028"/>
    <w:rsid w:val="007B6BC5"/>
    <w:rsid w:val="007B6F96"/>
    <w:rsid w:val="007B751B"/>
    <w:rsid w:val="007B76AB"/>
    <w:rsid w:val="007B77E2"/>
    <w:rsid w:val="007C00EA"/>
    <w:rsid w:val="007C045A"/>
    <w:rsid w:val="007C0525"/>
    <w:rsid w:val="007C09AE"/>
    <w:rsid w:val="007C1437"/>
    <w:rsid w:val="007C16C2"/>
    <w:rsid w:val="007C16C9"/>
    <w:rsid w:val="007C241B"/>
    <w:rsid w:val="007C245A"/>
    <w:rsid w:val="007C2520"/>
    <w:rsid w:val="007C255E"/>
    <w:rsid w:val="007C2F8D"/>
    <w:rsid w:val="007C344E"/>
    <w:rsid w:val="007C3D5D"/>
    <w:rsid w:val="007C3E43"/>
    <w:rsid w:val="007C4344"/>
    <w:rsid w:val="007C4551"/>
    <w:rsid w:val="007C4BDF"/>
    <w:rsid w:val="007C515C"/>
    <w:rsid w:val="007C51C9"/>
    <w:rsid w:val="007C5498"/>
    <w:rsid w:val="007C55B4"/>
    <w:rsid w:val="007C5D08"/>
    <w:rsid w:val="007C60B9"/>
    <w:rsid w:val="007C6D6B"/>
    <w:rsid w:val="007C7A22"/>
    <w:rsid w:val="007D07F3"/>
    <w:rsid w:val="007D09AC"/>
    <w:rsid w:val="007D0D8E"/>
    <w:rsid w:val="007D1422"/>
    <w:rsid w:val="007D1D02"/>
    <w:rsid w:val="007D2284"/>
    <w:rsid w:val="007D254C"/>
    <w:rsid w:val="007D328C"/>
    <w:rsid w:val="007D3430"/>
    <w:rsid w:val="007D34B9"/>
    <w:rsid w:val="007D3748"/>
    <w:rsid w:val="007D482A"/>
    <w:rsid w:val="007D48FA"/>
    <w:rsid w:val="007D4EF0"/>
    <w:rsid w:val="007D4F14"/>
    <w:rsid w:val="007D530E"/>
    <w:rsid w:val="007D587F"/>
    <w:rsid w:val="007D592B"/>
    <w:rsid w:val="007D5AA6"/>
    <w:rsid w:val="007D5ABB"/>
    <w:rsid w:val="007D6349"/>
    <w:rsid w:val="007D67E6"/>
    <w:rsid w:val="007D6E47"/>
    <w:rsid w:val="007D7982"/>
    <w:rsid w:val="007D7A91"/>
    <w:rsid w:val="007D7B8C"/>
    <w:rsid w:val="007D7E54"/>
    <w:rsid w:val="007E0461"/>
    <w:rsid w:val="007E0728"/>
    <w:rsid w:val="007E0E1E"/>
    <w:rsid w:val="007E1257"/>
    <w:rsid w:val="007E14CD"/>
    <w:rsid w:val="007E14F9"/>
    <w:rsid w:val="007E1D3A"/>
    <w:rsid w:val="007E2F63"/>
    <w:rsid w:val="007E327A"/>
    <w:rsid w:val="007E4B79"/>
    <w:rsid w:val="007E4B87"/>
    <w:rsid w:val="007E4BD3"/>
    <w:rsid w:val="007E4DFA"/>
    <w:rsid w:val="007E519A"/>
    <w:rsid w:val="007E54AA"/>
    <w:rsid w:val="007E5771"/>
    <w:rsid w:val="007E5BFA"/>
    <w:rsid w:val="007E61CB"/>
    <w:rsid w:val="007E6456"/>
    <w:rsid w:val="007E68FE"/>
    <w:rsid w:val="007E783B"/>
    <w:rsid w:val="007E7B1A"/>
    <w:rsid w:val="007F03E0"/>
    <w:rsid w:val="007F0455"/>
    <w:rsid w:val="007F114A"/>
    <w:rsid w:val="007F1178"/>
    <w:rsid w:val="007F1579"/>
    <w:rsid w:val="007F2721"/>
    <w:rsid w:val="007F27C1"/>
    <w:rsid w:val="007F2ADC"/>
    <w:rsid w:val="007F2C84"/>
    <w:rsid w:val="007F2FF3"/>
    <w:rsid w:val="007F31C9"/>
    <w:rsid w:val="007F37A5"/>
    <w:rsid w:val="007F3C22"/>
    <w:rsid w:val="007F4A26"/>
    <w:rsid w:val="007F4D8C"/>
    <w:rsid w:val="007F4F7E"/>
    <w:rsid w:val="007F5246"/>
    <w:rsid w:val="007F5271"/>
    <w:rsid w:val="007F55AD"/>
    <w:rsid w:val="007F5B47"/>
    <w:rsid w:val="007F679B"/>
    <w:rsid w:val="007F6EE5"/>
    <w:rsid w:val="007F7F37"/>
    <w:rsid w:val="00801006"/>
    <w:rsid w:val="0080166D"/>
    <w:rsid w:val="00801FCB"/>
    <w:rsid w:val="008021FF"/>
    <w:rsid w:val="0080238B"/>
    <w:rsid w:val="00802399"/>
    <w:rsid w:val="008024DC"/>
    <w:rsid w:val="008028C1"/>
    <w:rsid w:val="008028F1"/>
    <w:rsid w:val="00803954"/>
    <w:rsid w:val="00803A0D"/>
    <w:rsid w:val="00803A2D"/>
    <w:rsid w:val="00803BDB"/>
    <w:rsid w:val="00803F9A"/>
    <w:rsid w:val="00804B3B"/>
    <w:rsid w:val="00804F77"/>
    <w:rsid w:val="0080509F"/>
    <w:rsid w:val="008050D9"/>
    <w:rsid w:val="00805211"/>
    <w:rsid w:val="0080591D"/>
    <w:rsid w:val="00805FBF"/>
    <w:rsid w:val="008063C2"/>
    <w:rsid w:val="00806B42"/>
    <w:rsid w:val="00807216"/>
    <w:rsid w:val="00807F0C"/>
    <w:rsid w:val="0081057E"/>
    <w:rsid w:val="008106EF"/>
    <w:rsid w:val="008107E7"/>
    <w:rsid w:val="0081189B"/>
    <w:rsid w:val="00811943"/>
    <w:rsid w:val="00811D47"/>
    <w:rsid w:val="00811D5E"/>
    <w:rsid w:val="0081204C"/>
    <w:rsid w:val="008124CF"/>
    <w:rsid w:val="00812818"/>
    <w:rsid w:val="00812EC0"/>
    <w:rsid w:val="00813269"/>
    <w:rsid w:val="00813960"/>
    <w:rsid w:val="00813FC1"/>
    <w:rsid w:val="008141AB"/>
    <w:rsid w:val="0081451A"/>
    <w:rsid w:val="00815C81"/>
    <w:rsid w:val="00815D53"/>
    <w:rsid w:val="00816872"/>
    <w:rsid w:val="00816DF6"/>
    <w:rsid w:val="00816EB3"/>
    <w:rsid w:val="0081735D"/>
    <w:rsid w:val="008178B6"/>
    <w:rsid w:val="00817DE7"/>
    <w:rsid w:val="008202A2"/>
    <w:rsid w:val="008209BB"/>
    <w:rsid w:val="008210B2"/>
    <w:rsid w:val="00821B00"/>
    <w:rsid w:val="00822304"/>
    <w:rsid w:val="00822451"/>
    <w:rsid w:val="008229D2"/>
    <w:rsid w:val="008229F4"/>
    <w:rsid w:val="008230FF"/>
    <w:rsid w:val="00824036"/>
    <w:rsid w:val="0082441A"/>
    <w:rsid w:val="00824613"/>
    <w:rsid w:val="008248F3"/>
    <w:rsid w:val="00824BCA"/>
    <w:rsid w:val="00824F71"/>
    <w:rsid w:val="00824FDA"/>
    <w:rsid w:val="00825A28"/>
    <w:rsid w:val="00826BD2"/>
    <w:rsid w:val="00826D9A"/>
    <w:rsid w:val="008278C0"/>
    <w:rsid w:val="00827ACF"/>
    <w:rsid w:val="00827CDF"/>
    <w:rsid w:val="00827D5E"/>
    <w:rsid w:val="00830129"/>
    <w:rsid w:val="0083050C"/>
    <w:rsid w:val="008309FA"/>
    <w:rsid w:val="00830D7D"/>
    <w:rsid w:val="008311B8"/>
    <w:rsid w:val="00831E1B"/>
    <w:rsid w:val="0083232D"/>
    <w:rsid w:val="00832CEF"/>
    <w:rsid w:val="00833F44"/>
    <w:rsid w:val="00834243"/>
    <w:rsid w:val="00834266"/>
    <w:rsid w:val="00834749"/>
    <w:rsid w:val="00834872"/>
    <w:rsid w:val="008349FD"/>
    <w:rsid w:val="00834CDF"/>
    <w:rsid w:val="0083518D"/>
    <w:rsid w:val="008352CA"/>
    <w:rsid w:val="00835327"/>
    <w:rsid w:val="00835390"/>
    <w:rsid w:val="00835C62"/>
    <w:rsid w:val="00836762"/>
    <w:rsid w:val="008374C4"/>
    <w:rsid w:val="0083781D"/>
    <w:rsid w:val="008379DE"/>
    <w:rsid w:val="008407A3"/>
    <w:rsid w:val="008409FC"/>
    <w:rsid w:val="00840C70"/>
    <w:rsid w:val="00840F6B"/>
    <w:rsid w:val="00841417"/>
    <w:rsid w:val="00841B3A"/>
    <w:rsid w:val="00841EF8"/>
    <w:rsid w:val="0084207B"/>
    <w:rsid w:val="008426F4"/>
    <w:rsid w:val="0084277B"/>
    <w:rsid w:val="00842E05"/>
    <w:rsid w:val="00842F82"/>
    <w:rsid w:val="00842FAD"/>
    <w:rsid w:val="008430A5"/>
    <w:rsid w:val="00843323"/>
    <w:rsid w:val="0084348A"/>
    <w:rsid w:val="0084447C"/>
    <w:rsid w:val="008454A0"/>
    <w:rsid w:val="00846204"/>
    <w:rsid w:val="00846428"/>
    <w:rsid w:val="00846687"/>
    <w:rsid w:val="00846AEC"/>
    <w:rsid w:val="00846BF3"/>
    <w:rsid w:val="00846EAB"/>
    <w:rsid w:val="00846F91"/>
    <w:rsid w:val="00847073"/>
    <w:rsid w:val="00847902"/>
    <w:rsid w:val="00847CFA"/>
    <w:rsid w:val="0085069E"/>
    <w:rsid w:val="008506FE"/>
    <w:rsid w:val="00850FC5"/>
    <w:rsid w:val="008510A5"/>
    <w:rsid w:val="008512A5"/>
    <w:rsid w:val="00851485"/>
    <w:rsid w:val="00851595"/>
    <w:rsid w:val="00851C5D"/>
    <w:rsid w:val="00851E60"/>
    <w:rsid w:val="008525E5"/>
    <w:rsid w:val="00852ACD"/>
    <w:rsid w:val="00852F76"/>
    <w:rsid w:val="00852FF9"/>
    <w:rsid w:val="00853130"/>
    <w:rsid w:val="008531DB"/>
    <w:rsid w:val="00854163"/>
    <w:rsid w:val="0085470F"/>
    <w:rsid w:val="00854D06"/>
    <w:rsid w:val="00854E60"/>
    <w:rsid w:val="00854F0B"/>
    <w:rsid w:val="0085572E"/>
    <w:rsid w:val="00855B04"/>
    <w:rsid w:val="00855BFB"/>
    <w:rsid w:val="0085638C"/>
    <w:rsid w:val="00856E47"/>
    <w:rsid w:val="0085766D"/>
    <w:rsid w:val="00857969"/>
    <w:rsid w:val="00857BC3"/>
    <w:rsid w:val="00857E75"/>
    <w:rsid w:val="00860B22"/>
    <w:rsid w:val="00860F6D"/>
    <w:rsid w:val="008621F3"/>
    <w:rsid w:val="00862371"/>
    <w:rsid w:val="0086297D"/>
    <w:rsid w:val="00862ECE"/>
    <w:rsid w:val="00863164"/>
    <w:rsid w:val="008635EA"/>
    <w:rsid w:val="00863984"/>
    <w:rsid w:val="00863F20"/>
    <w:rsid w:val="00864D2F"/>
    <w:rsid w:val="00864FAB"/>
    <w:rsid w:val="00864FFB"/>
    <w:rsid w:val="008655FD"/>
    <w:rsid w:val="008657E3"/>
    <w:rsid w:val="00865DBA"/>
    <w:rsid w:val="00865DD7"/>
    <w:rsid w:val="00866E91"/>
    <w:rsid w:val="0086735C"/>
    <w:rsid w:val="00867CCD"/>
    <w:rsid w:val="008700B7"/>
    <w:rsid w:val="00870240"/>
    <w:rsid w:val="00870A49"/>
    <w:rsid w:val="00870A65"/>
    <w:rsid w:val="00870EDF"/>
    <w:rsid w:val="00870F62"/>
    <w:rsid w:val="00870F96"/>
    <w:rsid w:val="0087101C"/>
    <w:rsid w:val="008716A7"/>
    <w:rsid w:val="00871C8A"/>
    <w:rsid w:val="00871F68"/>
    <w:rsid w:val="00871FEF"/>
    <w:rsid w:val="008723FB"/>
    <w:rsid w:val="00872B73"/>
    <w:rsid w:val="00873ABF"/>
    <w:rsid w:val="00873B18"/>
    <w:rsid w:val="00873DB0"/>
    <w:rsid w:val="008743CA"/>
    <w:rsid w:val="00874705"/>
    <w:rsid w:val="00875A1C"/>
    <w:rsid w:val="00875C99"/>
    <w:rsid w:val="00876484"/>
    <w:rsid w:val="00876CD9"/>
    <w:rsid w:val="00877042"/>
    <w:rsid w:val="008771DC"/>
    <w:rsid w:val="00877B56"/>
    <w:rsid w:val="00877F2A"/>
    <w:rsid w:val="0088006F"/>
    <w:rsid w:val="00880313"/>
    <w:rsid w:val="00880750"/>
    <w:rsid w:val="00881572"/>
    <w:rsid w:val="00881A91"/>
    <w:rsid w:val="0088217A"/>
    <w:rsid w:val="00882259"/>
    <w:rsid w:val="00882A31"/>
    <w:rsid w:val="00882CC4"/>
    <w:rsid w:val="00882E74"/>
    <w:rsid w:val="008835A8"/>
    <w:rsid w:val="008844AC"/>
    <w:rsid w:val="0088473F"/>
    <w:rsid w:val="00885754"/>
    <w:rsid w:val="0088590F"/>
    <w:rsid w:val="00886E05"/>
    <w:rsid w:val="00887483"/>
    <w:rsid w:val="00887937"/>
    <w:rsid w:val="00887B33"/>
    <w:rsid w:val="0089069C"/>
    <w:rsid w:val="00890821"/>
    <w:rsid w:val="00890B49"/>
    <w:rsid w:val="0089113F"/>
    <w:rsid w:val="0089135C"/>
    <w:rsid w:val="00891F19"/>
    <w:rsid w:val="008920B6"/>
    <w:rsid w:val="008922EB"/>
    <w:rsid w:val="00892729"/>
    <w:rsid w:val="00892A21"/>
    <w:rsid w:val="00892AE3"/>
    <w:rsid w:val="008942D1"/>
    <w:rsid w:val="008948F0"/>
    <w:rsid w:val="008950B8"/>
    <w:rsid w:val="00895984"/>
    <w:rsid w:val="0089598E"/>
    <w:rsid w:val="00895CB5"/>
    <w:rsid w:val="008961C2"/>
    <w:rsid w:val="00896785"/>
    <w:rsid w:val="008968AB"/>
    <w:rsid w:val="00896B3B"/>
    <w:rsid w:val="00897996"/>
    <w:rsid w:val="00897DB4"/>
    <w:rsid w:val="00897F46"/>
    <w:rsid w:val="008A037C"/>
    <w:rsid w:val="008A0519"/>
    <w:rsid w:val="008A0657"/>
    <w:rsid w:val="008A0849"/>
    <w:rsid w:val="008A0B9A"/>
    <w:rsid w:val="008A0EA8"/>
    <w:rsid w:val="008A1A87"/>
    <w:rsid w:val="008A1D6E"/>
    <w:rsid w:val="008A20B7"/>
    <w:rsid w:val="008A2122"/>
    <w:rsid w:val="008A2C49"/>
    <w:rsid w:val="008A360D"/>
    <w:rsid w:val="008A3878"/>
    <w:rsid w:val="008A3D0B"/>
    <w:rsid w:val="008A41E4"/>
    <w:rsid w:val="008A478A"/>
    <w:rsid w:val="008A4B70"/>
    <w:rsid w:val="008A4D68"/>
    <w:rsid w:val="008A598F"/>
    <w:rsid w:val="008A5F57"/>
    <w:rsid w:val="008A61E4"/>
    <w:rsid w:val="008A7109"/>
    <w:rsid w:val="008A749A"/>
    <w:rsid w:val="008A74FE"/>
    <w:rsid w:val="008A7520"/>
    <w:rsid w:val="008A7DEB"/>
    <w:rsid w:val="008A7E28"/>
    <w:rsid w:val="008B01CE"/>
    <w:rsid w:val="008B020E"/>
    <w:rsid w:val="008B02FF"/>
    <w:rsid w:val="008B039D"/>
    <w:rsid w:val="008B03AE"/>
    <w:rsid w:val="008B04AA"/>
    <w:rsid w:val="008B0C0C"/>
    <w:rsid w:val="008B0C87"/>
    <w:rsid w:val="008B1C98"/>
    <w:rsid w:val="008B1D8B"/>
    <w:rsid w:val="008B21DA"/>
    <w:rsid w:val="008B282D"/>
    <w:rsid w:val="008B2C07"/>
    <w:rsid w:val="008B2CC5"/>
    <w:rsid w:val="008B3331"/>
    <w:rsid w:val="008B3823"/>
    <w:rsid w:val="008B38AB"/>
    <w:rsid w:val="008B39C7"/>
    <w:rsid w:val="008B3A0D"/>
    <w:rsid w:val="008B3D17"/>
    <w:rsid w:val="008B4EA4"/>
    <w:rsid w:val="008B4FAB"/>
    <w:rsid w:val="008B5287"/>
    <w:rsid w:val="008B5571"/>
    <w:rsid w:val="008B5C71"/>
    <w:rsid w:val="008B5D7F"/>
    <w:rsid w:val="008B5E6C"/>
    <w:rsid w:val="008B6149"/>
    <w:rsid w:val="008B6286"/>
    <w:rsid w:val="008B71D8"/>
    <w:rsid w:val="008B7418"/>
    <w:rsid w:val="008B7530"/>
    <w:rsid w:val="008B79C7"/>
    <w:rsid w:val="008C01A9"/>
    <w:rsid w:val="008C03D3"/>
    <w:rsid w:val="008C0410"/>
    <w:rsid w:val="008C0505"/>
    <w:rsid w:val="008C06D3"/>
    <w:rsid w:val="008C0A67"/>
    <w:rsid w:val="008C0E7D"/>
    <w:rsid w:val="008C13D8"/>
    <w:rsid w:val="008C17D3"/>
    <w:rsid w:val="008C2078"/>
    <w:rsid w:val="008C292E"/>
    <w:rsid w:val="008C29AC"/>
    <w:rsid w:val="008C2BCC"/>
    <w:rsid w:val="008C2DCF"/>
    <w:rsid w:val="008C32AE"/>
    <w:rsid w:val="008C3DD4"/>
    <w:rsid w:val="008C448B"/>
    <w:rsid w:val="008C4ED3"/>
    <w:rsid w:val="008C58EB"/>
    <w:rsid w:val="008C60F3"/>
    <w:rsid w:val="008C64DE"/>
    <w:rsid w:val="008C673E"/>
    <w:rsid w:val="008C6D07"/>
    <w:rsid w:val="008C7F71"/>
    <w:rsid w:val="008D04DE"/>
    <w:rsid w:val="008D06D1"/>
    <w:rsid w:val="008D0B8C"/>
    <w:rsid w:val="008D1092"/>
    <w:rsid w:val="008D111C"/>
    <w:rsid w:val="008D25C0"/>
    <w:rsid w:val="008D339F"/>
    <w:rsid w:val="008D3D37"/>
    <w:rsid w:val="008D40E4"/>
    <w:rsid w:val="008D446B"/>
    <w:rsid w:val="008D449C"/>
    <w:rsid w:val="008D50DE"/>
    <w:rsid w:val="008D5161"/>
    <w:rsid w:val="008D517B"/>
    <w:rsid w:val="008D5384"/>
    <w:rsid w:val="008D5410"/>
    <w:rsid w:val="008D5A16"/>
    <w:rsid w:val="008D5D2E"/>
    <w:rsid w:val="008D6265"/>
    <w:rsid w:val="008D6D96"/>
    <w:rsid w:val="008D6F4F"/>
    <w:rsid w:val="008D76F3"/>
    <w:rsid w:val="008D7828"/>
    <w:rsid w:val="008D7AD6"/>
    <w:rsid w:val="008E06BB"/>
    <w:rsid w:val="008E08FA"/>
    <w:rsid w:val="008E1372"/>
    <w:rsid w:val="008E24D2"/>
    <w:rsid w:val="008E2662"/>
    <w:rsid w:val="008E3F78"/>
    <w:rsid w:val="008E47F9"/>
    <w:rsid w:val="008E4AFD"/>
    <w:rsid w:val="008E4D31"/>
    <w:rsid w:val="008E4E17"/>
    <w:rsid w:val="008E6273"/>
    <w:rsid w:val="008E6292"/>
    <w:rsid w:val="008E656A"/>
    <w:rsid w:val="008E69A8"/>
    <w:rsid w:val="008E6CF5"/>
    <w:rsid w:val="008E6F10"/>
    <w:rsid w:val="008E6FD4"/>
    <w:rsid w:val="008E71D6"/>
    <w:rsid w:val="008E79C4"/>
    <w:rsid w:val="008F044D"/>
    <w:rsid w:val="008F0DD8"/>
    <w:rsid w:val="008F0DEB"/>
    <w:rsid w:val="008F0F4F"/>
    <w:rsid w:val="008F11E4"/>
    <w:rsid w:val="008F12DE"/>
    <w:rsid w:val="008F1556"/>
    <w:rsid w:val="008F23EB"/>
    <w:rsid w:val="008F28DB"/>
    <w:rsid w:val="008F2D3D"/>
    <w:rsid w:val="008F34E5"/>
    <w:rsid w:val="008F3A58"/>
    <w:rsid w:val="008F419C"/>
    <w:rsid w:val="008F45B2"/>
    <w:rsid w:val="008F4A59"/>
    <w:rsid w:val="008F5741"/>
    <w:rsid w:val="008F5743"/>
    <w:rsid w:val="008F5FE2"/>
    <w:rsid w:val="008F61DB"/>
    <w:rsid w:val="008F6225"/>
    <w:rsid w:val="008F66EE"/>
    <w:rsid w:val="008F6B38"/>
    <w:rsid w:val="008F6D2E"/>
    <w:rsid w:val="008F73D6"/>
    <w:rsid w:val="008F7732"/>
    <w:rsid w:val="008F7A22"/>
    <w:rsid w:val="008F7CF6"/>
    <w:rsid w:val="00900166"/>
    <w:rsid w:val="0090033F"/>
    <w:rsid w:val="009004F0"/>
    <w:rsid w:val="00900CCC"/>
    <w:rsid w:val="00901724"/>
    <w:rsid w:val="00902110"/>
    <w:rsid w:val="009023FA"/>
    <w:rsid w:val="009025E3"/>
    <w:rsid w:val="00902674"/>
    <w:rsid w:val="00902C4A"/>
    <w:rsid w:val="00902FF0"/>
    <w:rsid w:val="00903187"/>
    <w:rsid w:val="0090348B"/>
    <w:rsid w:val="00903E52"/>
    <w:rsid w:val="00904394"/>
    <w:rsid w:val="0090487C"/>
    <w:rsid w:val="009050DE"/>
    <w:rsid w:val="00905657"/>
    <w:rsid w:val="00905B2C"/>
    <w:rsid w:val="009068D5"/>
    <w:rsid w:val="009069D3"/>
    <w:rsid w:val="00906E61"/>
    <w:rsid w:val="0090741B"/>
    <w:rsid w:val="00907494"/>
    <w:rsid w:val="0090766B"/>
    <w:rsid w:val="009100A8"/>
    <w:rsid w:val="0091065A"/>
    <w:rsid w:val="0091070A"/>
    <w:rsid w:val="0091070F"/>
    <w:rsid w:val="00910F10"/>
    <w:rsid w:val="00911104"/>
    <w:rsid w:val="009113F4"/>
    <w:rsid w:val="00911E64"/>
    <w:rsid w:val="00912005"/>
    <w:rsid w:val="0091218A"/>
    <w:rsid w:val="009125D0"/>
    <w:rsid w:val="00912A1F"/>
    <w:rsid w:val="00912FF2"/>
    <w:rsid w:val="009131A3"/>
    <w:rsid w:val="0091333B"/>
    <w:rsid w:val="00913628"/>
    <w:rsid w:val="009139CE"/>
    <w:rsid w:val="00913F06"/>
    <w:rsid w:val="00914284"/>
    <w:rsid w:val="009146B1"/>
    <w:rsid w:val="0091493A"/>
    <w:rsid w:val="009155A0"/>
    <w:rsid w:val="009156F9"/>
    <w:rsid w:val="00915769"/>
    <w:rsid w:val="00915946"/>
    <w:rsid w:val="00915968"/>
    <w:rsid w:val="00915CAD"/>
    <w:rsid w:val="00915F19"/>
    <w:rsid w:val="009163A7"/>
    <w:rsid w:val="00916782"/>
    <w:rsid w:val="00916B94"/>
    <w:rsid w:val="0091721D"/>
    <w:rsid w:val="009177E7"/>
    <w:rsid w:val="00917E28"/>
    <w:rsid w:val="009201B3"/>
    <w:rsid w:val="00920525"/>
    <w:rsid w:val="009205D4"/>
    <w:rsid w:val="00920BB3"/>
    <w:rsid w:val="009218EC"/>
    <w:rsid w:val="0092195A"/>
    <w:rsid w:val="009220FC"/>
    <w:rsid w:val="00924ECF"/>
    <w:rsid w:val="009250A6"/>
    <w:rsid w:val="009253CF"/>
    <w:rsid w:val="00925423"/>
    <w:rsid w:val="00925AA5"/>
    <w:rsid w:val="00925CB6"/>
    <w:rsid w:val="00925CC5"/>
    <w:rsid w:val="00925EAC"/>
    <w:rsid w:val="00926523"/>
    <w:rsid w:val="00926BFB"/>
    <w:rsid w:val="009272F8"/>
    <w:rsid w:val="0092738A"/>
    <w:rsid w:val="0092797E"/>
    <w:rsid w:val="009300D5"/>
    <w:rsid w:val="00930392"/>
    <w:rsid w:val="00930875"/>
    <w:rsid w:val="00930B2C"/>
    <w:rsid w:val="00930C0F"/>
    <w:rsid w:val="009310F3"/>
    <w:rsid w:val="00931267"/>
    <w:rsid w:val="0093178E"/>
    <w:rsid w:val="00931846"/>
    <w:rsid w:val="00931AD4"/>
    <w:rsid w:val="00931C98"/>
    <w:rsid w:val="00931ECA"/>
    <w:rsid w:val="0093278F"/>
    <w:rsid w:val="00932899"/>
    <w:rsid w:val="00933881"/>
    <w:rsid w:val="00934757"/>
    <w:rsid w:val="009351BA"/>
    <w:rsid w:val="0093540D"/>
    <w:rsid w:val="0093615B"/>
    <w:rsid w:val="0093642E"/>
    <w:rsid w:val="00936754"/>
    <w:rsid w:val="00936C0C"/>
    <w:rsid w:val="00936F1D"/>
    <w:rsid w:val="00936FE1"/>
    <w:rsid w:val="0093709B"/>
    <w:rsid w:val="009375DB"/>
    <w:rsid w:val="00937A1D"/>
    <w:rsid w:val="00937F07"/>
    <w:rsid w:val="0094019D"/>
    <w:rsid w:val="0094080E"/>
    <w:rsid w:val="009408F1"/>
    <w:rsid w:val="00941305"/>
    <w:rsid w:val="009415D8"/>
    <w:rsid w:val="0094238E"/>
    <w:rsid w:val="00942BD6"/>
    <w:rsid w:val="00942C11"/>
    <w:rsid w:val="00943132"/>
    <w:rsid w:val="0094324E"/>
    <w:rsid w:val="0094351F"/>
    <w:rsid w:val="0094401F"/>
    <w:rsid w:val="009440F8"/>
    <w:rsid w:val="00944486"/>
    <w:rsid w:val="00944745"/>
    <w:rsid w:val="00944873"/>
    <w:rsid w:val="00944BE9"/>
    <w:rsid w:val="00944D47"/>
    <w:rsid w:val="009454DA"/>
    <w:rsid w:val="00945843"/>
    <w:rsid w:val="00945868"/>
    <w:rsid w:val="00945DB9"/>
    <w:rsid w:val="00945EE4"/>
    <w:rsid w:val="009460ED"/>
    <w:rsid w:val="009463C7"/>
    <w:rsid w:val="00946669"/>
    <w:rsid w:val="00946932"/>
    <w:rsid w:val="00946A4F"/>
    <w:rsid w:val="00946D8F"/>
    <w:rsid w:val="00947BA7"/>
    <w:rsid w:val="00947CD0"/>
    <w:rsid w:val="009503F1"/>
    <w:rsid w:val="00950EE7"/>
    <w:rsid w:val="009518AF"/>
    <w:rsid w:val="00951C37"/>
    <w:rsid w:val="00952C1E"/>
    <w:rsid w:val="0095331F"/>
    <w:rsid w:val="00953356"/>
    <w:rsid w:val="00953E18"/>
    <w:rsid w:val="00954579"/>
    <w:rsid w:val="009545BD"/>
    <w:rsid w:val="009547F8"/>
    <w:rsid w:val="009548A9"/>
    <w:rsid w:val="00954BEE"/>
    <w:rsid w:val="00954C84"/>
    <w:rsid w:val="00955187"/>
    <w:rsid w:val="009559B2"/>
    <w:rsid w:val="009559E9"/>
    <w:rsid w:val="00955B7C"/>
    <w:rsid w:val="00955F94"/>
    <w:rsid w:val="00956563"/>
    <w:rsid w:val="00956B33"/>
    <w:rsid w:val="00957408"/>
    <w:rsid w:val="00957783"/>
    <w:rsid w:val="00957B16"/>
    <w:rsid w:val="00957CDE"/>
    <w:rsid w:val="00960478"/>
    <w:rsid w:val="009615BB"/>
    <w:rsid w:val="00961673"/>
    <w:rsid w:val="00961D0E"/>
    <w:rsid w:val="00961D64"/>
    <w:rsid w:val="00962139"/>
    <w:rsid w:val="0096214A"/>
    <w:rsid w:val="00962665"/>
    <w:rsid w:val="00962673"/>
    <w:rsid w:val="00962ACF"/>
    <w:rsid w:val="00963C3E"/>
    <w:rsid w:val="0096451C"/>
    <w:rsid w:val="00964F43"/>
    <w:rsid w:val="0096540E"/>
    <w:rsid w:val="0096551F"/>
    <w:rsid w:val="009660FD"/>
    <w:rsid w:val="00966156"/>
    <w:rsid w:val="00966807"/>
    <w:rsid w:val="00966826"/>
    <w:rsid w:val="0096707A"/>
    <w:rsid w:val="00970340"/>
    <w:rsid w:val="009719DD"/>
    <w:rsid w:val="00971DFB"/>
    <w:rsid w:val="009721DC"/>
    <w:rsid w:val="00972945"/>
    <w:rsid w:val="00972964"/>
    <w:rsid w:val="009729D4"/>
    <w:rsid w:val="00972C32"/>
    <w:rsid w:val="00972C4E"/>
    <w:rsid w:val="00973642"/>
    <w:rsid w:val="00973C17"/>
    <w:rsid w:val="00973C63"/>
    <w:rsid w:val="009742F1"/>
    <w:rsid w:val="0097509A"/>
    <w:rsid w:val="00975EC7"/>
    <w:rsid w:val="00976F71"/>
    <w:rsid w:val="00977CAE"/>
    <w:rsid w:val="009803D5"/>
    <w:rsid w:val="00980759"/>
    <w:rsid w:val="0098085E"/>
    <w:rsid w:val="0098099D"/>
    <w:rsid w:val="00980D11"/>
    <w:rsid w:val="00980E03"/>
    <w:rsid w:val="009816C1"/>
    <w:rsid w:val="009817B0"/>
    <w:rsid w:val="00981DEF"/>
    <w:rsid w:val="009821CE"/>
    <w:rsid w:val="00982835"/>
    <w:rsid w:val="00983021"/>
    <w:rsid w:val="00983648"/>
    <w:rsid w:val="009837DB"/>
    <w:rsid w:val="00983806"/>
    <w:rsid w:val="00983916"/>
    <w:rsid w:val="00983A31"/>
    <w:rsid w:val="00983FB8"/>
    <w:rsid w:val="00984477"/>
    <w:rsid w:val="009847B9"/>
    <w:rsid w:val="00984B84"/>
    <w:rsid w:val="00984EF0"/>
    <w:rsid w:val="0098511B"/>
    <w:rsid w:val="00985B34"/>
    <w:rsid w:val="00985CCB"/>
    <w:rsid w:val="00986768"/>
    <w:rsid w:val="00986C8A"/>
    <w:rsid w:val="00986F0B"/>
    <w:rsid w:val="00987297"/>
    <w:rsid w:val="00987350"/>
    <w:rsid w:val="00987AA8"/>
    <w:rsid w:val="00987B0A"/>
    <w:rsid w:val="00987D9C"/>
    <w:rsid w:val="00987F14"/>
    <w:rsid w:val="00990784"/>
    <w:rsid w:val="00990930"/>
    <w:rsid w:val="00990E46"/>
    <w:rsid w:val="00990FC8"/>
    <w:rsid w:val="00991378"/>
    <w:rsid w:val="00991566"/>
    <w:rsid w:val="009915FC"/>
    <w:rsid w:val="00993A0F"/>
    <w:rsid w:val="00993C40"/>
    <w:rsid w:val="00993DB2"/>
    <w:rsid w:val="00994162"/>
    <w:rsid w:val="009946B5"/>
    <w:rsid w:val="00994DC1"/>
    <w:rsid w:val="00994FD7"/>
    <w:rsid w:val="009953B7"/>
    <w:rsid w:val="00995533"/>
    <w:rsid w:val="009956B1"/>
    <w:rsid w:val="00995B77"/>
    <w:rsid w:val="00995CA4"/>
    <w:rsid w:val="00995F7D"/>
    <w:rsid w:val="0099644F"/>
    <w:rsid w:val="0099700C"/>
    <w:rsid w:val="0099723F"/>
    <w:rsid w:val="00997ED5"/>
    <w:rsid w:val="009A00A0"/>
    <w:rsid w:val="009A0196"/>
    <w:rsid w:val="009A01A9"/>
    <w:rsid w:val="009A0326"/>
    <w:rsid w:val="009A0C6C"/>
    <w:rsid w:val="009A0FFE"/>
    <w:rsid w:val="009A10B1"/>
    <w:rsid w:val="009A10B8"/>
    <w:rsid w:val="009A1D39"/>
    <w:rsid w:val="009A1DB7"/>
    <w:rsid w:val="009A2457"/>
    <w:rsid w:val="009A25AE"/>
    <w:rsid w:val="009A2777"/>
    <w:rsid w:val="009A277C"/>
    <w:rsid w:val="009A29FD"/>
    <w:rsid w:val="009A2A4C"/>
    <w:rsid w:val="009A35EB"/>
    <w:rsid w:val="009A3983"/>
    <w:rsid w:val="009A658F"/>
    <w:rsid w:val="009A6E65"/>
    <w:rsid w:val="009A6FA2"/>
    <w:rsid w:val="009A7649"/>
    <w:rsid w:val="009A7C3C"/>
    <w:rsid w:val="009B088F"/>
    <w:rsid w:val="009B08AE"/>
    <w:rsid w:val="009B094F"/>
    <w:rsid w:val="009B0B18"/>
    <w:rsid w:val="009B15E5"/>
    <w:rsid w:val="009B208C"/>
    <w:rsid w:val="009B223D"/>
    <w:rsid w:val="009B2249"/>
    <w:rsid w:val="009B2AF7"/>
    <w:rsid w:val="009B3004"/>
    <w:rsid w:val="009B39C1"/>
    <w:rsid w:val="009B3C28"/>
    <w:rsid w:val="009B3CD3"/>
    <w:rsid w:val="009B3EF8"/>
    <w:rsid w:val="009B3FBD"/>
    <w:rsid w:val="009B4DD8"/>
    <w:rsid w:val="009B57C3"/>
    <w:rsid w:val="009B5819"/>
    <w:rsid w:val="009B674B"/>
    <w:rsid w:val="009B765C"/>
    <w:rsid w:val="009B7695"/>
    <w:rsid w:val="009B7EB6"/>
    <w:rsid w:val="009C035E"/>
    <w:rsid w:val="009C182B"/>
    <w:rsid w:val="009C1ADD"/>
    <w:rsid w:val="009C2284"/>
    <w:rsid w:val="009C2559"/>
    <w:rsid w:val="009C30E1"/>
    <w:rsid w:val="009C336E"/>
    <w:rsid w:val="009C3551"/>
    <w:rsid w:val="009C364E"/>
    <w:rsid w:val="009C3B62"/>
    <w:rsid w:val="009C4345"/>
    <w:rsid w:val="009C4377"/>
    <w:rsid w:val="009C44E4"/>
    <w:rsid w:val="009C5157"/>
    <w:rsid w:val="009C52C7"/>
    <w:rsid w:val="009C58F3"/>
    <w:rsid w:val="009C5DBF"/>
    <w:rsid w:val="009C5E0A"/>
    <w:rsid w:val="009C5F93"/>
    <w:rsid w:val="009C6010"/>
    <w:rsid w:val="009C6419"/>
    <w:rsid w:val="009C6656"/>
    <w:rsid w:val="009C66BE"/>
    <w:rsid w:val="009C66C6"/>
    <w:rsid w:val="009C7286"/>
    <w:rsid w:val="009C7394"/>
    <w:rsid w:val="009C7410"/>
    <w:rsid w:val="009C79F2"/>
    <w:rsid w:val="009C7A16"/>
    <w:rsid w:val="009D0E07"/>
    <w:rsid w:val="009D12E6"/>
    <w:rsid w:val="009D1DAE"/>
    <w:rsid w:val="009D2B28"/>
    <w:rsid w:val="009D2CFF"/>
    <w:rsid w:val="009D349E"/>
    <w:rsid w:val="009D37F2"/>
    <w:rsid w:val="009D3EBC"/>
    <w:rsid w:val="009D406C"/>
    <w:rsid w:val="009D446A"/>
    <w:rsid w:val="009D4D3C"/>
    <w:rsid w:val="009D5224"/>
    <w:rsid w:val="009D5402"/>
    <w:rsid w:val="009D5B37"/>
    <w:rsid w:val="009D5BBF"/>
    <w:rsid w:val="009D6DBE"/>
    <w:rsid w:val="009D6F5D"/>
    <w:rsid w:val="009D7055"/>
    <w:rsid w:val="009D781B"/>
    <w:rsid w:val="009E0CA5"/>
    <w:rsid w:val="009E0E97"/>
    <w:rsid w:val="009E0F6A"/>
    <w:rsid w:val="009E0FEF"/>
    <w:rsid w:val="009E15BA"/>
    <w:rsid w:val="009E171B"/>
    <w:rsid w:val="009E1DD1"/>
    <w:rsid w:val="009E32E6"/>
    <w:rsid w:val="009E3804"/>
    <w:rsid w:val="009E38E7"/>
    <w:rsid w:val="009E3C3C"/>
    <w:rsid w:val="009E3D67"/>
    <w:rsid w:val="009E4228"/>
    <w:rsid w:val="009E4E75"/>
    <w:rsid w:val="009E50B6"/>
    <w:rsid w:val="009E57CA"/>
    <w:rsid w:val="009E6016"/>
    <w:rsid w:val="009E63D1"/>
    <w:rsid w:val="009E6482"/>
    <w:rsid w:val="009E6D54"/>
    <w:rsid w:val="009E7078"/>
    <w:rsid w:val="009E7549"/>
    <w:rsid w:val="009E7886"/>
    <w:rsid w:val="009F0F1D"/>
    <w:rsid w:val="009F131D"/>
    <w:rsid w:val="009F16BA"/>
    <w:rsid w:val="009F1BE2"/>
    <w:rsid w:val="009F1CA0"/>
    <w:rsid w:val="009F1F38"/>
    <w:rsid w:val="009F1F95"/>
    <w:rsid w:val="009F26C3"/>
    <w:rsid w:val="009F2D4C"/>
    <w:rsid w:val="009F30E6"/>
    <w:rsid w:val="009F317E"/>
    <w:rsid w:val="009F3D78"/>
    <w:rsid w:val="009F3FC1"/>
    <w:rsid w:val="009F4677"/>
    <w:rsid w:val="009F52B7"/>
    <w:rsid w:val="009F5530"/>
    <w:rsid w:val="009F5943"/>
    <w:rsid w:val="009F5C0B"/>
    <w:rsid w:val="009F5C71"/>
    <w:rsid w:val="009F5D7D"/>
    <w:rsid w:val="009F62DE"/>
    <w:rsid w:val="009F6D1E"/>
    <w:rsid w:val="009F7305"/>
    <w:rsid w:val="009F7322"/>
    <w:rsid w:val="009F791B"/>
    <w:rsid w:val="009F7BE7"/>
    <w:rsid w:val="00A0018F"/>
    <w:rsid w:val="00A015E8"/>
    <w:rsid w:val="00A0163C"/>
    <w:rsid w:val="00A01B0D"/>
    <w:rsid w:val="00A01F16"/>
    <w:rsid w:val="00A024F8"/>
    <w:rsid w:val="00A0296B"/>
    <w:rsid w:val="00A02D2C"/>
    <w:rsid w:val="00A02FC3"/>
    <w:rsid w:val="00A0359E"/>
    <w:rsid w:val="00A0361F"/>
    <w:rsid w:val="00A03B16"/>
    <w:rsid w:val="00A03D61"/>
    <w:rsid w:val="00A04386"/>
    <w:rsid w:val="00A0528B"/>
    <w:rsid w:val="00A05CA7"/>
    <w:rsid w:val="00A0606D"/>
    <w:rsid w:val="00A06A97"/>
    <w:rsid w:val="00A06E04"/>
    <w:rsid w:val="00A07162"/>
    <w:rsid w:val="00A075AC"/>
    <w:rsid w:val="00A07AA1"/>
    <w:rsid w:val="00A07D47"/>
    <w:rsid w:val="00A07E9C"/>
    <w:rsid w:val="00A10593"/>
    <w:rsid w:val="00A105A0"/>
    <w:rsid w:val="00A10C28"/>
    <w:rsid w:val="00A10C7E"/>
    <w:rsid w:val="00A11015"/>
    <w:rsid w:val="00A116C6"/>
    <w:rsid w:val="00A117B3"/>
    <w:rsid w:val="00A117EB"/>
    <w:rsid w:val="00A121BD"/>
    <w:rsid w:val="00A12B39"/>
    <w:rsid w:val="00A12B55"/>
    <w:rsid w:val="00A12F62"/>
    <w:rsid w:val="00A13052"/>
    <w:rsid w:val="00A131B8"/>
    <w:rsid w:val="00A13289"/>
    <w:rsid w:val="00A13363"/>
    <w:rsid w:val="00A138FF"/>
    <w:rsid w:val="00A13993"/>
    <w:rsid w:val="00A13A1C"/>
    <w:rsid w:val="00A14380"/>
    <w:rsid w:val="00A14646"/>
    <w:rsid w:val="00A14B49"/>
    <w:rsid w:val="00A14FB1"/>
    <w:rsid w:val="00A14FE9"/>
    <w:rsid w:val="00A155F0"/>
    <w:rsid w:val="00A156CD"/>
    <w:rsid w:val="00A15BBE"/>
    <w:rsid w:val="00A15CCA"/>
    <w:rsid w:val="00A175E2"/>
    <w:rsid w:val="00A17D6C"/>
    <w:rsid w:val="00A2038B"/>
    <w:rsid w:val="00A20B6A"/>
    <w:rsid w:val="00A21131"/>
    <w:rsid w:val="00A21682"/>
    <w:rsid w:val="00A2203B"/>
    <w:rsid w:val="00A225FA"/>
    <w:rsid w:val="00A22845"/>
    <w:rsid w:val="00A22959"/>
    <w:rsid w:val="00A2327D"/>
    <w:rsid w:val="00A23467"/>
    <w:rsid w:val="00A2374F"/>
    <w:rsid w:val="00A243B8"/>
    <w:rsid w:val="00A24432"/>
    <w:rsid w:val="00A24505"/>
    <w:rsid w:val="00A246C8"/>
    <w:rsid w:val="00A247A5"/>
    <w:rsid w:val="00A24EE2"/>
    <w:rsid w:val="00A25CAF"/>
    <w:rsid w:val="00A25D77"/>
    <w:rsid w:val="00A25D83"/>
    <w:rsid w:val="00A261AB"/>
    <w:rsid w:val="00A27936"/>
    <w:rsid w:val="00A3050F"/>
    <w:rsid w:val="00A30C97"/>
    <w:rsid w:val="00A30DFB"/>
    <w:rsid w:val="00A31765"/>
    <w:rsid w:val="00A319FA"/>
    <w:rsid w:val="00A31BD1"/>
    <w:rsid w:val="00A322D2"/>
    <w:rsid w:val="00A32B78"/>
    <w:rsid w:val="00A32C24"/>
    <w:rsid w:val="00A32C80"/>
    <w:rsid w:val="00A332B7"/>
    <w:rsid w:val="00A335DB"/>
    <w:rsid w:val="00A336F8"/>
    <w:rsid w:val="00A33BC6"/>
    <w:rsid w:val="00A34EA0"/>
    <w:rsid w:val="00A351DE"/>
    <w:rsid w:val="00A357EB"/>
    <w:rsid w:val="00A35AA8"/>
    <w:rsid w:val="00A35B02"/>
    <w:rsid w:val="00A362E9"/>
    <w:rsid w:val="00A364CB"/>
    <w:rsid w:val="00A36B21"/>
    <w:rsid w:val="00A3749B"/>
    <w:rsid w:val="00A37D87"/>
    <w:rsid w:val="00A407F7"/>
    <w:rsid w:val="00A40A8C"/>
    <w:rsid w:val="00A40B02"/>
    <w:rsid w:val="00A41169"/>
    <w:rsid w:val="00A41396"/>
    <w:rsid w:val="00A41638"/>
    <w:rsid w:val="00A417C9"/>
    <w:rsid w:val="00A4180B"/>
    <w:rsid w:val="00A419FF"/>
    <w:rsid w:val="00A41BFA"/>
    <w:rsid w:val="00A41FEA"/>
    <w:rsid w:val="00A42132"/>
    <w:rsid w:val="00A42276"/>
    <w:rsid w:val="00A4257B"/>
    <w:rsid w:val="00A42C1C"/>
    <w:rsid w:val="00A4315F"/>
    <w:rsid w:val="00A438E4"/>
    <w:rsid w:val="00A439C2"/>
    <w:rsid w:val="00A43B26"/>
    <w:rsid w:val="00A43DBA"/>
    <w:rsid w:val="00A44329"/>
    <w:rsid w:val="00A44D7E"/>
    <w:rsid w:val="00A44DFD"/>
    <w:rsid w:val="00A44E11"/>
    <w:rsid w:val="00A44E4B"/>
    <w:rsid w:val="00A45383"/>
    <w:rsid w:val="00A453CD"/>
    <w:rsid w:val="00A454B7"/>
    <w:rsid w:val="00A45ADB"/>
    <w:rsid w:val="00A45B5D"/>
    <w:rsid w:val="00A469C6"/>
    <w:rsid w:val="00A46F61"/>
    <w:rsid w:val="00A47322"/>
    <w:rsid w:val="00A47931"/>
    <w:rsid w:val="00A47C67"/>
    <w:rsid w:val="00A5053C"/>
    <w:rsid w:val="00A50705"/>
    <w:rsid w:val="00A5083D"/>
    <w:rsid w:val="00A509F0"/>
    <w:rsid w:val="00A50C6A"/>
    <w:rsid w:val="00A50D88"/>
    <w:rsid w:val="00A5135E"/>
    <w:rsid w:val="00A5186A"/>
    <w:rsid w:val="00A51DF5"/>
    <w:rsid w:val="00A52233"/>
    <w:rsid w:val="00A52D44"/>
    <w:rsid w:val="00A52E67"/>
    <w:rsid w:val="00A52F5B"/>
    <w:rsid w:val="00A53830"/>
    <w:rsid w:val="00A53C9D"/>
    <w:rsid w:val="00A54079"/>
    <w:rsid w:val="00A54223"/>
    <w:rsid w:val="00A54256"/>
    <w:rsid w:val="00A54654"/>
    <w:rsid w:val="00A5552A"/>
    <w:rsid w:val="00A56632"/>
    <w:rsid w:val="00A56923"/>
    <w:rsid w:val="00A56B96"/>
    <w:rsid w:val="00A57098"/>
    <w:rsid w:val="00A5722E"/>
    <w:rsid w:val="00A57684"/>
    <w:rsid w:val="00A57A3B"/>
    <w:rsid w:val="00A57CDA"/>
    <w:rsid w:val="00A600CB"/>
    <w:rsid w:val="00A602A8"/>
    <w:rsid w:val="00A6170D"/>
    <w:rsid w:val="00A6175A"/>
    <w:rsid w:val="00A61BB3"/>
    <w:rsid w:val="00A61DC3"/>
    <w:rsid w:val="00A61ED3"/>
    <w:rsid w:val="00A624FE"/>
    <w:rsid w:val="00A62693"/>
    <w:rsid w:val="00A62C24"/>
    <w:rsid w:val="00A62E42"/>
    <w:rsid w:val="00A62F99"/>
    <w:rsid w:val="00A63175"/>
    <w:rsid w:val="00A63579"/>
    <w:rsid w:val="00A63676"/>
    <w:rsid w:val="00A637DB"/>
    <w:rsid w:val="00A648D8"/>
    <w:rsid w:val="00A64A71"/>
    <w:rsid w:val="00A65213"/>
    <w:rsid w:val="00A654CC"/>
    <w:rsid w:val="00A65A93"/>
    <w:rsid w:val="00A66008"/>
    <w:rsid w:val="00A66874"/>
    <w:rsid w:val="00A670A1"/>
    <w:rsid w:val="00A672BD"/>
    <w:rsid w:val="00A67B61"/>
    <w:rsid w:val="00A703BE"/>
    <w:rsid w:val="00A70D90"/>
    <w:rsid w:val="00A71D95"/>
    <w:rsid w:val="00A71F87"/>
    <w:rsid w:val="00A720A2"/>
    <w:rsid w:val="00A7236C"/>
    <w:rsid w:val="00A7238B"/>
    <w:rsid w:val="00A723E2"/>
    <w:rsid w:val="00A72455"/>
    <w:rsid w:val="00A72960"/>
    <w:rsid w:val="00A72D78"/>
    <w:rsid w:val="00A72D8F"/>
    <w:rsid w:val="00A7340F"/>
    <w:rsid w:val="00A73C67"/>
    <w:rsid w:val="00A74262"/>
    <w:rsid w:val="00A74815"/>
    <w:rsid w:val="00A75110"/>
    <w:rsid w:val="00A7569F"/>
    <w:rsid w:val="00A75B30"/>
    <w:rsid w:val="00A7607E"/>
    <w:rsid w:val="00A76165"/>
    <w:rsid w:val="00A76D5D"/>
    <w:rsid w:val="00A76F97"/>
    <w:rsid w:val="00A777A2"/>
    <w:rsid w:val="00A77AC6"/>
    <w:rsid w:val="00A77F46"/>
    <w:rsid w:val="00A804B6"/>
    <w:rsid w:val="00A80C7B"/>
    <w:rsid w:val="00A812AC"/>
    <w:rsid w:val="00A81BFC"/>
    <w:rsid w:val="00A82949"/>
    <w:rsid w:val="00A82C47"/>
    <w:rsid w:val="00A83C11"/>
    <w:rsid w:val="00A83CDB"/>
    <w:rsid w:val="00A84383"/>
    <w:rsid w:val="00A84B78"/>
    <w:rsid w:val="00A84B83"/>
    <w:rsid w:val="00A84BD1"/>
    <w:rsid w:val="00A84F2A"/>
    <w:rsid w:val="00A8508F"/>
    <w:rsid w:val="00A85982"/>
    <w:rsid w:val="00A85A80"/>
    <w:rsid w:val="00A85D83"/>
    <w:rsid w:val="00A85E2C"/>
    <w:rsid w:val="00A85FBE"/>
    <w:rsid w:val="00A862D1"/>
    <w:rsid w:val="00A866FE"/>
    <w:rsid w:val="00A86786"/>
    <w:rsid w:val="00A86899"/>
    <w:rsid w:val="00A86965"/>
    <w:rsid w:val="00A87002"/>
    <w:rsid w:val="00A876EF"/>
    <w:rsid w:val="00A87783"/>
    <w:rsid w:val="00A87E79"/>
    <w:rsid w:val="00A905F5"/>
    <w:rsid w:val="00A907F1"/>
    <w:rsid w:val="00A91299"/>
    <w:rsid w:val="00A91BFB"/>
    <w:rsid w:val="00A921E5"/>
    <w:rsid w:val="00A92380"/>
    <w:rsid w:val="00A923ED"/>
    <w:rsid w:val="00A92463"/>
    <w:rsid w:val="00A9289A"/>
    <w:rsid w:val="00A93401"/>
    <w:rsid w:val="00A93788"/>
    <w:rsid w:val="00A945C4"/>
    <w:rsid w:val="00A94A57"/>
    <w:rsid w:val="00A94B2E"/>
    <w:rsid w:val="00A94B52"/>
    <w:rsid w:val="00A95094"/>
    <w:rsid w:val="00A952CD"/>
    <w:rsid w:val="00A95548"/>
    <w:rsid w:val="00A9658D"/>
    <w:rsid w:val="00A967D9"/>
    <w:rsid w:val="00A96970"/>
    <w:rsid w:val="00A96CB9"/>
    <w:rsid w:val="00A97160"/>
    <w:rsid w:val="00A97D90"/>
    <w:rsid w:val="00AA00B6"/>
    <w:rsid w:val="00AA0122"/>
    <w:rsid w:val="00AA10E4"/>
    <w:rsid w:val="00AA12E7"/>
    <w:rsid w:val="00AA172F"/>
    <w:rsid w:val="00AA1A34"/>
    <w:rsid w:val="00AA2943"/>
    <w:rsid w:val="00AA294B"/>
    <w:rsid w:val="00AA2A88"/>
    <w:rsid w:val="00AA3538"/>
    <w:rsid w:val="00AA3631"/>
    <w:rsid w:val="00AA36D6"/>
    <w:rsid w:val="00AA395D"/>
    <w:rsid w:val="00AA3F4E"/>
    <w:rsid w:val="00AA41C6"/>
    <w:rsid w:val="00AA4387"/>
    <w:rsid w:val="00AA4873"/>
    <w:rsid w:val="00AA4955"/>
    <w:rsid w:val="00AA4B3B"/>
    <w:rsid w:val="00AA4B85"/>
    <w:rsid w:val="00AA4EFC"/>
    <w:rsid w:val="00AA52DC"/>
    <w:rsid w:val="00AA6643"/>
    <w:rsid w:val="00AA6903"/>
    <w:rsid w:val="00AA73BB"/>
    <w:rsid w:val="00AA765A"/>
    <w:rsid w:val="00AA7EA5"/>
    <w:rsid w:val="00AB2409"/>
    <w:rsid w:val="00AB2827"/>
    <w:rsid w:val="00AB28E5"/>
    <w:rsid w:val="00AB34E9"/>
    <w:rsid w:val="00AB350B"/>
    <w:rsid w:val="00AB38A7"/>
    <w:rsid w:val="00AB3DE6"/>
    <w:rsid w:val="00AB4005"/>
    <w:rsid w:val="00AB4B2D"/>
    <w:rsid w:val="00AB5081"/>
    <w:rsid w:val="00AB51D4"/>
    <w:rsid w:val="00AB525D"/>
    <w:rsid w:val="00AB6B59"/>
    <w:rsid w:val="00AB6C9B"/>
    <w:rsid w:val="00AB6F28"/>
    <w:rsid w:val="00AB7338"/>
    <w:rsid w:val="00AB7BBC"/>
    <w:rsid w:val="00AB7DB4"/>
    <w:rsid w:val="00AC18AA"/>
    <w:rsid w:val="00AC1D8E"/>
    <w:rsid w:val="00AC1E41"/>
    <w:rsid w:val="00AC1F1D"/>
    <w:rsid w:val="00AC1F4E"/>
    <w:rsid w:val="00AC28A6"/>
    <w:rsid w:val="00AC2F60"/>
    <w:rsid w:val="00AC3043"/>
    <w:rsid w:val="00AC3196"/>
    <w:rsid w:val="00AC36E0"/>
    <w:rsid w:val="00AC3820"/>
    <w:rsid w:val="00AC3D6C"/>
    <w:rsid w:val="00AC3DB6"/>
    <w:rsid w:val="00AC4065"/>
    <w:rsid w:val="00AC441B"/>
    <w:rsid w:val="00AC51B6"/>
    <w:rsid w:val="00AC57A5"/>
    <w:rsid w:val="00AC5C17"/>
    <w:rsid w:val="00AC604A"/>
    <w:rsid w:val="00AC60BC"/>
    <w:rsid w:val="00AC612B"/>
    <w:rsid w:val="00AC6142"/>
    <w:rsid w:val="00AC621B"/>
    <w:rsid w:val="00AC638A"/>
    <w:rsid w:val="00AC66F4"/>
    <w:rsid w:val="00AC6859"/>
    <w:rsid w:val="00AC6AE0"/>
    <w:rsid w:val="00AC74DC"/>
    <w:rsid w:val="00AC75E2"/>
    <w:rsid w:val="00AC7D82"/>
    <w:rsid w:val="00AC7EAF"/>
    <w:rsid w:val="00AD030F"/>
    <w:rsid w:val="00AD0520"/>
    <w:rsid w:val="00AD0576"/>
    <w:rsid w:val="00AD061D"/>
    <w:rsid w:val="00AD0731"/>
    <w:rsid w:val="00AD0E4B"/>
    <w:rsid w:val="00AD0E4E"/>
    <w:rsid w:val="00AD15C0"/>
    <w:rsid w:val="00AD15C5"/>
    <w:rsid w:val="00AD1851"/>
    <w:rsid w:val="00AD2AB8"/>
    <w:rsid w:val="00AD305A"/>
    <w:rsid w:val="00AD3BA8"/>
    <w:rsid w:val="00AD3C9E"/>
    <w:rsid w:val="00AD43E1"/>
    <w:rsid w:val="00AD4F9E"/>
    <w:rsid w:val="00AD53B7"/>
    <w:rsid w:val="00AD5484"/>
    <w:rsid w:val="00AD5627"/>
    <w:rsid w:val="00AD5BBE"/>
    <w:rsid w:val="00AD6183"/>
    <w:rsid w:val="00AD62E9"/>
    <w:rsid w:val="00AD6786"/>
    <w:rsid w:val="00AD689C"/>
    <w:rsid w:val="00AD690D"/>
    <w:rsid w:val="00AD6C91"/>
    <w:rsid w:val="00AD71AB"/>
    <w:rsid w:val="00AD79E0"/>
    <w:rsid w:val="00AD7A67"/>
    <w:rsid w:val="00AD7BCB"/>
    <w:rsid w:val="00AD7CF8"/>
    <w:rsid w:val="00AE0049"/>
    <w:rsid w:val="00AE0A74"/>
    <w:rsid w:val="00AE1AF6"/>
    <w:rsid w:val="00AE1EB2"/>
    <w:rsid w:val="00AE2129"/>
    <w:rsid w:val="00AE21D6"/>
    <w:rsid w:val="00AE2A3F"/>
    <w:rsid w:val="00AE2A7A"/>
    <w:rsid w:val="00AE2F90"/>
    <w:rsid w:val="00AE30C2"/>
    <w:rsid w:val="00AE335A"/>
    <w:rsid w:val="00AE3B29"/>
    <w:rsid w:val="00AE3F4D"/>
    <w:rsid w:val="00AE45E8"/>
    <w:rsid w:val="00AE492D"/>
    <w:rsid w:val="00AE53C2"/>
    <w:rsid w:val="00AE5A38"/>
    <w:rsid w:val="00AE6C1D"/>
    <w:rsid w:val="00AE7D49"/>
    <w:rsid w:val="00AE7D87"/>
    <w:rsid w:val="00AE7DE4"/>
    <w:rsid w:val="00AF0774"/>
    <w:rsid w:val="00AF0877"/>
    <w:rsid w:val="00AF0E78"/>
    <w:rsid w:val="00AF1511"/>
    <w:rsid w:val="00AF184F"/>
    <w:rsid w:val="00AF1C35"/>
    <w:rsid w:val="00AF1C3C"/>
    <w:rsid w:val="00AF23D5"/>
    <w:rsid w:val="00AF2FA3"/>
    <w:rsid w:val="00AF3AD3"/>
    <w:rsid w:val="00AF3EE9"/>
    <w:rsid w:val="00AF4D7B"/>
    <w:rsid w:val="00AF541C"/>
    <w:rsid w:val="00AF5907"/>
    <w:rsid w:val="00AF5AB7"/>
    <w:rsid w:val="00AF6031"/>
    <w:rsid w:val="00AF637F"/>
    <w:rsid w:val="00AF763A"/>
    <w:rsid w:val="00AF7AA0"/>
    <w:rsid w:val="00B00308"/>
    <w:rsid w:val="00B00837"/>
    <w:rsid w:val="00B00A9F"/>
    <w:rsid w:val="00B00D21"/>
    <w:rsid w:val="00B00DC2"/>
    <w:rsid w:val="00B01623"/>
    <w:rsid w:val="00B0170B"/>
    <w:rsid w:val="00B02235"/>
    <w:rsid w:val="00B02902"/>
    <w:rsid w:val="00B02C84"/>
    <w:rsid w:val="00B030B0"/>
    <w:rsid w:val="00B03DD6"/>
    <w:rsid w:val="00B0497B"/>
    <w:rsid w:val="00B04BBE"/>
    <w:rsid w:val="00B0544C"/>
    <w:rsid w:val="00B05788"/>
    <w:rsid w:val="00B05FE5"/>
    <w:rsid w:val="00B0630D"/>
    <w:rsid w:val="00B06707"/>
    <w:rsid w:val="00B06F0A"/>
    <w:rsid w:val="00B07435"/>
    <w:rsid w:val="00B11B3E"/>
    <w:rsid w:val="00B120BA"/>
    <w:rsid w:val="00B12C14"/>
    <w:rsid w:val="00B12D29"/>
    <w:rsid w:val="00B130D6"/>
    <w:rsid w:val="00B13AA7"/>
    <w:rsid w:val="00B13C1B"/>
    <w:rsid w:val="00B13ED2"/>
    <w:rsid w:val="00B141C4"/>
    <w:rsid w:val="00B145A4"/>
    <w:rsid w:val="00B14E6B"/>
    <w:rsid w:val="00B14E97"/>
    <w:rsid w:val="00B150EF"/>
    <w:rsid w:val="00B15219"/>
    <w:rsid w:val="00B15590"/>
    <w:rsid w:val="00B15F0A"/>
    <w:rsid w:val="00B15F7E"/>
    <w:rsid w:val="00B16217"/>
    <w:rsid w:val="00B16DCA"/>
    <w:rsid w:val="00B16F24"/>
    <w:rsid w:val="00B173F6"/>
    <w:rsid w:val="00B17F99"/>
    <w:rsid w:val="00B20192"/>
    <w:rsid w:val="00B20219"/>
    <w:rsid w:val="00B20745"/>
    <w:rsid w:val="00B20848"/>
    <w:rsid w:val="00B208E9"/>
    <w:rsid w:val="00B20CBB"/>
    <w:rsid w:val="00B21093"/>
    <w:rsid w:val="00B214C6"/>
    <w:rsid w:val="00B214E0"/>
    <w:rsid w:val="00B218BF"/>
    <w:rsid w:val="00B218C7"/>
    <w:rsid w:val="00B21B99"/>
    <w:rsid w:val="00B21BBC"/>
    <w:rsid w:val="00B21F32"/>
    <w:rsid w:val="00B22821"/>
    <w:rsid w:val="00B22B2E"/>
    <w:rsid w:val="00B230DE"/>
    <w:rsid w:val="00B235C8"/>
    <w:rsid w:val="00B238BC"/>
    <w:rsid w:val="00B23A53"/>
    <w:rsid w:val="00B23EE9"/>
    <w:rsid w:val="00B23F85"/>
    <w:rsid w:val="00B250FD"/>
    <w:rsid w:val="00B25140"/>
    <w:rsid w:val="00B251DD"/>
    <w:rsid w:val="00B25263"/>
    <w:rsid w:val="00B25747"/>
    <w:rsid w:val="00B2601E"/>
    <w:rsid w:val="00B261B6"/>
    <w:rsid w:val="00B26912"/>
    <w:rsid w:val="00B26FC4"/>
    <w:rsid w:val="00B27346"/>
    <w:rsid w:val="00B3024E"/>
    <w:rsid w:val="00B304B0"/>
    <w:rsid w:val="00B3054F"/>
    <w:rsid w:val="00B30D72"/>
    <w:rsid w:val="00B30E34"/>
    <w:rsid w:val="00B316B0"/>
    <w:rsid w:val="00B31B73"/>
    <w:rsid w:val="00B31CAB"/>
    <w:rsid w:val="00B32133"/>
    <w:rsid w:val="00B328CA"/>
    <w:rsid w:val="00B32C28"/>
    <w:rsid w:val="00B3320C"/>
    <w:rsid w:val="00B33399"/>
    <w:rsid w:val="00B33677"/>
    <w:rsid w:val="00B336AF"/>
    <w:rsid w:val="00B33CC3"/>
    <w:rsid w:val="00B3425C"/>
    <w:rsid w:val="00B345B3"/>
    <w:rsid w:val="00B34A58"/>
    <w:rsid w:val="00B3583B"/>
    <w:rsid w:val="00B35850"/>
    <w:rsid w:val="00B35CC6"/>
    <w:rsid w:val="00B37159"/>
    <w:rsid w:val="00B37A8F"/>
    <w:rsid w:val="00B37B8C"/>
    <w:rsid w:val="00B37F9F"/>
    <w:rsid w:val="00B40503"/>
    <w:rsid w:val="00B4087E"/>
    <w:rsid w:val="00B40A61"/>
    <w:rsid w:val="00B4133B"/>
    <w:rsid w:val="00B4141B"/>
    <w:rsid w:val="00B41ACA"/>
    <w:rsid w:val="00B42D41"/>
    <w:rsid w:val="00B4475C"/>
    <w:rsid w:val="00B449A7"/>
    <w:rsid w:val="00B44FB9"/>
    <w:rsid w:val="00B4567E"/>
    <w:rsid w:val="00B4580C"/>
    <w:rsid w:val="00B45CCA"/>
    <w:rsid w:val="00B46360"/>
    <w:rsid w:val="00B469AF"/>
    <w:rsid w:val="00B46A9F"/>
    <w:rsid w:val="00B46B52"/>
    <w:rsid w:val="00B47106"/>
    <w:rsid w:val="00B50048"/>
    <w:rsid w:val="00B5031E"/>
    <w:rsid w:val="00B5034C"/>
    <w:rsid w:val="00B50CBF"/>
    <w:rsid w:val="00B510A8"/>
    <w:rsid w:val="00B51AFB"/>
    <w:rsid w:val="00B51BCD"/>
    <w:rsid w:val="00B51ECC"/>
    <w:rsid w:val="00B520D4"/>
    <w:rsid w:val="00B52719"/>
    <w:rsid w:val="00B52727"/>
    <w:rsid w:val="00B532C8"/>
    <w:rsid w:val="00B532FF"/>
    <w:rsid w:val="00B538E6"/>
    <w:rsid w:val="00B53B02"/>
    <w:rsid w:val="00B53DDE"/>
    <w:rsid w:val="00B54398"/>
    <w:rsid w:val="00B556EC"/>
    <w:rsid w:val="00B55B04"/>
    <w:rsid w:val="00B55C10"/>
    <w:rsid w:val="00B5614F"/>
    <w:rsid w:val="00B5669C"/>
    <w:rsid w:val="00B56721"/>
    <w:rsid w:val="00B56787"/>
    <w:rsid w:val="00B56CEF"/>
    <w:rsid w:val="00B5702A"/>
    <w:rsid w:val="00B573AD"/>
    <w:rsid w:val="00B5743C"/>
    <w:rsid w:val="00B57BA7"/>
    <w:rsid w:val="00B606F2"/>
    <w:rsid w:val="00B616FA"/>
    <w:rsid w:val="00B617D0"/>
    <w:rsid w:val="00B61C43"/>
    <w:rsid w:val="00B61FF8"/>
    <w:rsid w:val="00B62AAA"/>
    <w:rsid w:val="00B6314E"/>
    <w:rsid w:val="00B635E2"/>
    <w:rsid w:val="00B63B3D"/>
    <w:rsid w:val="00B64764"/>
    <w:rsid w:val="00B65081"/>
    <w:rsid w:val="00B650F8"/>
    <w:rsid w:val="00B65347"/>
    <w:rsid w:val="00B65581"/>
    <w:rsid w:val="00B65DE1"/>
    <w:rsid w:val="00B67864"/>
    <w:rsid w:val="00B70CC3"/>
    <w:rsid w:val="00B71988"/>
    <w:rsid w:val="00B71B72"/>
    <w:rsid w:val="00B72AF0"/>
    <w:rsid w:val="00B72BB4"/>
    <w:rsid w:val="00B73589"/>
    <w:rsid w:val="00B735AF"/>
    <w:rsid w:val="00B737EB"/>
    <w:rsid w:val="00B742AD"/>
    <w:rsid w:val="00B74727"/>
    <w:rsid w:val="00B74794"/>
    <w:rsid w:val="00B7491C"/>
    <w:rsid w:val="00B75F7D"/>
    <w:rsid w:val="00B764DB"/>
    <w:rsid w:val="00B76B10"/>
    <w:rsid w:val="00B76C7F"/>
    <w:rsid w:val="00B77267"/>
    <w:rsid w:val="00B775EE"/>
    <w:rsid w:val="00B77818"/>
    <w:rsid w:val="00B77CED"/>
    <w:rsid w:val="00B8014F"/>
    <w:rsid w:val="00B80268"/>
    <w:rsid w:val="00B80826"/>
    <w:rsid w:val="00B8097F"/>
    <w:rsid w:val="00B81205"/>
    <w:rsid w:val="00B816E1"/>
    <w:rsid w:val="00B81DE3"/>
    <w:rsid w:val="00B824C4"/>
    <w:rsid w:val="00B8259B"/>
    <w:rsid w:val="00B83065"/>
    <w:rsid w:val="00B831E3"/>
    <w:rsid w:val="00B853ED"/>
    <w:rsid w:val="00B85531"/>
    <w:rsid w:val="00B85AA3"/>
    <w:rsid w:val="00B862B1"/>
    <w:rsid w:val="00B86647"/>
    <w:rsid w:val="00B86684"/>
    <w:rsid w:val="00B86853"/>
    <w:rsid w:val="00B86895"/>
    <w:rsid w:val="00B86AEE"/>
    <w:rsid w:val="00B86E9B"/>
    <w:rsid w:val="00B876C7"/>
    <w:rsid w:val="00B87927"/>
    <w:rsid w:val="00B87BA0"/>
    <w:rsid w:val="00B87EF7"/>
    <w:rsid w:val="00B87FE7"/>
    <w:rsid w:val="00B9060E"/>
    <w:rsid w:val="00B90B8D"/>
    <w:rsid w:val="00B90CFC"/>
    <w:rsid w:val="00B9184E"/>
    <w:rsid w:val="00B91D39"/>
    <w:rsid w:val="00B91D99"/>
    <w:rsid w:val="00B91EFF"/>
    <w:rsid w:val="00B920B2"/>
    <w:rsid w:val="00B93262"/>
    <w:rsid w:val="00B933AD"/>
    <w:rsid w:val="00B93545"/>
    <w:rsid w:val="00B93EF8"/>
    <w:rsid w:val="00B94030"/>
    <w:rsid w:val="00B9458D"/>
    <w:rsid w:val="00B94D66"/>
    <w:rsid w:val="00B956F0"/>
    <w:rsid w:val="00B957C1"/>
    <w:rsid w:val="00B95EE7"/>
    <w:rsid w:val="00B96C80"/>
    <w:rsid w:val="00B97046"/>
    <w:rsid w:val="00B97365"/>
    <w:rsid w:val="00BA136F"/>
    <w:rsid w:val="00BA16FE"/>
    <w:rsid w:val="00BA18E3"/>
    <w:rsid w:val="00BA23BB"/>
    <w:rsid w:val="00BA2A54"/>
    <w:rsid w:val="00BA2BAE"/>
    <w:rsid w:val="00BA30C1"/>
    <w:rsid w:val="00BA30E6"/>
    <w:rsid w:val="00BA36E9"/>
    <w:rsid w:val="00BA3873"/>
    <w:rsid w:val="00BA3B35"/>
    <w:rsid w:val="00BA3D91"/>
    <w:rsid w:val="00BA4309"/>
    <w:rsid w:val="00BA458D"/>
    <w:rsid w:val="00BA616E"/>
    <w:rsid w:val="00BA6485"/>
    <w:rsid w:val="00BA67CB"/>
    <w:rsid w:val="00BA72C2"/>
    <w:rsid w:val="00BA7F53"/>
    <w:rsid w:val="00BA7FE8"/>
    <w:rsid w:val="00BB00F3"/>
    <w:rsid w:val="00BB0288"/>
    <w:rsid w:val="00BB0F1D"/>
    <w:rsid w:val="00BB113E"/>
    <w:rsid w:val="00BB1252"/>
    <w:rsid w:val="00BB15EB"/>
    <w:rsid w:val="00BB183B"/>
    <w:rsid w:val="00BB1890"/>
    <w:rsid w:val="00BB18C1"/>
    <w:rsid w:val="00BB1C4E"/>
    <w:rsid w:val="00BB1FD3"/>
    <w:rsid w:val="00BB2A13"/>
    <w:rsid w:val="00BB2E06"/>
    <w:rsid w:val="00BB454F"/>
    <w:rsid w:val="00BB4728"/>
    <w:rsid w:val="00BB5667"/>
    <w:rsid w:val="00BB5715"/>
    <w:rsid w:val="00BB58A1"/>
    <w:rsid w:val="00BB6115"/>
    <w:rsid w:val="00BB6826"/>
    <w:rsid w:val="00BB69EA"/>
    <w:rsid w:val="00BB6E9B"/>
    <w:rsid w:val="00BB6F79"/>
    <w:rsid w:val="00BB7402"/>
    <w:rsid w:val="00BB75D6"/>
    <w:rsid w:val="00BB7F46"/>
    <w:rsid w:val="00BC1BF4"/>
    <w:rsid w:val="00BC23C9"/>
    <w:rsid w:val="00BC282A"/>
    <w:rsid w:val="00BC287A"/>
    <w:rsid w:val="00BC334B"/>
    <w:rsid w:val="00BC3354"/>
    <w:rsid w:val="00BC33BD"/>
    <w:rsid w:val="00BC3482"/>
    <w:rsid w:val="00BC3710"/>
    <w:rsid w:val="00BC39AE"/>
    <w:rsid w:val="00BC3AEC"/>
    <w:rsid w:val="00BC3C13"/>
    <w:rsid w:val="00BC5842"/>
    <w:rsid w:val="00BC58AE"/>
    <w:rsid w:val="00BC5A79"/>
    <w:rsid w:val="00BC5EC1"/>
    <w:rsid w:val="00BC6799"/>
    <w:rsid w:val="00BC6E69"/>
    <w:rsid w:val="00BC70DF"/>
    <w:rsid w:val="00BC7467"/>
    <w:rsid w:val="00BC775A"/>
    <w:rsid w:val="00BC7B6F"/>
    <w:rsid w:val="00BD07B6"/>
    <w:rsid w:val="00BD0C49"/>
    <w:rsid w:val="00BD1256"/>
    <w:rsid w:val="00BD144A"/>
    <w:rsid w:val="00BD172D"/>
    <w:rsid w:val="00BD1831"/>
    <w:rsid w:val="00BD1C30"/>
    <w:rsid w:val="00BD2133"/>
    <w:rsid w:val="00BD22E0"/>
    <w:rsid w:val="00BD2628"/>
    <w:rsid w:val="00BD26AA"/>
    <w:rsid w:val="00BD2B12"/>
    <w:rsid w:val="00BD34A8"/>
    <w:rsid w:val="00BD41D7"/>
    <w:rsid w:val="00BD4255"/>
    <w:rsid w:val="00BD454F"/>
    <w:rsid w:val="00BD4711"/>
    <w:rsid w:val="00BD4923"/>
    <w:rsid w:val="00BD49B2"/>
    <w:rsid w:val="00BD4A7E"/>
    <w:rsid w:val="00BD4B9E"/>
    <w:rsid w:val="00BD4D77"/>
    <w:rsid w:val="00BD5502"/>
    <w:rsid w:val="00BD5DC5"/>
    <w:rsid w:val="00BD69AD"/>
    <w:rsid w:val="00BD6D3B"/>
    <w:rsid w:val="00BD6F5C"/>
    <w:rsid w:val="00BD7774"/>
    <w:rsid w:val="00BD7B22"/>
    <w:rsid w:val="00BD7CFC"/>
    <w:rsid w:val="00BE0B7F"/>
    <w:rsid w:val="00BE0EBF"/>
    <w:rsid w:val="00BE10D8"/>
    <w:rsid w:val="00BE10E0"/>
    <w:rsid w:val="00BE12B5"/>
    <w:rsid w:val="00BE1580"/>
    <w:rsid w:val="00BE1D7D"/>
    <w:rsid w:val="00BE20D9"/>
    <w:rsid w:val="00BE2F39"/>
    <w:rsid w:val="00BE3045"/>
    <w:rsid w:val="00BE3729"/>
    <w:rsid w:val="00BE42B6"/>
    <w:rsid w:val="00BE47B9"/>
    <w:rsid w:val="00BE4B84"/>
    <w:rsid w:val="00BE4D65"/>
    <w:rsid w:val="00BE5172"/>
    <w:rsid w:val="00BE5EF3"/>
    <w:rsid w:val="00BE6573"/>
    <w:rsid w:val="00BE6A51"/>
    <w:rsid w:val="00BE6E2F"/>
    <w:rsid w:val="00BE6ECB"/>
    <w:rsid w:val="00BE74A3"/>
    <w:rsid w:val="00BE7761"/>
    <w:rsid w:val="00BE7EA5"/>
    <w:rsid w:val="00BE7EE5"/>
    <w:rsid w:val="00BE7FAD"/>
    <w:rsid w:val="00BF19F1"/>
    <w:rsid w:val="00BF1A35"/>
    <w:rsid w:val="00BF2AD1"/>
    <w:rsid w:val="00BF2ED5"/>
    <w:rsid w:val="00BF30AB"/>
    <w:rsid w:val="00BF3839"/>
    <w:rsid w:val="00BF3E8C"/>
    <w:rsid w:val="00BF420D"/>
    <w:rsid w:val="00BF4E32"/>
    <w:rsid w:val="00BF52FA"/>
    <w:rsid w:val="00BF5624"/>
    <w:rsid w:val="00BF5669"/>
    <w:rsid w:val="00BF577E"/>
    <w:rsid w:val="00BF5858"/>
    <w:rsid w:val="00BF668F"/>
    <w:rsid w:val="00BF6C3D"/>
    <w:rsid w:val="00BF6F42"/>
    <w:rsid w:val="00BF7200"/>
    <w:rsid w:val="00BF729A"/>
    <w:rsid w:val="00BF766F"/>
    <w:rsid w:val="00BF7851"/>
    <w:rsid w:val="00BF78E8"/>
    <w:rsid w:val="00BF7D6E"/>
    <w:rsid w:val="00BF7D74"/>
    <w:rsid w:val="00BF7F22"/>
    <w:rsid w:val="00C0193D"/>
    <w:rsid w:val="00C01DCC"/>
    <w:rsid w:val="00C01E80"/>
    <w:rsid w:val="00C02349"/>
    <w:rsid w:val="00C02C91"/>
    <w:rsid w:val="00C02CD8"/>
    <w:rsid w:val="00C02CDC"/>
    <w:rsid w:val="00C02DD0"/>
    <w:rsid w:val="00C031A7"/>
    <w:rsid w:val="00C03714"/>
    <w:rsid w:val="00C03F13"/>
    <w:rsid w:val="00C04390"/>
    <w:rsid w:val="00C0440B"/>
    <w:rsid w:val="00C045A9"/>
    <w:rsid w:val="00C04D4F"/>
    <w:rsid w:val="00C053F2"/>
    <w:rsid w:val="00C055FF"/>
    <w:rsid w:val="00C05AE0"/>
    <w:rsid w:val="00C06768"/>
    <w:rsid w:val="00C06961"/>
    <w:rsid w:val="00C06F32"/>
    <w:rsid w:val="00C074BB"/>
    <w:rsid w:val="00C07EB9"/>
    <w:rsid w:val="00C1027B"/>
    <w:rsid w:val="00C10858"/>
    <w:rsid w:val="00C11296"/>
    <w:rsid w:val="00C12363"/>
    <w:rsid w:val="00C12753"/>
    <w:rsid w:val="00C14435"/>
    <w:rsid w:val="00C14C30"/>
    <w:rsid w:val="00C14C3D"/>
    <w:rsid w:val="00C15112"/>
    <w:rsid w:val="00C151E2"/>
    <w:rsid w:val="00C159B7"/>
    <w:rsid w:val="00C15B55"/>
    <w:rsid w:val="00C15CB4"/>
    <w:rsid w:val="00C1622E"/>
    <w:rsid w:val="00C1666C"/>
    <w:rsid w:val="00C16C02"/>
    <w:rsid w:val="00C16D37"/>
    <w:rsid w:val="00C16EB4"/>
    <w:rsid w:val="00C174FE"/>
    <w:rsid w:val="00C202B3"/>
    <w:rsid w:val="00C203CC"/>
    <w:rsid w:val="00C20624"/>
    <w:rsid w:val="00C207ED"/>
    <w:rsid w:val="00C20AEF"/>
    <w:rsid w:val="00C20D30"/>
    <w:rsid w:val="00C20F4D"/>
    <w:rsid w:val="00C213FB"/>
    <w:rsid w:val="00C21435"/>
    <w:rsid w:val="00C21CF7"/>
    <w:rsid w:val="00C21EE0"/>
    <w:rsid w:val="00C222BD"/>
    <w:rsid w:val="00C22E06"/>
    <w:rsid w:val="00C22F0C"/>
    <w:rsid w:val="00C23419"/>
    <w:rsid w:val="00C2341A"/>
    <w:rsid w:val="00C23BD4"/>
    <w:rsid w:val="00C24079"/>
    <w:rsid w:val="00C24D4E"/>
    <w:rsid w:val="00C24F9A"/>
    <w:rsid w:val="00C25971"/>
    <w:rsid w:val="00C25B1A"/>
    <w:rsid w:val="00C260DB"/>
    <w:rsid w:val="00C26E96"/>
    <w:rsid w:val="00C277F7"/>
    <w:rsid w:val="00C27A1E"/>
    <w:rsid w:val="00C30297"/>
    <w:rsid w:val="00C30645"/>
    <w:rsid w:val="00C3079E"/>
    <w:rsid w:val="00C30B41"/>
    <w:rsid w:val="00C30CDD"/>
    <w:rsid w:val="00C31843"/>
    <w:rsid w:val="00C31B30"/>
    <w:rsid w:val="00C31BEB"/>
    <w:rsid w:val="00C32D0C"/>
    <w:rsid w:val="00C32F9A"/>
    <w:rsid w:val="00C3353D"/>
    <w:rsid w:val="00C33B64"/>
    <w:rsid w:val="00C33E6B"/>
    <w:rsid w:val="00C346F6"/>
    <w:rsid w:val="00C347A9"/>
    <w:rsid w:val="00C34906"/>
    <w:rsid w:val="00C3492F"/>
    <w:rsid w:val="00C35083"/>
    <w:rsid w:val="00C352CF"/>
    <w:rsid w:val="00C35550"/>
    <w:rsid w:val="00C35977"/>
    <w:rsid w:val="00C36929"/>
    <w:rsid w:val="00C37897"/>
    <w:rsid w:val="00C37F7D"/>
    <w:rsid w:val="00C4033A"/>
    <w:rsid w:val="00C4121C"/>
    <w:rsid w:val="00C41406"/>
    <w:rsid w:val="00C414B3"/>
    <w:rsid w:val="00C4166C"/>
    <w:rsid w:val="00C419D4"/>
    <w:rsid w:val="00C41AE7"/>
    <w:rsid w:val="00C420F1"/>
    <w:rsid w:val="00C4252D"/>
    <w:rsid w:val="00C42B8A"/>
    <w:rsid w:val="00C4315F"/>
    <w:rsid w:val="00C435A4"/>
    <w:rsid w:val="00C43DFE"/>
    <w:rsid w:val="00C44130"/>
    <w:rsid w:val="00C44630"/>
    <w:rsid w:val="00C448A5"/>
    <w:rsid w:val="00C44DE0"/>
    <w:rsid w:val="00C4503F"/>
    <w:rsid w:val="00C45212"/>
    <w:rsid w:val="00C45459"/>
    <w:rsid w:val="00C45898"/>
    <w:rsid w:val="00C458BC"/>
    <w:rsid w:val="00C45922"/>
    <w:rsid w:val="00C45A97"/>
    <w:rsid w:val="00C45AAE"/>
    <w:rsid w:val="00C4639E"/>
    <w:rsid w:val="00C46F14"/>
    <w:rsid w:val="00C471A9"/>
    <w:rsid w:val="00C47223"/>
    <w:rsid w:val="00C47978"/>
    <w:rsid w:val="00C501CC"/>
    <w:rsid w:val="00C5061C"/>
    <w:rsid w:val="00C50648"/>
    <w:rsid w:val="00C507B3"/>
    <w:rsid w:val="00C50B48"/>
    <w:rsid w:val="00C50D73"/>
    <w:rsid w:val="00C5119B"/>
    <w:rsid w:val="00C51FE2"/>
    <w:rsid w:val="00C5236B"/>
    <w:rsid w:val="00C529E5"/>
    <w:rsid w:val="00C52E93"/>
    <w:rsid w:val="00C5306A"/>
    <w:rsid w:val="00C54015"/>
    <w:rsid w:val="00C5439C"/>
    <w:rsid w:val="00C54C17"/>
    <w:rsid w:val="00C553AC"/>
    <w:rsid w:val="00C555AC"/>
    <w:rsid w:val="00C55A6A"/>
    <w:rsid w:val="00C55AB0"/>
    <w:rsid w:val="00C56134"/>
    <w:rsid w:val="00C56947"/>
    <w:rsid w:val="00C56A9E"/>
    <w:rsid w:val="00C6010A"/>
    <w:rsid w:val="00C60883"/>
    <w:rsid w:val="00C60993"/>
    <w:rsid w:val="00C6159D"/>
    <w:rsid w:val="00C618DE"/>
    <w:rsid w:val="00C61D15"/>
    <w:rsid w:val="00C625CC"/>
    <w:rsid w:val="00C62AC8"/>
    <w:rsid w:val="00C632D7"/>
    <w:rsid w:val="00C6362E"/>
    <w:rsid w:val="00C63F7B"/>
    <w:rsid w:val="00C640AD"/>
    <w:rsid w:val="00C64100"/>
    <w:rsid w:val="00C64354"/>
    <w:rsid w:val="00C64652"/>
    <w:rsid w:val="00C648D1"/>
    <w:rsid w:val="00C651E3"/>
    <w:rsid w:val="00C6532B"/>
    <w:rsid w:val="00C653BA"/>
    <w:rsid w:val="00C656D2"/>
    <w:rsid w:val="00C657E1"/>
    <w:rsid w:val="00C6630F"/>
    <w:rsid w:val="00C6665B"/>
    <w:rsid w:val="00C67466"/>
    <w:rsid w:val="00C6758F"/>
    <w:rsid w:val="00C677F9"/>
    <w:rsid w:val="00C67F36"/>
    <w:rsid w:val="00C7122E"/>
    <w:rsid w:val="00C7124C"/>
    <w:rsid w:val="00C7132E"/>
    <w:rsid w:val="00C713ED"/>
    <w:rsid w:val="00C71945"/>
    <w:rsid w:val="00C71CB4"/>
    <w:rsid w:val="00C71FDD"/>
    <w:rsid w:val="00C722D8"/>
    <w:rsid w:val="00C72318"/>
    <w:rsid w:val="00C724E6"/>
    <w:rsid w:val="00C72980"/>
    <w:rsid w:val="00C72E2D"/>
    <w:rsid w:val="00C73429"/>
    <w:rsid w:val="00C73A3A"/>
    <w:rsid w:val="00C73B78"/>
    <w:rsid w:val="00C73C44"/>
    <w:rsid w:val="00C74149"/>
    <w:rsid w:val="00C743DD"/>
    <w:rsid w:val="00C747A5"/>
    <w:rsid w:val="00C74886"/>
    <w:rsid w:val="00C767CD"/>
    <w:rsid w:val="00C76820"/>
    <w:rsid w:val="00C770C4"/>
    <w:rsid w:val="00C77672"/>
    <w:rsid w:val="00C77746"/>
    <w:rsid w:val="00C80D56"/>
    <w:rsid w:val="00C80E49"/>
    <w:rsid w:val="00C81375"/>
    <w:rsid w:val="00C81BD1"/>
    <w:rsid w:val="00C81E12"/>
    <w:rsid w:val="00C82C61"/>
    <w:rsid w:val="00C83046"/>
    <w:rsid w:val="00C83359"/>
    <w:rsid w:val="00C83FE6"/>
    <w:rsid w:val="00C84721"/>
    <w:rsid w:val="00C84989"/>
    <w:rsid w:val="00C84B2C"/>
    <w:rsid w:val="00C851AA"/>
    <w:rsid w:val="00C85247"/>
    <w:rsid w:val="00C85314"/>
    <w:rsid w:val="00C85C3F"/>
    <w:rsid w:val="00C86187"/>
    <w:rsid w:val="00C867C9"/>
    <w:rsid w:val="00C867CC"/>
    <w:rsid w:val="00C86C19"/>
    <w:rsid w:val="00C87466"/>
    <w:rsid w:val="00C876C5"/>
    <w:rsid w:val="00C877A7"/>
    <w:rsid w:val="00C87CAB"/>
    <w:rsid w:val="00C87F0D"/>
    <w:rsid w:val="00C903E6"/>
    <w:rsid w:val="00C90448"/>
    <w:rsid w:val="00C906E6"/>
    <w:rsid w:val="00C90BEE"/>
    <w:rsid w:val="00C911AC"/>
    <w:rsid w:val="00C91676"/>
    <w:rsid w:val="00C916B8"/>
    <w:rsid w:val="00C923D0"/>
    <w:rsid w:val="00C9285B"/>
    <w:rsid w:val="00C932D8"/>
    <w:rsid w:val="00C9392E"/>
    <w:rsid w:val="00C9396D"/>
    <w:rsid w:val="00C93AAF"/>
    <w:rsid w:val="00C93E41"/>
    <w:rsid w:val="00C945A3"/>
    <w:rsid w:val="00C94CEC"/>
    <w:rsid w:val="00C950F0"/>
    <w:rsid w:val="00C952DD"/>
    <w:rsid w:val="00C956B7"/>
    <w:rsid w:val="00C95832"/>
    <w:rsid w:val="00C9588B"/>
    <w:rsid w:val="00C96285"/>
    <w:rsid w:val="00C964E0"/>
    <w:rsid w:val="00C9785D"/>
    <w:rsid w:val="00C97E28"/>
    <w:rsid w:val="00C97E3D"/>
    <w:rsid w:val="00CA0116"/>
    <w:rsid w:val="00CA03A6"/>
    <w:rsid w:val="00CA06E4"/>
    <w:rsid w:val="00CA0978"/>
    <w:rsid w:val="00CA0DA2"/>
    <w:rsid w:val="00CA0F52"/>
    <w:rsid w:val="00CA10ED"/>
    <w:rsid w:val="00CA1A71"/>
    <w:rsid w:val="00CA1B7D"/>
    <w:rsid w:val="00CA1C1D"/>
    <w:rsid w:val="00CA27CD"/>
    <w:rsid w:val="00CA314C"/>
    <w:rsid w:val="00CA41B9"/>
    <w:rsid w:val="00CA427D"/>
    <w:rsid w:val="00CA44A4"/>
    <w:rsid w:val="00CA4BC0"/>
    <w:rsid w:val="00CA4E7C"/>
    <w:rsid w:val="00CA51C4"/>
    <w:rsid w:val="00CA591E"/>
    <w:rsid w:val="00CA595E"/>
    <w:rsid w:val="00CA59AC"/>
    <w:rsid w:val="00CA5CA8"/>
    <w:rsid w:val="00CA6916"/>
    <w:rsid w:val="00CA6A1E"/>
    <w:rsid w:val="00CA6ACC"/>
    <w:rsid w:val="00CA6BF2"/>
    <w:rsid w:val="00CA7094"/>
    <w:rsid w:val="00CA74ED"/>
    <w:rsid w:val="00CA798E"/>
    <w:rsid w:val="00CA7C28"/>
    <w:rsid w:val="00CB0157"/>
    <w:rsid w:val="00CB020A"/>
    <w:rsid w:val="00CB08C5"/>
    <w:rsid w:val="00CB09A4"/>
    <w:rsid w:val="00CB0B52"/>
    <w:rsid w:val="00CB0DB3"/>
    <w:rsid w:val="00CB14E0"/>
    <w:rsid w:val="00CB1641"/>
    <w:rsid w:val="00CB1BBF"/>
    <w:rsid w:val="00CB211C"/>
    <w:rsid w:val="00CB21C4"/>
    <w:rsid w:val="00CB260B"/>
    <w:rsid w:val="00CB28E9"/>
    <w:rsid w:val="00CB2DB4"/>
    <w:rsid w:val="00CB399F"/>
    <w:rsid w:val="00CB3A1C"/>
    <w:rsid w:val="00CB3A2F"/>
    <w:rsid w:val="00CB40CB"/>
    <w:rsid w:val="00CB42A1"/>
    <w:rsid w:val="00CB4B3A"/>
    <w:rsid w:val="00CB4BCC"/>
    <w:rsid w:val="00CB5205"/>
    <w:rsid w:val="00CB542B"/>
    <w:rsid w:val="00CB590A"/>
    <w:rsid w:val="00CB6989"/>
    <w:rsid w:val="00CB6C2D"/>
    <w:rsid w:val="00CC1127"/>
    <w:rsid w:val="00CC12C3"/>
    <w:rsid w:val="00CC1377"/>
    <w:rsid w:val="00CC1500"/>
    <w:rsid w:val="00CC1799"/>
    <w:rsid w:val="00CC185B"/>
    <w:rsid w:val="00CC1BE6"/>
    <w:rsid w:val="00CC1CE2"/>
    <w:rsid w:val="00CC2173"/>
    <w:rsid w:val="00CC2471"/>
    <w:rsid w:val="00CC32EE"/>
    <w:rsid w:val="00CC33FA"/>
    <w:rsid w:val="00CC38AC"/>
    <w:rsid w:val="00CC3980"/>
    <w:rsid w:val="00CC484C"/>
    <w:rsid w:val="00CC49ED"/>
    <w:rsid w:val="00CC4AAF"/>
    <w:rsid w:val="00CC4C35"/>
    <w:rsid w:val="00CC4F69"/>
    <w:rsid w:val="00CC547F"/>
    <w:rsid w:val="00CC559D"/>
    <w:rsid w:val="00CC5F7C"/>
    <w:rsid w:val="00CC658C"/>
    <w:rsid w:val="00CC6A4E"/>
    <w:rsid w:val="00CC719C"/>
    <w:rsid w:val="00CC786A"/>
    <w:rsid w:val="00CC7E3F"/>
    <w:rsid w:val="00CD0429"/>
    <w:rsid w:val="00CD0A1E"/>
    <w:rsid w:val="00CD0C13"/>
    <w:rsid w:val="00CD0FAB"/>
    <w:rsid w:val="00CD16D6"/>
    <w:rsid w:val="00CD17A8"/>
    <w:rsid w:val="00CD1D5A"/>
    <w:rsid w:val="00CD1FDE"/>
    <w:rsid w:val="00CD29FE"/>
    <w:rsid w:val="00CD2E70"/>
    <w:rsid w:val="00CD368B"/>
    <w:rsid w:val="00CD3A2C"/>
    <w:rsid w:val="00CD4EB8"/>
    <w:rsid w:val="00CD4EC7"/>
    <w:rsid w:val="00CD560A"/>
    <w:rsid w:val="00CD5CF5"/>
    <w:rsid w:val="00CD5E96"/>
    <w:rsid w:val="00CD601C"/>
    <w:rsid w:val="00CD6082"/>
    <w:rsid w:val="00CD654B"/>
    <w:rsid w:val="00CD6D80"/>
    <w:rsid w:val="00CD7488"/>
    <w:rsid w:val="00CE02A6"/>
    <w:rsid w:val="00CE046C"/>
    <w:rsid w:val="00CE0F9B"/>
    <w:rsid w:val="00CE11A5"/>
    <w:rsid w:val="00CE13D0"/>
    <w:rsid w:val="00CE1688"/>
    <w:rsid w:val="00CE1B3E"/>
    <w:rsid w:val="00CE1E2B"/>
    <w:rsid w:val="00CE1E72"/>
    <w:rsid w:val="00CE2064"/>
    <w:rsid w:val="00CE223E"/>
    <w:rsid w:val="00CE29A7"/>
    <w:rsid w:val="00CE29CB"/>
    <w:rsid w:val="00CE2B5D"/>
    <w:rsid w:val="00CE2B65"/>
    <w:rsid w:val="00CE35CE"/>
    <w:rsid w:val="00CE3B98"/>
    <w:rsid w:val="00CE436A"/>
    <w:rsid w:val="00CE4542"/>
    <w:rsid w:val="00CE45B6"/>
    <w:rsid w:val="00CE4C09"/>
    <w:rsid w:val="00CE4E2E"/>
    <w:rsid w:val="00CE4F65"/>
    <w:rsid w:val="00CE503B"/>
    <w:rsid w:val="00CE5243"/>
    <w:rsid w:val="00CE56B2"/>
    <w:rsid w:val="00CE58E0"/>
    <w:rsid w:val="00CE58FD"/>
    <w:rsid w:val="00CE5F3C"/>
    <w:rsid w:val="00CE6081"/>
    <w:rsid w:val="00CE6276"/>
    <w:rsid w:val="00CE66C4"/>
    <w:rsid w:val="00CE67DC"/>
    <w:rsid w:val="00CE6A8F"/>
    <w:rsid w:val="00CE6B68"/>
    <w:rsid w:val="00CE6C97"/>
    <w:rsid w:val="00CE6FE0"/>
    <w:rsid w:val="00CE7284"/>
    <w:rsid w:val="00CE7695"/>
    <w:rsid w:val="00CE7AA9"/>
    <w:rsid w:val="00CE7E9E"/>
    <w:rsid w:val="00CF0587"/>
    <w:rsid w:val="00CF0685"/>
    <w:rsid w:val="00CF08D5"/>
    <w:rsid w:val="00CF0AD0"/>
    <w:rsid w:val="00CF0E4C"/>
    <w:rsid w:val="00CF173B"/>
    <w:rsid w:val="00CF18B1"/>
    <w:rsid w:val="00CF1E26"/>
    <w:rsid w:val="00CF20DE"/>
    <w:rsid w:val="00CF20E8"/>
    <w:rsid w:val="00CF250A"/>
    <w:rsid w:val="00CF25EA"/>
    <w:rsid w:val="00CF2693"/>
    <w:rsid w:val="00CF27A8"/>
    <w:rsid w:val="00CF299A"/>
    <w:rsid w:val="00CF2CAC"/>
    <w:rsid w:val="00CF2F78"/>
    <w:rsid w:val="00CF32AC"/>
    <w:rsid w:val="00CF35E8"/>
    <w:rsid w:val="00CF3F0D"/>
    <w:rsid w:val="00CF45C3"/>
    <w:rsid w:val="00CF4888"/>
    <w:rsid w:val="00CF4896"/>
    <w:rsid w:val="00CF4955"/>
    <w:rsid w:val="00CF4C15"/>
    <w:rsid w:val="00CF508D"/>
    <w:rsid w:val="00CF522B"/>
    <w:rsid w:val="00CF5CBC"/>
    <w:rsid w:val="00CF65DA"/>
    <w:rsid w:val="00CF71F3"/>
    <w:rsid w:val="00CF758E"/>
    <w:rsid w:val="00D0031F"/>
    <w:rsid w:val="00D00D57"/>
    <w:rsid w:val="00D0103E"/>
    <w:rsid w:val="00D01833"/>
    <w:rsid w:val="00D018FE"/>
    <w:rsid w:val="00D01B0B"/>
    <w:rsid w:val="00D01E18"/>
    <w:rsid w:val="00D01F08"/>
    <w:rsid w:val="00D04073"/>
    <w:rsid w:val="00D0463A"/>
    <w:rsid w:val="00D04FAE"/>
    <w:rsid w:val="00D0529E"/>
    <w:rsid w:val="00D05E6F"/>
    <w:rsid w:val="00D05EE5"/>
    <w:rsid w:val="00D060A1"/>
    <w:rsid w:val="00D06586"/>
    <w:rsid w:val="00D06995"/>
    <w:rsid w:val="00D069E6"/>
    <w:rsid w:val="00D06C01"/>
    <w:rsid w:val="00D0738C"/>
    <w:rsid w:val="00D074CD"/>
    <w:rsid w:val="00D07646"/>
    <w:rsid w:val="00D07AA3"/>
    <w:rsid w:val="00D101F7"/>
    <w:rsid w:val="00D120DB"/>
    <w:rsid w:val="00D120EA"/>
    <w:rsid w:val="00D12D8B"/>
    <w:rsid w:val="00D1335B"/>
    <w:rsid w:val="00D13500"/>
    <w:rsid w:val="00D13C1D"/>
    <w:rsid w:val="00D140E4"/>
    <w:rsid w:val="00D145F5"/>
    <w:rsid w:val="00D1473C"/>
    <w:rsid w:val="00D14876"/>
    <w:rsid w:val="00D14B13"/>
    <w:rsid w:val="00D14C04"/>
    <w:rsid w:val="00D14CB1"/>
    <w:rsid w:val="00D15205"/>
    <w:rsid w:val="00D15446"/>
    <w:rsid w:val="00D155D5"/>
    <w:rsid w:val="00D15DA4"/>
    <w:rsid w:val="00D15EDE"/>
    <w:rsid w:val="00D165F7"/>
    <w:rsid w:val="00D1680C"/>
    <w:rsid w:val="00D172BD"/>
    <w:rsid w:val="00D17C3F"/>
    <w:rsid w:val="00D17E51"/>
    <w:rsid w:val="00D2096C"/>
    <w:rsid w:val="00D20A3B"/>
    <w:rsid w:val="00D21A14"/>
    <w:rsid w:val="00D21A35"/>
    <w:rsid w:val="00D21BEE"/>
    <w:rsid w:val="00D21DF9"/>
    <w:rsid w:val="00D22259"/>
    <w:rsid w:val="00D234DA"/>
    <w:rsid w:val="00D23B45"/>
    <w:rsid w:val="00D23E02"/>
    <w:rsid w:val="00D23FE7"/>
    <w:rsid w:val="00D254E7"/>
    <w:rsid w:val="00D254F5"/>
    <w:rsid w:val="00D25870"/>
    <w:rsid w:val="00D25C0D"/>
    <w:rsid w:val="00D2625D"/>
    <w:rsid w:val="00D269C4"/>
    <w:rsid w:val="00D26A27"/>
    <w:rsid w:val="00D27039"/>
    <w:rsid w:val="00D27075"/>
    <w:rsid w:val="00D272C6"/>
    <w:rsid w:val="00D2777A"/>
    <w:rsid w:val="00D27848"/>
    <w:rsid w:val="00D278ED"/>
    <w:rsid w:val="00D27E15"/>
    <w:rsid w:val="00D303C0"/>
    <w:rsid w:val="00D303E0"/>
    <w:rsid w:val="00D314D4"/>
    <w:rsid w:val="00D316A1"/>
    <w:rsid w:val="00D31781"/>
    <w:rsid w:val="00D3241C"/>
    <w:rsid w:val="00D32995"/>
    <w:rsid w:val="00D329F1"/>
    <w:rsid w:val="00D32A4E"/>
    <w:rsid w:val="00D32FEF"/>
    <w:rsid w:val="00D3411B"/>
    <w:rsid w:val="00D3459E"/>
    <w:rsid w:val="00D34864"/>
    <w:rsid w:val="00D355F0"/>
    <w:rsid w:val="00D35FCE"/>
    <w:rsid w:val="00D361A0"/>
    <w:rsid w:val="00D3655D"/>
    <w:rsid w:val="00D3659E"/>
    <w:rsid w:val="00D36956"/>
    <w:rsid w:val="00D36DA0"/>
    <w:rsid w:val="00D37ADA"/>
    <w:rsid w:val="00D37C86"/>
    <w:rsid w:val="00D40327"/>
    <w:rsid w:val="00D40AA7"/>
    <w:rsid w:val="00D41A1A"/>
    <w:rsid w:val="00D41F5E"/>
    <w:rsid w:val="00D4220B"/>
    <w:rsid w:val="00D425D7"/>
    <w:rsid w:val="00D4270B"/>
    <w:rsid w:val="00D42828"/>
    <w:rsid w:val="00D42A0F"/>
    <w:rsid w:val="00D42E31"/>
    <w:rsid w:val="00D434C8"/>
    <w:rsid w:val="00D43AC8"/>
    <w:rsid w:val="00D44139"/>
    <w:rsid w:val="00D442FE"/>
    <w:rsid w:val="00D445AA"/>
    <w:rsid w:val="00D44C91"/>
    <w:rsid w:val="00D44CD4"/>
    <w:rsid w:val="00D44DA8"/>
    <w:rsid w:val="00D44EAE"/>
    <w:rsid w:val="00D452B3"/>
    <w:rsid w:val="00D46138"/>
    <w:rsid w:val="00D4660C"/>
    <w:rsid w:val="00D469E9"/>
    <w:rsid w:val="00D46F13"/>
    <w:rsid w:val="00D46FE5"/>
    <w:rsid w:val="00D472E7"/>
    <w:rsid w:val="00D47856"/>
    <w:rsid w:val="00D47B1C"/>
    <w:rsid w:val="00D47B96"/>
    <w:rsid w:val="00D47F61"/>
    <w:rsid w:val="00D500D5"/>
    <w:rsid w:val="00D50879"/>
    <w:rsid w:val="00D50A5E"/>
    <w:rsid w:val="00D50C7C"/>
    <w:rsid w:val="00D51117"/>
    <w:rsid w:val="00D5144B"/>
    <w:rsid w:val="00D51610"/>
    <w:rsid w:val="00D5163F"/>
    <w:rsid w:val="00D51CA6"/>
    <w:rsid w:val="00D51E95"/>
    <w:rsid w:val="00D51F63"/>
    <w:rsid w:val="00D52333"/>
    <w:rsid w:val="00D52361"/>
    <w:rsid w:val="00D52C7A"/>
    <w:rsid w:val="00D53449"/>
    <w:rsid w:val="00D54127"/>
    <w:rsid w:val="00D547E7"/>
    <w:rsid w:val="00D54914"/>
    <w:rsid w:val="00D54ECF"/>
    <w:rsid w:val="00D54F68"/>
    <w:rsid w:val="00D55371"/>
    <w:rsid w:val="00D5544B"/>
    <w:rsid w:val="00D5565B"/>
    <w:rsid w:val="00D55D68"/>
    <w:rsid w:val="00D55DFA"/>
    <w:rsid w:val="00D55E90"/>
    <w:rsid w:val="00D56113"/>
    <w:rsid w:val="00D56E04"/>
    <w:rsid w:val="00D57CCD"/>
    <w:rsid w:val="00D606D1"/>
    <w:rsid w:val="00D60B21"/>
    <w:rsid w:val="00D615B6"/>
    <w:rsid w:val="00D61A72"/>
    <w:rsid w:val="00D61FAB"/>
    <w:rsid w:val="00D625A5"/>
    <w:rsid w:val="00D62B34"/>
    <w:rsid w:val="00D62B7C"/>
    <w:rsid w:val="00D64014"/>
    <w:rsid w:val="00D643B4"/>
    <w:rsid w:val="00D643F4"/>
    <w:rsid w:val="00D647E4"/>
    <w:rsid w:val="00D64CEC"/>
    <w:rsid w:val="00D655D5"/>
    <w:rsid w:val="00D655FD"/>
    <w:rsid w:val="00D6607B"/>
    <w:rsid w:val="00D66165"/>
    <w:rsid w:val="00D66AD1"/>
    <w:rsid w:val="00D67110"/>
    <w:rsid w:val="00D67936"/>
    <w:rsid w:val="00D67EAD"/>
    <w:rsid w:val="00D707F6"/>
    <w:rsid w:val="00D71659"/>
    <w:rsid w:val="00D7189E"/>
    <w:rsid w:val="00D71EED"/>
    <w:rsid w:val="00D72D44"/>
    <w:rsid w:val="00D7379A"/>
    <w:rsid w:val="00D73808"/>
    <w:rsid w:val="00D73A37"/>
    <w:rsid w:val="00D73CA1"/>
    <w:rsid w:val="00D7471A"/>
    <w:rsid w:val="00D7537F"/>
    <w:rsid w:val="00D75457"/>
    <w:rsid w:val="00D75460"/>
    <w:rsid w:val="00D75770"/>
    <w:rsid w:val="00D76B59"/>
    <w:rsid w:val="00D77BA9"/>
    <w:rsid w:val="00D77F04"/>
    <w:rsid w:val="00D8012E"/>
    <w:rsid w:val="00D80135"/>
    <w:rsid w:val="00D802C2"/>
    <w:rsid w:val="00D811B7"/>
    <w:rsid w:val="00D817CA"/>
    <w:rsid w:val="00D81CF4"/>
    <w:rsid w:val="00D8230A"/>
    <w:rsid w:val="00D82448"/>
    <w:rsid w:val="00D82DD2"/>
    <w:rsid w:val="00D82FA5"/>
    <w:rsid w:val="00D8304E"/>
    <w:rsid w:val="00D833D9"/>
    <w:rsid w:val="00D833E2"/>
    <w:rsid w:val="00D83BD9"/>
    <w:rsid w:val="00D83EC5"/>
    <w:rsid w:val="00D84245"/>
    <w:rsid w:val="00D84394"/>
    <w:rsid w:val="00D84405"/>
    <w:rsid w:val="00D84B2C"/>
    <w:rsid w:val="00D850FD"/>
    <w:rsid w:val="00D85373"/>
    <w:rsid w:val="00D85CA1"/>
    <w:rsid w:val="00D86E49"/>
    <w:rsid w:val="00D87835"/>
    <w:rsid w:val="00D90911"/>
    <w:rsid w:val="00D90EBE"/>
    <w:rsid w:val="00D91455"/>
    <w:rsid w:val="00D9162E"/>
    <w:rsid w:val="00D91CEF"/>
    <w:rsid w:val="00D91F96"/>
    <w:rsid w:val="00D92237"/>
    <w:rsid w:val="00D9288A"/>
    <w:rsid w:val="00D929A3"/>
    <w:rsid w:val="00D930DE"/>
    <w:rsid w:val="00D93136"/>
    <w:rsid w:val="00D93567"/>
    <w:rsid w:val="00D93630"/>
    <w:rsid w:val="00D94DCF"/>
    <w:rsid w:val="00D94EAE"/>
    <w:rsid w:val="00D94F33"/>
    <w:rsid w:val="00D953E0"/>
    <w:rsid w:val="00D95444"/>
    <w:rsid w:val="00D95765"/>
    <w:rsid w:val="00D95D20"/>
    <w:rsid w:val="00D9695D"/>
    <w:rsid w:val="00D97E17"/>
    <w:rsid w:val="00DA06BF"/>
    <w:rsid w:val="00DA1C38"/>
    <w:rsid w:val="00DA1D86"/>
    <w:rsid w:val="00DA2340"/>
    <w:rsid w:val="00DA23FD"/>
    <w:rsid w:val="00DA287B"/>
    <w:rsid w:val="00DA2E17"/>
    <w:rsid w:val="00DA3035"/>
    <w:rsid w:val="00DA320F"/>
    <w:rsid w:val="00DA38AF"/>
    <w:rsid w:val="00DA3979"/>
    <w:rsid w:val="00DA3A6C"/>
    <w:rsid w:val="00DA3AAF"/>
    <w:rsid w:val="00DA3BC8"/>
    <w:rsid w:val="00DA3C37"/>
    <w:rsid w:val="00DA40ED"/>
    <w:rsid w:val="00DA4430"/>
    <w:rsid w:val="00DA4885"/>
    <w:rsid w:val="00DA4DAA"/>
    <w:rsid w:val="00DA5031"/>
    <w:rsid w:val="00DA53D1"/>
    <w:rsid w:val="00DA5473"/>
    <w:rsid w:val="00DA5694"/>
    <w:rsid w:val="00DA586F"/>
    <w:rsid w:val="00DA5C27"/>
    <w:rsid w:val="00DA7B7B"/>
    <w:rsid w:val="00DA7C46"/>
    <w:rsid w:val="00DB0850"/>
    <w:rsid w:val="00DB08DA"/>
    <w:rsid w:val="00DB0903"/>
    <w:rsid w:val="00DB0AA5"/>
    <w:rsid w:val="00DB0EFA"/>
    <w:rsid w:val="00DB1CBB"/>
    <w:rsid w:val="00DB1DDF"/>
    <w:rsid w:val="00DB2600"/>
    <w:rsid w:val="00DB294C"/>
    <w:rsid w:val="00DB2950"/>
    <w:rsid w:val="00DB2CA0"/>
    <w:rsid w:val="00DB2F33"/>
    <w:rsid w:val="00DB3370"/>
    <w:rsid w:val="00DB3B36"/>
    <w:rsid w:val="00DB4133"/>
    <w:rsid w:val="00DB4178"/>
    <w:rsid w:val="00DB48CF"/>
    <w:rsid w:val="00DB4B28"/>
    <w:rsid w:val="00DB4D12"/>
    <w:rsid w:val="00DB4DB3"/>
    <w:rsid w:val="00DB4F00"/>
    <w:rsid w:val="00DB5119"/>
    <w:rsid w:val="00DB5333"/>
    <w:rsid w:val="00DB5792"/>
    <w:rsid w:val="00DB60BA"/>
    <w:rsid w:val="00DB63FB"/>
    <w:rsid w:val="00DB702B"/>
    <w:rsid w:val="00DB7227"/>
    <w:rsid w:val="00DB76E8"/>
    <w:rsid w:val="00DB7B6E"/>
    <w:rsid w:val="00DB7F09"/>
    <w:rsid w:val="00DC00E8"/>
    <w:rsid w:val="00DC0412"/>
    <w:rsid w:val="00DC0563"/>
    <w:rsid w:val="00DC1138"/>
    <w:rsid w:val="00DC12CB"/>
    <w:rsid w:val="00DC130A"/>
    <w:rsid w:val="00DC1A03"/>
    <w:rsid w:val="00DC1AC1"/>
    <w:rsid w:val="00DC1C56"/>
    <w:rsid w:val="00DC1F34"/>
    <w:rsid w:val="00DC2149"/>
    <w:rsid w:val="00DC2214"/>
    <w:rsid w:val="00DC2287"/>
    <w:rsid w:val="00DC27CF"/>
    <w:rsid w:val="00DC29DD"/>
    <w:rsid w:val="00DC2AC9"/>
    <w:rsid w:val="00DC363E"/>
    <w:rsid w:val="00DC4756"/>
    <w:rsid w:val="00DC4E44"/>
    <w:rsid w:val="00DC5A8E"/>
    <w:rsid w:val="00DC5C1F"/>
    <w:rsid w:val="00DC5D6B"/>
    <w:rsid w:val="00DC6379"/>
    <w:rsid w:val="00DC6AAD"/>
    <w:rsid w:val="00DC6E48"/>
    <w:rsid w:val="00DC6FBC"/>
    <w:rsid w:val="00DC7AAC"/>
    <w:rsid w:val="00DC7D96"/>
    <w:rsid w:val="00DD0535"/>
    <w:rsid w:val="00DD05DF"/>
    <w:rsid w:val="00DD0D12"/>
    <w:rsid w:val="00DD11CF"/>
    <w:rsid w:val="00DD17FB"/>
    <w:rsid w:val="00DD18E0"/>
    <w:rsid w:val="00DD1BC1"/>
    <w:rsid w:val="00DD20CA"/>
    <w:rsid w:val="00DD238B"/>
    <w:rsid w:val="00DD2A99"/>
    <w:rsid w:val="00DD2D02"/>
    <w:rsid w:val="00DD2D44"/>
    <w:rsid w:val="00DD31E0"/>
    <w:rsid w:val="00DD37CA"/>
    <w:rsid w:val="00DD3901"/>
    <w:rsid w:val="00DD41B4"/>
    <w:rsid w:val="00DD456F"/>
    <w:rsid w:val="00DD4D04"/>
    <w:rsid w:val="00DD5C15"/>
    <w:rsid w:val="00DD5E7B"/>
    <w:rsid w:val="00DD630F"/>
    <w:rsid w:val="00DD65D8"/>
    <w:rsid w:val="00DD6D37"/>
    <w:rsid w:val="00DD6FEF"/>
    <w:rsid w:val="00DD7377"/>
    <w:rsid w:val="00DD7529"/>
    <w:rsid w:val="00DD7D74"/>
    <w:rsid w:val="00DE10BD"/>
    <w:rsid w:val="00DE1534"/>
    <w:rsid w:val="00DE2394"/>
    <w:rsid w:val="00DE2721"/>
    <w:rsid w:val="00DE2763"/>
    <w:rsid w:val="00DE319E"/>
    <w:rsid w:val="00DE3A53"/>
    <w:rsid w:val="00DE3C77"/>
    <w:rsid w:val="00DE41F1"/>
    <w:rsid w:val="00DE495C"/>
    <w:rsid w:val="00DE4B8E"/>
    <w:rsid w:val="00DE4D52"/>
    <w:rsid w:val="00DE4F36"/>
    <w:rsid w:val="00DE5C82"/>
    <w:rsid w:val="00DE5E78"/>
    <w:rsid w:val="00DE70F1"/>
    <w:rsid w:val="00DE711D"/>
    <w:rsid w:val="00DE7541"/>
    <w:rsid w:val="00DE758E"/>
    <w:rsid w:val="00DE7900"/>
    <w:rsid w:val="00DE7D67"/>
    <w:rsid w:val="00DE7E67"/>
    <w:rsid w:val="00DF0281"/>
    <w:rsid w:val="00DF0956"/>
    <w:rsid w:val="00DF136C"/>
    <w:rsid w:val="00DF1A38"/>
    <w:rsid w:val="00DF1D9A"/>
    <w:rsid w:val="00DF1E8F"/>
    <w:rsid w:val="00DF204A"/>
    <w:rsid w:val="00DF2ADF"/>
    <w:rsid w:val="00DF32E7"/>
    <w:rsid w:val="00DF39E9"/>
    <w:rsid w:val="00DF3A8A"/>
    <w:rsid w:val="00DF52A4"/>
    <w:rsid w:val="00DF5671"/>
    <w:rsid w:val="00DF629B"/>
    <w:rsid w:val="00DF6390"/>
    <w:rsid w:val="00DF6F1D"/>
    <w:rsid w:val="00DF6F61"/>
    <w:rsid w:val="00DF6FE0"/>
    <w:rsid w:val="00E001C9"/>
    <w:rsid w:val="00E00332"/>
    <w:rsid w:val="00E009F3"/>
    <w:rsid w:val="00E00C4F"/>
    <w:rsid w:val="00E00F3A"/>
    <w:rsid w:val="00E0152B"/>
    <w:rsid w:val="00E01E5B"/>
    <w:rsid w:val="00E02142"/>
    <w:rsid w:val="00E02576"/>
    <w:rsid w:val="00E02B0D"/>
    <w:rsid w:val="00E02E0D"/>
    <w:rsid w:val="00E02F09"/>
    <w:rsid w:val="00E02FEF"/>
    <w:rsid w:val="00E034C9"/>
    <w:rsid w:val="00E03A91"/>
    <w:rsid w:val="00E03C02"/>
    <w:rsid w:val="00E04153"/>
    <w:rsid w:val="00E041B8"/>
    <w:rsid w:val="00E04419"/>
    <w:rsid w:val="00E04D25"/>
    <w:rsid w:val="00E05112"/>
    <w:rsid w:val="00E054F1"/>
    <w:rsid w:val="00E05541"/>
    <w:rsid w:val="00E05634"/>
    <w:rsid w:val="00E05EE2"/>
    <w:rsid w:val="00E05F88"/>
    <w:rsid w:val="00E06118"/>
    <w:rsid w:val="00E06ACA"/>
    <w:rsid w:val="00E06E66"/>
    <w:rsid w:val="00E076E4"/>
    <w:rsid w:val="00E07FC4"/>
    <w:rsid w:val="00E101C6"/>
    <w:rsid w:val="00E10698"/>
    <w:rsid w:val="00E10B41"/>
    <w:rsid w:val="00E117D0"/>
    <w:rsid w:val="00E11D9D"/>
    <w:rsid w:val="00E11FD7"/>
    <w:rsid w:val="00E12090"/>
    <w:rsid w:val="00E12C67"/>
    <w:rsid w:val="00E13020"/>
    <w:rsid w:val="00E132A0"/>
    <w:rsid w:val="00E13D72"/>
    <w:rsid w:val="00E143FB"/>
    <w:rsid w:val="00E1476B"/>
    <w:rsid w:val="00E15D8B"/>
    <w:rsid w:val="00E1639E"/>
    <w:rsid w:val="00E16407"/>
    <w:rsid w:val="00E16443"/>
    <w:rsid w:val="00E20367"/>
    <w:rsid w:val="00E203D3"/>
    <w:rsid w:val="00E20479"/>
    <w:rsid w:val="00E20A12"/>
    <w:rsid w:val="00E20B81"/>
    <w:rsid w:val="00E215C1"/>
    <w:rsid w:val="00E2181D"/>
    <w:rsid w:val="00E22581"/>
    <w:rsid w:val="00E22BF9"/>
    <w:rsid w:val="00E22D51"/>
    <w:rsid w:val="00E22FF2"/>
    <w:rsid w:val="00E2384A"/>
    <w:rsid w:val="00E239D6"/>
    <w:rsid w:val="00E23C3F"/>
    <w:rsid w:val="00E243CF"/>
    <w:rsid w:val="00E2484E"/>
    <w:rsid w:val="00E24BA8"/>
    <w:rsid w:val="00E25269"/>
    <w:rsid w:val="00E2529C"/>
    <w:rsid w:val="00E258AA"/>
    <w:rsid w:val="00E25E8A"/>
    <w:rsid w:val="00E26892"/>
    <w:rsid w:val="00E26B37"/>
    <w:rsid w:val="00E26E8A"/>
    <w:rsid w:val="00E2723E"/>
    <w:rsid w:val="00E27AF5"/>
    <w:rsid w:val="00E304FC"/>
    <w:rsid w:val="00E31780"/>
    <w:rsid w:val="00E31A84"/>
    <w:rsid w:val="00E31B2C"/>
    <w:rsid w:val="00E328D9"/>
    <w:rsid w:val="00E33147"/>
    <w:rsid w:val="00E331C5"/>
    <w:rsid w:val="00E33326"/>
    <w:rsid w:val="00E333CB"/>
    <w:rsid w:val="00E333CF"/>
    <w:rsid w:val="00E333D8"/>
    <w:rsid w:val="00E337D4"/>
    <w:rsid w:val="00E33CD7"/>
    <w:rsid w:val="00E349A7"/>
    <w:rsid w:val="00E34CCC"/>
    <w:rsid w:val="00E351C3"/>
    <w:rsid w:val="00E35730"/>
    <w:rsid w:val="00E36127"/>
    <w:rsid w:val="00E36743"/>
    <w:rsid w:val="00E37200"/>
    <w:rsid w:val="00E375AD"/>
    <w:rsid w:val="00E37B5B"/>
    <w:rsid w:val="00E37C84"/>
    <w:rsid w:val="00E40E9A"/>
    <w:rsid w:val="00E411FD"/>
    <w:rsid w:val="00E41402"/>
    <w:rsid w:val="00E41F08"/>
    <w:rsid w:val="00E41FF8"/>
    <w:rsid w:val="00E42102"/>
    <w:rsid w:val="00E42635"/>
    <w:rsid w:val="00E426FA"/>
    <w:rsid w:val="00E4291C"/>
    <w:rsid w:val="00E42A13"/>
    <w:rsid w:val="00E438B1"/>
    <w:rsid w:val="00E442BA"/>
    <w:rsid w:val="00E4575F"/>
    <w:rsid w:val="00E4660D"/>
    <w:rsid w:val="00E46E94"/>
    <w:rsid w:val="00E46EF6"/>
    <w:rsid w:val="00E47365"/>
    <w:rsid w:val="00E50368"/>
    <w:rsid w:val="00E50738"/>
    <w:rsid w:val="00E50751"/>
    <w:rsid w:val="00E5080D"/>
    <w:rsid w:val="00E50E52"/>
    <w:rsid w:val="00E50E7C"/>
    <w:rsid w:val="00E51516"/>
    <w:rsid w:val="00E51545"/>
    <w:rsid w:val="00E518B0"/>
    <w:rsid w:val="00E51A2D"/>
    <w:rsid w:val="00E51B35"/>
    <w:rsid w:val="00E51D83"/>
    <w:rsid w:val="00E51D9E"/>
    <w:rsid w:val="00E52035"/>
    <w:rsid w:val="00E5280B"/>
    <w:rsid w:val="00E5296A"/>
    <w:rsid w:val="00E530E6"/>
    <w:rsid w:val="00E53509"/>
    <w:rsid w:val="00E537D1"/>
    <w:rsid w:val="00E54874"/>
    <w:rsid w:val="00E556A6"/>
    <w:rsid w:val="00E55F56"/>
    <w:rsid w:val="00E567E6"/>
    <w:rsid w:val="00E56971"/>
    <w:rsid w:val="00E5698D"/>
    <w:rsid w:val="00E56C44"/>
    <w:rsid w:val="00E5702B"/>
    <w:rsid w:val="00E57509"/>
    <w:rsid w:val="00E5750E"/>
    <w:rsid w:val="00E6022C"/>
    <w:rsid w:val="00E6039B"/>
    <w:rsid w:val="00E60A63"/>
    <w:rsid w:val="00E60AC5"/>
    <w:rsid w:val="00E60D9A"/>
    <w:rsid w:val="00E612AE"/>
    <w:rsid w:val="00E61484"/>
    <w:rsid w:val="00E61FBA"/>
    <w:rsid w:val="00E62781"/>
    <w:rsid w:val="00E6322D"/>
    <w:rsid w:val="00E63BF2"/>
    <w:rsid w:val="00E63EDE"/>
    <w:rsid w:val="00E64535"/>
    <w:rsid w:val="00E6478B"/>
    <w:rsid w:val="00E64AB8"/>
    <w:rsid w:val="00E64D54"/>
    <w:rsid w:val="00E6528E"/>
    <w:rsid w:val="00E656C4"/>
    <w:rsid w:val="00E65DB3"/>
    <w:rsid w:val="00E6632F"/>
    <w:rsid w:val="00E66480"/>
    <w:rsid w:val="00E6670B"/>
    <w:rsid w:val="00E66D0D"/>
    <w:rsid w:val="00E674E8"/>
    <w:rsid w:val="00E67F17"/>
    <w:rsid w:val="00E7017C"/>
    <w:rsid w:val="00E7085B"/>
    <w:rsid w:val="00E70995"/>
    <w:rsid w:val="00E711D7"/>
    <w:rsid w:val="00E714B7"/>
    <w:rsid w:val="00E716E1"/>
    <w:rsid w:val="00E72621"/>
    <w:rsid w:val="00E72635"/>
    <w:rsid w:val="00E728CC"/>
    <w:rsid w:val="00E73C40"/>
    <w:rsid w:val="00E7413A"/>
    <w:rsid w:val="00E74979"/>
    <w:rsid w:val="00E74AEA"/>
    <w:rsid w:val="00E7518E"/>
    <w:rsid w:val="00E759E9"/>
    <w:rsid w:val="00E75CFB"/>
    <w:rsid w:val="00E76482"/>
    <w:rsid w:val="00E76A7A"/>
    <w:rsid w:val="00E770CC"/>
    <w:rsid w:val="00E771B8"/>
    <w:rsid w:val="00E771DA"/>
    <w:rsid w:val="00E77CDF"/>
    <w:rsid w:val="00E801B6"/>
    <w:rsid w:val="00E807FD"/>
    <w:rsid w:val="00E815E1"/>
    <w:rsid w:val="00E81915"/>
    <w:rsid w:val="00E81919"/>
    <w:rsid w:val="00E822D0"/>
    <w:rsid w:val="00E8361E"/>
    <w:rsid w:val="00E83F2C"/>
    <w:rsid w:val="00E83FD4"/>
    <w:rsid w:val="00E84A4F"/>
    <w:rsid w:val="00E85610"/>
    <w:rsid w:val="00E8598F"/>
    <w:rsid w:val="00E85C37"/>
    <w:rsid w:val="00E85C66"/>
    <w:rsid w:val="00E85F2C"/>
    <w:rsid w:val="00E87778"/>
    <w:rsid w:val="00E90195"/>
    <w:rsid w:val="00E902B0"/>
    <w:rsid w:val="00E902E8"/>
    <w:rsid w:val="00E9049F"/>
    <w:rsid w:val="00E90772"/>
    <w:rsid w:val="00E90DAC"/>
    <w:rsid w:val="00E91390"/>
    <w:rsid w:val="00E91C19"/>
    <w:rsid w:val="00E9296B"/>
    <w:rsid w:val="00E9310D"/>
    <w:rsid w:val="00E932F7"/>
    <w:rsid w:val="00E9363D"/>
    <w:rsid w:val="00E9449D"/>
    <w:rsid w:val="00E94857"/>
    <w:rsid w:val="00E950F5"/>
    <w:rsid w:val="00E952A4"/>
    <w:rsid w:val="00E955F0"/>
    <w:rsid w:val="00E95734"/>
    <w:rsid w:val="00E963F7"/>
    <w:rsid w:val="00E9655D"/>
    <w:rsid w:val="00E978C9"/>
    <w:rsid w:val="00E979E8"/>
    <w:rsid w:val="00E97A02"/>
    <w:rsid w:val="00E97B86"/>
    <w:rsid w:val="00E97C19"/>
    <w:rsid w:val="00E97D25"/>
    <w:rsid w:val="00EA041E"/>
    <w:rsid w:val="00EA0512"/>
    <w:rsid w:val="00EA082A"/>
    <w:rsid w:val="00EA0A05"/>
    <w:rsid w:val="00EA1594"/>
    <w:rsid w:val="00EA178D"/>
    <w:rsid w:val="00EA1B4C"/>
    <w:rsid w:val="00EA1B63"/>
    <w:rsid w:val="00EA1C85"/>
    <w:rsid w:val="00EA2007"/>
    <w:rsid w:val="00EA22BA"/>
    <w:rsid w:val="00EA23AC"/>
    <w:rsid w:val="00EA2691"/>
    <w:rsid w:val="00EA28D9"/>
    <w:rsid w:val="00EA2968"/>
    <w:rsid w:val="00EA2DC7"/>
    <w:rsid w:val="00EA2E4A"/>
    <w:rsid w:val="00EA3059"/>
    <w:rsid w:val="00EA3457"/>
    <w:rsid w:val="00EA35CB"/>
    <w:rsid w:val="00EA398F"/>
    <w:rsid w:val="00EA42C8"/>
    <w:rsid w:val="00EA49B0"/>
    <w:rsid w:val="00EA4CB2"/>
    <w:rsid w:val="00EA4F07"/>
    <w:rsid w:val="00EA6844"/>
    <w:rsid w:val="00EA6C11"/>
    <w:rsid w:val="00EA6EB4"/>
    <w:rsid w:val="00EA741A"/>
    <w:rsid w:val="00EA761F"/>
    <w:rsid w:val="00EA7C3D"/>
    <w:rsid w:val="00EA7DF9"/>
    <w:rsid w:val="00EA7FE3"/>
    <w:rsid w:val="00EB00C7"/>
    <w:rsid w:val="00EB081E"/>
    <w:rsid w:val="00EB0F57"/>
    <w:rsid w:val="00EB141F"/>
    <w:rsid w:val="00EB1AC9"/>
    <w:rsid w:val="00EB1F1F"/>
    <w:rsid w:val="00EB2812"/>
    <w:rsid w:val="00EB2B0B"/>
    <w:rsid w:val="00EB2CA4"/>
    <w:rsid w:val="00EB344F"/>
    <w:rsid w:val="00EB3F95"/>
    <w:rsid w:val="00EB4778"/>
    <w:rsid w:val="00EB4890"/>
    <w:rsid w:val="00EB4985"/>
    <w:rsid w:val="00EB4B0B"/>
    <w:rsid w:val="00EB55E9"/>
    <w:rsid w:val="00EB59A0"/>
    <w:rsid w:val="00EB5BCA"/>
    <w:rsid w:val="00EB63CE"/>
    <w:rsid w:val="00EB6878"/>
    <w:rsid w:val="00EB6E89"/>
    <w:rsid w:val="00EB6EBA"/>
    <w:rsid w:val="00EB70D7"/>
    <w:rsid w:val="00EB7339"/>
    <w:rsid w:val="00EB745F"/>
    <w:rsid w:val="00EB75D4"/>
    <w:rsid w:val="00EB77BD"/>
    <w:rsid w:val="00EB7C28"/>
    <w:rsid w:val="00EB7C56"/>
    <w:rsid w:val="00EC06EF"/>
    <w:rsid w:val="00EC0A7A"/>
    <w:rsid w:val="00EC0AF2"/>
    <w:rsid w:val="00EC0BAE"/>
    <w:rsid w:val="00EC1430"/>
    <w:rsid w:val="00EC1E0E"/>
    <w:rsid w:val="00EC1E2B"/>
    <w:rsid w:val="00EC1F89"/>
    <w:rsid w:val="00EC236D"/>
    <w:rsid w:val="00EC31B9"/>
    <w:rsid w:val="00EC3278"/>
    <w:rsid w:val="00EC394D"/>
    <w:rsid w:val="00EC3969"/>
    <w:rsid w:val="00EC4372"/>
    <w:rsid w:val="00EC4518"/>
    <w:rsid w:val="00EC4555"/>
    <w:rsid w:val="00EC4711"/>
    <w:rsid w:val="00EC493A"/>
    <w:rsid w:val="00EC4BDB"/>
    <w:rsid w:val="00EC5514"/>
    <w:rsid w:val="00EC570F"/>
    <w:rsid w:val="00EC57BF"/>
    <w:rsid w:val="00EC5B8D"/>
    <w:rsid w:val="00EC6125"/>
    <w:rsid w:val="00EC62FD"/>
    <w:rsid w:val="00EC683D"/>
    <w:rsid w:val="00EC6B16"/>
    <w:rsid w:val="00EC6F71"/>
    <w:rsid w:val="00EC733B"/>
    <w:rsid w:val="00EC7661"/>
    <w:rsid w:val="00ED0321"/>
    <w:rsid w:val="00ED0A84"/>
    <w:rsid w:val="00ED0DE8"/>
    <w:rsid w:val="00ED1180"/>
    <w:rsid w:val="00ED1201"/>
    <w:rsid w:val="00ED1969"/>
    <w:rsid w:val="00ED1F2F"/>
    <w:rsid w:val="00ED2269"/>
    <w:rsid w:val="00ED28C2"/>
    <w:rsid w:val="00ED28EC"/>
    <w:rsid w:val="00ED2E85"/>
    <w:rsid w:val="00ED3376"/>
    <w:rsid w:val="00ED3F19"/>
    <w:rsid w:val="00ED4402"/>
    <w:rsid w:val="00ED5019"/>
    <w:rsid w:val="00ED5576"/>
    <w:rsid w:val="00ED5A20"/>
    <w:rsid w:val="00ED5B32"/>
    <w:rsid w:val="00ED5EE5"/>
    <w:rsid w:val="00ED6270"/>
    <w:rsid w:val="00ED63D1"/>
    <w:rsid w:val="00ED6678"/>
    <w:rsid w:val="00ED6693"/>
    <w:rsid w:val="00ED66D9"/>
    <w:rsid w:val="00ED6AB1"/>
    <w:rsid w:val="00ED6C72"/>
    <w:rsid w:val="00ED728C"/>
    <w:rsid w:val="00ED728E"/>
    <w:rsid w:val="00ED75F8"/>
    <w:rsid w:val="00ED7615"/>
    <w:rsid w:val="00ED79F0"/>
    <w:rsid w:val="00ED7AF6"/>
    <w:rsid w:val="00ED7BF8"/>
    <w:rsid w:val="00ED7D23"/>
    <w:rsid w:val="00EE00E7"/>
    <w:rsid w:val="00EE021D"/>
    <w:rsid w:val="00EE0E68"/>
    <w:rsid w:val="00EE0F1A"/>
    <w:rsid w:val="00EE11C2"/>
    <w:rsid w:val="00EE1447"/>
    <w:rsid w:val="00EE1BF1"/>
    <w:rsid w:val="00EE1C1F"/>
    <w:rsid w:val="00EE1F43"/>
    <w:rsid w:val="00EE30EB"/>
    <w:rsid w:val="00EE3375"/>
    <w:rsid w:val="00EE3A23"/>
    <w:rsid w:val="00EE44F7"/>
    <w:rsid w:val="00EE4864"/>
    <w:rsid w:val="00EE4A15"/>
    <w:rsid w:val="00EE50B4"/>
    <w:rsid w:val="00EE556E"/>
    <w:rsid w:val="00EE5BA2"/>
    <w:rsid w:val="00EE5EB6"/>
    <w:rsid w:val="00EE600E"/>
    <w:rsid w:val="00EE611E"/>
    <w:rsid w:val="00EE6C32"/>
    <w:rsid w:val="00EE6DC8"/>
    <w:rsid w:val="00EE6E2B"/>
    <w:rsid w:val="00EE6F3D"/>
    <w:rsid w:val="00EE746E"/>
    <w:rsid w:val="00EE7521"/>
    <w:rsid w:val="00EE7744"/>
    <w:rsid w:val="00EE7764"/>
    <w:rsid w:val="00EF03E1"/>
    <w:rsid w:val="00EF055A"/>
    <w:rsid w:val="00EF05E9"/>
    <w:rsid w:val="00EF06CB"/>
    <w:rsid w:val="00EF0BE7"/>
    <w:rsid w:val="00EF103A"/>
    <w:rsid w:val="00EF145E"/>
    <w:rsid w:val="00EF1B6C"/>
    <w:rsid w:val="00EF1C1E"/>
    <w:rsid w:val="00EF1FC6"/>
    <w:rsid w:val="00EF2996"/>
    <w:rsid w:val="00EF2B80"/>
    <w:rsid w:val="00EF2BBB"/>
    <w:rsid w:val="00EF2E0E"/>
    <w:rsid w:val="00EF30AA"/>
    <w:rsid w:val="00EF31B6"/>
    <w:rsid w:val="00EF3767"/>
    <w:rsid w:val="00EF3D33"/>
    <w:rsid w:val="00EF3EEE"/>
    <w:rsid w:val="00EF40A9"/>
    <w:rsid w:val="00EF45AC"/>
    <w:rsid w:val="00EF4CAB"/>
    <w:rsid w:val="00EF53A5"/>
    <w:rsid w:val="00EF541F"/>
    <w:rsid w:val="00EF5565"/>
    <w:rsid w:val="00EF5953"/>
    <w:rsid w:val="00EF61B7"/>
    <w:rsid w:val="00EF6A31"/>
    <w:rsid w:val="00EF6F05"/>
    <w:rsid w:val="00EF6FC8"/>
    <w:rsid w:val="00EF728A"/>
    <w:rsid w:val="00EF72CC"/>
    <w:rsid w:val="00EF770C"/>
    <w:rsid w:val="00EF7D4C"/>
    <w:rsid w:val="00F00141"/>
    <w:rsid w:val="00F0082D"/>
    <w:rsid w:val="00F00E09"/>
    <w:rsid w:val="00F00EC9"/>
    <w:rsid w:val="00F015AB"/>
    <w:rsid w:val="00F018AA"/>
    <w:rsid w:val="00F01BCD"/>
    <w:rsid w:val="00F024C2"/>
    <w:rsid w:val="00F02BB7"/>
    <w:rsid w:val="00F02FFB"/>
    <w:rsid w:val="00F036B6"/>
    <w:rsid w:val="00F03FB7"/>
    <w:rsid w:val="00F04381"/>
    <w:rsid w:val="00F045E0"/>
    <w:rsid w:val="00F0480C"/>
    <w:rsid w:val="00F04A26"/>
    <w:rsid w:val="00F050AC"/>
    <w:rsid w:val="00F050DA"/>
    <w:rsid w:val="00F05961"/>
    <w:rsid w:val="00F05F82"/>
    <w:rsid w:val="00F068F6"/>
    <w:rsid w:val="00F06B32"/>
    <w:rsid w:val="00F06BA1"/>
    <w:rsid w:val="00F06FA3"/>
    <w:rsid w:val="00F0784C"/>
    <w:rsid w:val="00F07A5C"/>
    <w:rsid w:val="00F07C90"/>
    <w:rsid w:val="00F07D59"/>
    <w:rsid w:val="00F07E14"/>
    <w:rsid w:val="00F101BA"/>
    <w:rsid w:val="00F1020D"/>
    <w:rsid w:val="00F10799"/>
    <w:rsid w:val="00F10B06"/>
    <w:rsid w:val="00F111B0"/>
    <w:rsid w:val="00F1151D"/>
    <w:rsid w:val="00F120B8"/>
    <w:rsid w:val="00F12271"/>
    <w:rsid w:val="00F1238F"/>
    <w:rsid w:val="00F13689"/>
    <w:rsid w:val="00F13C6D"/>
    <w:rsid w:val="00F13FBF"/>
    <w:rsid w:val="00F1451D"/>
    <w:rsid w:val="00F14991"/>
    <w:rsid w:val="00F14C6B"/>
    <w:rsid w:val="00F14DA6"/>
    <w:rsid w:val="00F1597C"/>
    <w:rsid w:val="00F15D91"/>
    <w:rsid w:val="00F15FFB"/>
    <w:rsid w:val="00F170B6"/>
    <w:rsid w:val="00F17539"/>
    <w:rsid w:val="00F2074B"/>
    <w:rsid w:val="00F20989"/>
    <w:rsid w:val="00F20E5D"/>
    <w:rsid w:val="00F20F8A"/>
    <w:rsid w:val="00F21581"/>
    <w:rsid w:val="00F2166E"/>
    <w:rsid w:val="00F22A03"/>
    <w:rsid w:val="00F23F64"/>
    <w:rsid w:val="00F23F6B"/>
    <w:rsid w:val="00F24032"/>
    <w:rsid w:val="00F24042"/>
    <w:rsid w:val="00F2425F"/>
    <w:rsid w:val="00F2460D"/>
    <w:rsid w:val="00F248E8"/>
    <w:rsid w:val="00F24F1F"/>
    <w:rsid w:val="00F257A7"/>
    <w:rsid w:val="00F25965"/>
    <w:rsid w:val="00F25A56"/>
    <w:rsid w:val="00F2600E"/>
    <w:rsid w:val="00F27002"/>
    <w:rsid w:val="00F27075"/>
    <w:rsid w:val="00F27403"/>
    <w:rsid w:val="00F27F4E"/>
    <w:rsid w:val="00F27F7F"/>
    <w:rsid w:val="00F304A4"/>
    <w:rsid w:val="00F3050C"/>
    <w:rsid w:val="00F30872"/>
    <w:rsid w:val="00F308F1"/>
    <w:rsid w:val="00F30CCB"/>
    <w:rsid w:val="00F31073"/>
    <w:rsid w:val="00F317DD"/>
    <w:rsid w:val="00F31C99"/>
    <w:rsid w:val="00F31CB9"/>
    <w:rsid w:val="00F32483"/>
    <w:rsid w:val="00F325C9"/>
    <w:rsid w:val="00F32B96"/>
    <w:rsid w:val="00F32DEB"/>
    <w:rsid w:val="00F32E4B"/>
    <w:rsid w:val="00F33DB8"/>
    <w:rsid w:val="00F3470F"/>
    <w:rsid w:val="00F35134"/>
    <w:rsid w:val="00F35DC5"/>
    <w:rsid w:val="00F36203"/>
    <w:rsid w:val="00F36877"/>
    <w:rsid w:val="00F37483"/>
    <w:rsid w:val="00F3749D"/>
    <w:rsid w:val="00F37C54"/>
    <w:rsid w:val="00F404EF"/>
    <w:rsid w:val="00F40E33"/>
    <w:rsid w:val="00F40E68"/>
    <w:rsid w:val="00F411A4"/>
    <w:rsid w:val="00F411D2"/>
    <w:rsid w:val="00F4141C"/>
    <w:rsid w:val="00F4156C"/>
    <w:rsid w:val="00F4159E"/>
    <w:rsid w:val="00F416D7"/>
    <w:rsid w:val="00F4351D"/>
    <w:rsid w:val="00F43634"/>
    <w:rsid w:val="00F43A23"/>
    <w:rsid w:val="00F43D9F"/>
    <w:rsid w:val="00F43F03"/>
    <w:rsid w:val="00F44258"/>
    <w:rsid w:val="00F442C5"/>
    <w:rsid w:val="00F44430"/>
    <w:rsid w:val="00F44E93"/>
    <w:rsid w:val="00F4532F"/>
    <w:rsid w:val="00F453A1"/>
    <w:rsid w:val="00F45AA7"/>
    <w:rsid w:val="00F45E33"/>
    <w:rsid w:val="00F46599"/>
    <w:rsid w:val="00F4664D"/>
    <w:rsid w:val="00F469D0"/>
    <w:rsid w:val="00F47164"/>
    <w:rsid w:val="00F47197"/>
    <w:rsid w:val="00F47323"/>
    <w:rsid w:val="00F47ACD"/>
    <w:rsid w:val="00F47B34"/>
    <w:rsid w:val="00F50135"/>
    <w:rsid w:val="00F50654"/>
    <w:rsid w:val="00F50757"/>
    <w:rsid w:val="00F5109C"/>
    <w:rsid w:val="00F5137D"/>
    <w:rsid w:val="00F517D0"/>
    <w:rsid w:val="00F51D7F"/>
    <w:rsid w:val="00F52367"/>
    <w:rsid w:val="00F52418"/>
    <w:rsid w:val="00F52773"/>
    <w:rsid w:val="00F5365A"/>
    <w:rsid w:val="00F5372C"/>
    <w:rsid w:val="00F53A8A"/>
    <w:rsid w:val="00F53CA0"/>
    <w:rsid w:val="00F53D28"/>
    <w:rsid w:val="00F53FF3"/>
    <w:rsid w:val="00F547B9"/>
    <w:rsid w:val="00F54A4E"/>
    <w:rsid w:val="00F552D1"/>
    <w:rsid w:val="00F553BC"/>
    <w:rsid w:val="00F55536"/>
    <w:rsid w:val="00F562DB"/>
    <w:rsid w:val="00F56558"/>
    <w:rsid w:val="00F570BB"/>
    <w:rsid w:val="00F57726"/>
    <w:rsid w:val="00F57820"/>
    <w:rsid w:val="00F57992"/>
    <w:rsid w:val="00F57BED"/>
    <w:rsid w:val="00F57C57"/>
    <w:rsid w:val="00F60198"/>
    <w:rsid w:val="00F612ED"/>
    <w:rsid w:val="00F61591"/>
    <w:rsid w:val="00F61A04"/>
    <w:rsid w:val="00F621FE"/>
    <w:rsid w:val="00F628D3"/>
    <w:rsid w:val="00F62C5F"/>
    <w:rsid w:val="00F62FAD"/>
    <w:rsid w:val="00F62FC8"/>
    <w:rsid w:val="00F63521"/>
    <w:rsid w:val="00F63E35"/>
    <w:rsid w:val="00F641D3"/>
    <w:rsid w:val="00F6438D"/>
    <w:rsid w:val="00F6502A"/>
    <w:rsid w:val="00F654E7"/>
    <w:rsid w:val="00F656EB"/>
    <w:rsid w:val="00F6576E"/>
    <w:rsid w:val="00F657BE"/>
    <w:rsid w:val="00F65A80"/>
    <w:rsid w:val="00F6623C"/>
    <w:rsid w:val="00F66835"/>
    <w:rsid w:val="00F669CD"/>
    <w:rsid w:val="00F67128"/>
    <w:rsid w:val="00F70014"/>
    <w:rsid w:val="00F706A5"/>
    <w:rsid w:val="00F70CF2"/>
    <w:rsid w:val="00F71089"/>
    <w:rsid w:val="00F714A1"/>
    <w:rsid w:val="00F72622"/>
    <w:rsid w:val="00F72DB3"/>
    <w:rsid w:val="00F734C9"/>
    <w:rsid w:val="00F73550"/>
    <w:rsid w:val="00F737DB"/>
    <w:rsid w:val="00F73927"/>
    <w:rsid w:val="00F74A31"/>
    <w:rsid w:val="00F74CD0"/>
    <w:rsid w:val="00F7517D"/>
    <w:rsid w:val="00F759FF"/>
    <w:rsid w:val="00F75BC0"/>
    <w:rsid w:val="00F75FBE"/>
    <w:rsid w:val="00F7613A"/>
    <w:rsid w:val="00F770E7"/>
    <w:rsid w:val="00F77313"/>
    <w:rsid w:val="00F77739"/>
    <w:rsid w:val="00F77BDF"/>
    <w:rsid w:val="00F77D41"/>
    <w:rsid w:val="00F8131B"/>
    <w:rsid w:val="00F81A35"/>
    <w:rsid w:val="00F82704"/>
    <w:rsid w:val="00F82746"/>
    <w:rsid w:val="00F829E1"/>
    <w:rsid w:val="00F82AA6"/>
    <w:rsid w:val="00F836F9"/>
    <w:rsid w:val="00F83DCA"/>
    <w:rsid w:val="00F841FE"/>
    <w:rsid w:val="00F842F2"/>
    <w:rsid w:val="00F84347"/>
    <w:rsid w:val="00F845D7"/>
    <w:rsid w:val="00F84F90"/>
    <w:rsid w:val="00F851FB"/>
    <w:rsid w:val="00F8572C"/>
    <w:rsid w:val="00F85CA5"/>
    <w:rsid w:val="00F8654F"/>
    <w:rsid w:val="00F86A5B"/>
    <w:rsid w:val="00F86BFC"/>
    <w:rsid w:val="00F878D3"/>
    <w:rsid w:val="00F903D9"/>
    <w:rsid w:val="00F90B7A"/>
    <w:rsid w:val="00F91B39"/>
    <w:rsid w:val="00F92279"/>
    <w:rsid w:val="00F93119"/>
    <w:rsid w:val="00F9313B"/>
    <w:rsid w:val="00F93604"/>
    <w:rsid w:val="00F93F06"/>
    <w:rsid w:val="00F940B8"/>
    <w:rsid w:val="00F94E81"/>
    <w:rsid w:val="00F950A4"/>
    <w:rsid w:val="00F952A2"/>
    <w:rsid w:val="00F955F3"/>
    <w:rsid w:val="00F95B32"/>
    <w:rsid w:val="00F95F5B"/>
    <w:rsid w:val="00F968C4"/>
    <w:rsid w:val="00F968E2"/>
    <w:rsid w:val="00F96C00"/>
    <w:rsid w:val="00F97369"/>
    <w:rsid w:val="00F977AA"/>
    <w:rsid w:val="00F97A24"/>
    <w:rsid w:val="00F97B51"/>
    <w:rsid w:val="00F97E85"/>
    <w:rsid w:val="00FA0138"/>
    <w:rsid w:val="00FA0320"/>
    <w:rsid w:val="00FA100A"/>
    <w:rsid w:val="00FA120E"/>
    <w:rsid w:val="00FA1261"/>
    <w:rsid w:val="00FA158C"/>
    <w:rsid w:val="00FA17D9"/>
    <w:rsid w:val="00FA1C70"/>
    <w:rsid w:val="00FA2981"/>
    <w:rsid w:val="00FA31E8"/>
    <w:rsid w:val="00FA37C1"/>
    <w:rsid w:val="00FA3AE3"/>
    <w:rsid w:val="00FA3EFA"/>
    <w:rsid w:val="00FA3F91"/>
    <w:rsid w:val="00FA47F0"/>
    <w:rsid w:val="00FA4A70"/>
    <w:rsid w:val="00FA4DE3"/>
    <w:rsid w:val="00FA5146"/>
    <w:rsid w:val="00FA56B8"/>
    <w:rsid w:val="00FA5C09"/>
    <w:rsid w:val="00FA6154"/>
    <w:rsid w:val="00FA65DA"/>
    <w:rsid w:val="00FA66D3"/>
    <w:rsid w:val="00FA6D77"/>
    <w:rsid w:val="00FB040C"/>
    <w:rsid w:val="00FB0EDA"/>
    <w:rsid w:val="00FB0FD9"/>
    <w:rsid w:val="00FB1B0B"/>
    <w:rsid w:val="00FB28E0"/>
    <w:rsid w:val="00FB32B3"/>
    <w:rsid w:val="00FB32ED"/>
    <w:rsid w:val="00FB3A3B"/>
    <w:rsid w:val="00FB3B68"/>
    <w:rsid w:val="00FB4D21"/>
    <w:rsid w:val="00FB50F9"/>
    <w:rsid w:val="00FB5AC7"/>
    <w:rsid w:val="00FB63E1"/>
    <w:rsid w:val="00FB6A48"/>
    <w:rsid w:val="00FB6DB7"/>
    <w:rsid w:val="00FB6EBC"/>
    <w:rsid w:val="00FB72B0"/>
    <w:rsid w:val="00FB73D3"/>
    <w:rsid w:val="00FB762B"/>
    <w:rsid w:val="00FB7978"/>
    <w:rsid w:val="00FC01FC"/>
    <w:rsid w:val="00FC0364"/>
    <w:rsid w:val="00FC0C2B"/>
    <w:rsid w:val="00FC0D5E"/>
    <w:rsid w:val="00FC13BA"/>
    <w:rsid w:val="00FC1467"/>
    <w:rsid w:val="00FC1476"/>
    <w:rsid w:val="00FC1725"/>
    <w:rsid w:val="00FC1A88"/>
    <w:rsid w:val="00FC1B61"/>
    <w:rsid w:val="00FC1C11"/>
    <w:rsid w:val="00FC251F"/>
    <w:rsid w:val="00FC2AE8"/>
    <w:rsid w:val="00FC3225"/>
    <w:rsid w:val="00FC3569"/>
    <w:rsid w:val="00FC3578"/>
    <w:rsid w:val="00FC3CA4"/>
    <w:rsid w:val="00FC3E8D"/>
    <w:rsid w:val="00FC42EB"/>
    <w:rsid w:val="00FC4B08"/>
    <w:rsid w:val="00FC4C4F"/>
    <w:rsid w:val="00FC51BE"/>
    <w:rsid w:val="00FC5506"/>
    <w:rsid w:val="00FC5E4D"/>
    <w:rsid w:val="00FC6467"/>
    <w:rsid w:val="00FC6ADA"/>
    <w:rsid w:val="00FC6BB7"/>
    <w:rsid w:val="00FC6CDB"/>
    <w:rsid w:val="00FC71C7"/>
    <w:rsid w:val="00FC7610"/>
    <w:rsid w:val="00FC77E6"/>
    <w:rsid w:val="00FC7CB9"/>
    <w:rsid w:val="00FC7EBF"/>
    <w:rsid w:val="00FD0193"/>
    <w:rsid w:val="00FD04BF"/>
    <w:rsid w:val="00FD05AA"/>
    <w:rsid w:val="00FD08C4"/>
    <w:rsid w:val="00FD08DB"/>
    <w:rsid w:val="00FD0AC7"/>
    <w:rsid w:val="00FD0D2B"/>
    <w:rsid w:val="00FD16DA"/>
    <w:rsid w:val="00FD1857"/>
    <w:rsid w:val="00FD1B2B"/>
    <w:rsid w:val="00FD1C91"/>
    <w:rsid w:val="00FD2E49"/>
    <w:rsid w:val="00FD2F2F"/>
    <w:rsid w:val="00FD359C"/>
    <w:rsid w:val="00FD3950"/>
    <w:rsid w:val="00FD4DE3"/>
    <w:rsid w:val="00FD5151"/>
    <w:rsid w:val="00FD536E"/>
    <w:rsid w:val="00FD5D44"/>
    <w:rsid w:val="00FD6843"/>
    <w:rsid w:val="00FD7503"/>
    <w:rsid w:val="00FD7B18"/>
    <w:rsid w:val="00FE013F"/>
    <w:rsid w:val="00FE03BD"/>
    <w:rsid w:val="00FE11DC"/>
    <w:rsid w:val="00FE120C"/>
    <w:rsid w:val="00FE140F"/>
    <w:rsid w:val="00FE154C"/>
    <w:rsid w:val="00FE16B4"/>
    <w:rsid w:val="00FE1A0C"/>
    <w:rsid w:val="00FE1A3B"/>
    <w:rsid w:val="00FE1D73"/>
    <w:rsid w:val="00FE1D89"/>
    <w:rsid w:val="00FE236B"/>
    <w:rsid w:val="00FE2AED"/>
    <w:rsid w:val="00FE2F94"/>
    <w:rsid w:val="00FE3C4A"/>
    <w:rsid w:val="00FE4276"/>
    <w:rsid w:val="00FE4570"/>
    <w:rsid w:val="00FE4D6C"/>
    <w:rsid w:val="00FE50E1"/>
    <w:rsid w:val="00FE589F"/>
    <w:rsid w:val="00FE5EA0"/>
    <w:rsid w:val="00FE60F9"/>
    <w:rsid w:val="00FE6275"/>
    <w:rsid w:val="00FE66AE"/>
    <w:rsid w:val="00FE6EE6"/>
    <w:rsid w:val="00FE6EF4"/>
    <w:rsid w:val="00FE72E2"/>
    <w:rsid w:val="00FF0457"/>
    <w:rsid w:val="00FF13D7"/>
    <w:rsid w:val="00FF156B"/>
    <w:rsid w:val="00FF1ABF"/>
    <w:rsid w:val="00FF1E9C"/>
    <w:rsid w:val="00FF2236"/>
    <w:rsid w:val="00FF25FB"/>
    <w:rsid w:val="00FF2BC7"/>
    <w:rsid w:val="00FF2BCF"/>
    <w:rsid w:val="00FF3B91"/>
    <w:rsid w:val="00FF4448"/>
    <w:rsid w:val="00FF4933"/>
    <w:rsid w:val="00FF4AF2"/>
    <w:rsid w:val="00FF5287"/>
    <w:rsid w:val="00FF5BCB"/>
    <w:rsid w:val="00FF5C8A"/>
    <w:rsid w:val="00FF5E82"/>
    <w:rsid w:val="00FF5F85"/>
    <w:rsid w:val="00FF63C0"/>
    <w:rsid w:val="00FF67E6"/>
    <w:rsid w:val="00FF752D"/>
    <w:rsid w:val="00FF7582"/>
    <w:rsid w:val="00FF76A5"/>
    <w:rsid w:val="00FF7924"/>
    <w:rsid w:val="00FF798F"/>
    <w:rsid w:val="017943C1"/>
    <w:rsid w:val="01ABD1D0"/>
    <w:rsid w:val="01D6B62B"/>
    <w:rsid w:val="0236CC07"/>
    <w:rsid w:val="025E2556"/>
    <w:rsid w:val="02A68E41"/>
    <w:rsid w:val="02AF97B9"/>
    <w:rsid w:val="02C0B8F3"/>
    <w:rsid w:val="0348159F"/>
    <w:rsid w:val="0424F107"/>
    <w:rsid w:val="04483AAD"/>
    <w:rsid w:val="0451902A"/>
    <w:rsid w:val="04BD0BA8"/>
    <w:rsid w:val="04C5EABC"/>
    <w:rsid w:val="0512BA98"/>
    <w:rsid w:val="052B64A2"/>
    <w:rsid w:val="062A9EDE"/>
    <w:rsid w:val="06E0D3E1"/>
    <w:rsid w:val="0728CBA4"/>
    <w:rsid w:val="074CEB6E"/>
    <w:rsid w:val="0850F900"/>
    <w:rsid w:val="08C0A37F"/>
    <w:rsid w:val="08D201E7"/>
    <w:rsid w:val="095001FD"/>
    <w:rsid w:val="09AC2D3C"/>
    <w:rsid w:val="0A0C5273"/>
    <w:rsid w:val="0A1A1F8D"/>
    <w:rsid w:val="0A96E855"/>
    <w:rsid w:val="0ACEDA9B"/>
    <w:rsid w:val="0B7B27C1"/>
    <w:rsid w:val="0BBABACA"/>
    <w:rsid w:val="0C56D82B"/>
    <w:rsid w:val="0C93E1E6"/>
    <w:rsid w:val="0CFCABCB"/>
    <w:rsid w:val="0E139554"/>
    <w:rsid w:val="0F0C92D7"/>
    <w:rsid w:val="0F1EACB2"/>
    <w:rsid w:val="0F4D1B4F"/>
    <w:rsid w:val="0F6949D1"/>
    <w:rsid w:val="0F6B2DF5"/>
    <w:rsid w:val="0FA64987"/>
    <w:rsid w:val="1044BB50"/>
    <w:rsid w:val="1077BC43"/>
    <w:rsid w:val="109FA84B"/>
    <w:rsid w:val="10FA01F9"/>
    <w:rsid w:val="11138C3B"/>
    <w:rsid w:val="112BDB89"/>
    <w:rsid w:val="11D73A6E"/>
    <w:rsid w:val="12D0D2E9"/>
    <w:rsid w:val="13887AB1"/>
    <w:rsid w:val="14281D21"/>
    <w:rsid w:val="149D893B"/>
    <w:rsid w:val="14BE7AF7"/>
    <w:rsid w:val="154BEAF4"/>
    <w:rsid w:val="15990942"/>
    <w:rsid w:val="15C93231"/>
    <w:rsid w:val="174EB02A"/>
    <w:rsid w:val="180FFC85"/>
    <w:rsid w:val="185AFC43"/>
    <w:rsid w:val="18711F95"/>
    <w:rsid w:val="191E7B68"/>
    <w:rsid w:val="196CA937"/>
    <w:rsid w:val="1B43FA53"/>
    <w:rsid w:val="1BC00137"/>
    <w:rsid w:val="1C94EDB6"/>
    <w:rsid w:val="1C96DEBB"/>
    <w:rsid w:val="1CC3D87F"/>
    <w:rsid w:val="1DE816AE"/>
    <w:rsid w:val="1E406A9F"/>
    <w:rsid w:val="1E7C1A29"/>
    <w:rsid w:val="1EF095CF"/>
    <w:rsid w:val="1F13F098"/>
    <w:rsid w:val="1F20C736"/>
    <w:rsid w:val="1F696ACB"/>
    <w:rsid w:val="202DE3F4"/>
    <w:rsid w:val="204CEAB3"/>
    <w:rsid w:val="21A49C0C"/>
    <w:rsid w:val="223EBF34"/>
    <w:rsid w:val="225D2F5A"/>
    <w:rsid w:val="229FD3B3"/>
    <w:rsid w:val="22CB0906"/>
    <w:rsid w:val="22D842AF"/>
    <w:rsid w:val="230310EC"/>
    <w:rsid w:val="23B206AD"/>
    <w:rsid w:val="2400A10D"/>
    <w:rsid w:val="254B9259"/>
    <w:rsid w:val="25CD74AA"/>
    <w:rsid w:val="26352437"/>
    <w:rsid w:val="26DC8F9C"/>
    <w:rsid w:val="294AFD8F"/>
    <w:rsid w:val="2973EF46"/>
    <w:rsid w:val="2A50DC68"/>
    <w:rsid w:val="2B9332CD"/>
    <w:rsid w:val="2BA1753D"/>
    <w:rsid w:val="2DA0B741"/>
    <w:rsid w:val="2DC3568A"/>
    <w:rsid w:val="2E5F7ACF"/>
    <w:rsid w:val="302A775F"/>
    <w:rsid w:val="312CED8B"/>
    <w:rsid w:val="31DB6133"/>
    <w:rsid w:val="3259E48C"/>
    <w:rsid w:val="32F50DEE"/>
    <w:rsid w:val="334A3339"/>
    <w:rsid w:val="33607599"/>
    <w:rsid w:val="343D38B1"/>
    <w:rsid w:val="350C50FF"/>
    <w:rsid w:val="351470F6"/>
    <w:rsid w:val="357406EB"/>
    <w:rsid w:val="359E5CC6"/>
    <w:rsid w:val="35A4E543"/>
    <w:rsid w:val="35B9A212"/>
    <w:rsid w:val="35F45736"/>
    <w:rsid w:val="3628C564"/>
    <w:rsid w:val="36730DE1"/>
    <w:rsid w:val="368C5BE2"/>
    <w:rsid w:val="36FDDD04"/>
    <w:rsid w:val="3726924A"/>
    <w:rsid w:val="373C2663"/>
    <w:rsid w:val="377AE3B6"/>
    <w:rsid w:val="3786B4C6"/>
    <w:rsid w:val="378A8369"/>
    <w:rsid w:val="37976A42"/>
    <w:rsid w:val="3892B9DB"/>
    <w:rsid w:val="38BD57FA"/>
    <w:rsid w:val="39035996"/>
    <w:rsid w:val="3988A74B"/>
    <w:rsid w:val="39C9E5CF"/>
    <w:rsid w:val="3A690CF8"/>
    <w:rsid w:val="3A8B7216"/>
    <w:rsid w:val="3AEC71BA"/>
    <w:rsid w:val="3B12E2CC"/>
    <w:rsid w:val="3C0EFF86"/>
    <w:rsid w:val="3D234AB4"/>
    <w:rsid w:val="3D64DEC4"/>
    <w:rsid w:val="3DD6CEC9"/>
    <w:rsid w:val="3E5EDF9B"/>
    <w:rsid w:val="3FA1E090"/>
    <w:rsid w:val="3FCE0B8A"/>
    <w:rsid w:val="40626607"/>
    <w:rsid w:val="40A1DEFC"/>
    <w:rsid w:val="40E022AC"/>
    <w:rsid w:val="40E1AFBC"/>
    <w:rsid w:val="40F47008"/>
    <w:rsid w:val="4109FAE3"/>
    <w:rsid w:val="42525686"/>
    <w:rsid w:val="425318BA"/>
    <w:rsid w:val="42628D5A"/>
    <w:rsid w:val="432650CE"/>
    <w:rsid w:val="434E50D5"/>
    <w:rsid w:val="43AD1B51"/>
    <w:rsid w:val="43D4AD4D"/>
    <w:rsid w:val="442ADA0A"/>
    <w:rsid w:val="444922B9"/>
    <w:rsid w:val="4455D796"/>
    <w:rsid w:val="446EC9E8"/>
    <w:rsid w:val="44D9A6C8"/>
    <w:rsid w:val="44DBAF0A"/>
    <w:rsid w:val="4572191C"/>
    <w:rsid w:val="4604AADD"/>
    <w:rsid w:val="46AF83C3"/>
    <w:rsid w:val="4768D75B"/>
    <w:rsid w:val="47D15987"/>
    <w:rsid w:val="48CA4230"/>
    <w:rsid w:val="4949E04C"/>
    <w:rsid w:val="495B4316"/>
    <w:rsid w:val="495D7913"/>
    <w:rsid w:val="499AC3CD"/>
    <w:rsid w:val="49BC6421"/>
    <w:rsid w:val="49BD8505"/>
    <w:rsid w:val="4AECF57B"/>
    <w:rsid w:val="4B70B804"/>
    <w:rsid w:val="4BAE83B8"/>
    <w:rsid w:val="4C9A5095"/>
    <w:rsid w:val="4CD63D1A"/>
    <w:rsid w:val="4DA641C8"/>
    <w:rsid w:val="4ED47FDA"/>
    <w:rsid w:val="4F0A64E0"/>
    <w:rsid w:val="4F2B21BA"/>
    <w:rsid w:val="4F4E589A"/>
    <w:rsid w:val="5051B54F"/>
    <w:rsid w:val="5194ACBF"/>
    <w:rsid w:val="52B9AEAF"/>
    <w:rsid w:val="53D6090A"/>
    <w:rsid w:val="53EF36DB"/>
    <w:rsid w:val="53F4FAAC"/>
    <w:rsid w:val="547172C6"/>
    <w:rsid w:val="54C2C922"/>
    <w:rsid w:val="5568A11F"/>
    <w:rsid w:val="55D3A6CE"/>
    <w:rsid w:val="56268F22"/>
    <w:rsid w:val="56A0DFC8"/>
    <w:rsid w:val="56AA918E"/>
    <w:rsid w:val="57460979"/>
    <w:rsid w:val="579CB1C6"/>
    <w:rsid w:val="57D447A6"/>
    <w:rsid w:val="57E96141"/>
    <w:rsid w:val="581D54CD"/>
    <w:rsid w:val="5838D16D"/>
    <w:rsid w:val="583E8134"/>
    <w:rsid w:val="58444049"/>
    <w:rsid w:val="5870CE89"/>
    <w:rsid w:val="591C0EFA"/>
    <w:rsid w:val="5937E227"/>
    <w:rsid w:val="5977BE11"/>
    <w:rsid w:val="5985B517"/>
    <w:rsid w:val="59CE77AA"/>
    <w:rsid w:val="5A5BE1A8"/>
    <w:rsid w:val="5A5C357C"/>
    <w:rsid w:val="5A71A871"/>
    <w:rsid w:val="5A96E0B3"/>
    <w:rsid w:val="5CBE6FD6"/>
    <w:rsid w:val="5CE93A49"/>
    <w:rsid w:val="5DCDE5A5"/>
    <w:rsid w:val="5F5E2E84"/>
    <w:rsid w:val="603ED7F5"/>
    <w:rsid w:val="608B5720"/>
    <w:rsid w:val="60C92D01"/>
    <w:rsid w:val="6256DE4C"/>
    <w:rsid w:val="63152E0A"/>
    <w:rsid w:val="63BC7822"/>
    <w:rsid w:val="63C5650B"/>
    <w:rsid w:val="653A1D9B"/>
    <w:rsid w:val="6574AF41"/>
    <w:rsid w:val="66EBA350"/>
    <w:rsid w:val="67FD4FAC"/>
    <w:rsid w:val="6A125C6F"/>
    <w:rsid w:val="6ACD3A5D"/>
    <w:rsid w:val="6AE9DF4A"/>
    <w:rsid w:val="6B028E7B"/>
    <w:rsid w:val="6B040C41"/>
    <w:rsid w:val="6B4392C2"/>
    <w:rsid w:val="6BF4E052"/>
    <w:rsid w:val="6BFBF1D7"/>
    <w:rsid w:val="6D47C7BE"/>
    <w:rsid w:val="6DA3140B"/>
    <w:rsid w:val="6DABA953"/>
    <w:rsid w:val="6E14FE94"/>
    <w:rsid w:val="6E2E812B"/>
    <w:rsid w:val="6E49C642"/>
    <w:rsid w:val="6E82CFCF"/>
    <w:rsid w:val="6F1077E5"/>
    <w:rsid w:val="6F4A37F7"/>
    <w:rsid w:val="6F66D26A"/>
    <w:rsid w:val="6FDEBEBD"/>
    <w:rsid w:val="6FF249E9"/>
    <w:rsid w:val="7097B545"/>
    <w:rsid w:val="7109A0AF"/>
    <w:rsid w:val="715B8035"/>
    <w:rsid w:val="721C12F9"/>
    <w:rsid w:val="72912DCF"/>
    <w:rsid w:val="72EDE27F"/>
    <w:rsid w:val="7317416D"/>
    <w:rsid w:val="739F93D2"/>
    <w:rsid w:val="7405A7B3"/>
    <w:rsid w:val="740B1315"/>
    <w:rsid w:val="742E649F"/>
    <w:rsid w:val="745A57E3"/>
    <w:rsid w:val="74F63158"/>
    <w:rsid w:val="75E9EFCA"/>
    <w:rsid w:val="75F34C09"/>
    <w:rsid w:val="762C5BA3"/>
    <w:rsid w:val="7740FD74"/>
    <w:rsid w:val="781F6573"/>
    <w:rsid w:val="797BEC5B"/>
    <w:rsid w:val="79BDD82A"/>
    <w:rsid w:val="7A3B0F4D"/>
    <w:rsid w:val="7A4E13A4"/>
    <w:rsid w:val="7A8989EB"/>
    <w:rsid w:val="7A9F72A2"/>
    <w:rsid w:val="7B00C5BF"/>
    <w:rsid w:val="7B560AE8"/>
    <w:rsid w:val="7BB0590A"/>
    <w:rsid w:val="7BC8AE65"/>
    <w:rsid w:val="7C0A7D8D"/>
    <w:rsid w:val="7C551E17"/>
    <w:rsid w:val="7C830EFF"/>
    <w:rsid w:val="7CAAE747"/>
    <w:rsid w:val="7CFDE7FC"/>
    <w:rsid w:val="7D791159"/>
    <w:rsid w:val="7DC5F658"/>
    <w:rsid w:val="7EC80FF1"/>
    <w:rsid w:val="7F00F592"/>
    <w:rsid w:val="7F03FD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97C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locked/>
    <w:rsid w:val="00E349A7"/>
    <w:rPr>
      <w:rFonts w:ascii="Calibri Light" w:eastAsia="Times New Roman" w:hAnsi="Calibri Light" w:cs="Times New Roman"/>
      <w:szCs w:val="20"/>
      <w:lang w:eastAsia="en-AU"/>
    </w:rPr>
  </w:style>
  <w:style w:type="character" w:customStyle="1" w:styleId="BulletChar">
    <w:name w:val="Bullet Char"/>
    <w:aliases w:val="b + line Char Char,b Char,b Char Char,Body Char,b + line Char,b1 Char,level 1 Char,Number Char,Bullets Char,Bulleted Para Char,FooterText Char,Recommendation Char2,List Paragraph1 Char2,List Paragraph11 Char2,L Char2,Number Char2,L Char,L C"/>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b1,b + line,level 1,Body,Bullet + line,bulleted,Bullet Char1,Bullet Char1 Char Char Char Char,b1 Char Char Char,Bullet Char1 Char Char Char Char Char,Bullet Char1 Char Char Char,BodyNum,CG-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tabs>
        <w:tab w:val="num" w:pos="284"/>
      </w:tabs>
      <w:spacing w:after="0" w:line="240" w:lineRule="auto"/>
      <w:ind w:left="360" w:hanging="360"/>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next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uiPriority w:val="39"/>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1"/>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s>
      <w:spacing w:before="60"/>
    </w:pPr>
    <w:rPr>
      <w:color w:val="0D0D0D" w:themeColor="text1" w:themeTint="F2"/>
    </w:rPr>
  </w:style>
  <w:style w:type="paragraph" w:customStyle="1" w:styleId="Boxdash">
    <w:name w:val="Box dash"/>
    <w:basedOn w:val="Dash"/>
    <w:rsid w:val="00E349A7"/>
    <w:pPr>
      <w:numPr>
        <w:numId w:val="22"/>
      </w:numPr>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left" w:pos="567"/>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BE7EA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character" w:styleId="Emphasis">
    <w:name w:val="Emphasis"/>
    <w:basedOn w:val="DefaultParagraphFont"/>
    <w:uiPriority w:val="20"/>
    <w:qFormat/>
    <w:rsid w:val="00E64535"/>
    <w:rPr>
      <w:i/>
      <w:iCs/>
    </w:rPr>
  </w:style>
  <w:style w:type="character" w:styleId="Strong">
    <w:name w:val="Strong"/>
    <w:basedOn w:val="DefaultParagraphFont"/>
    <w:uiPriority w:val="22"/>
    <w:qFormat/>
    <w:rsid w:val="00E64535"/>
    <w:rPr>
      <w:b/>
      <w:bCs/>
    </w:rPr>
  </w:style>
  <w:style w:type="character" w:customStyle="1" w:styleId="OutlineNumbered1Char">
    <w:name w:val="Outline Numbered 1 Char"/>
    <w:basedOn w:val="DefaultParagraphFont"/>
    <w:link w:val="OutlineNumbered1"/>
    <w:rsid w:val="00994162"/>
    <w:rPr>
      <w:rFonts w:ascii="Calibri Light" w:eastAsia="Times New Roman" w:hAnsi="Calibri Light" w:cs="Times New Roman"/>
      <w:szCs w:val="20"/>
      <w:lang w:eastAsia="en-AU"/>
    </w:rPr>
  </w:style>
  <w:style w:type="paragraph" w:styleId="Revision">
    <w:name w:val="Revision"/>
    <w:hidden/>
    <w:uiPriority w:val="99"/>
    <w:semiHidden/>
    <w:rsid w:val="00A43B26"/>
    <w:pPr>
      <w:spacing w:after="0" w:line="240" w:lineRule="auto"/>
    </w:pPr>
    <w:rPr>
      <w:rFonts w:ascii="Calibri Light" w:eastAsia="Times New Roman" w:hAnsi="Calibri Light" w:cs="Times New Roman"/>
      <w:szCs w:val="20"/>
      <w:lang w:eastAsia="en-AU"/>
    </w:rPr>
  </w:style>
  <w:style w:type="paragraph" w:styleId="CommentSubject">
    <w:name w:val="annotation subject"/>
    <w:basedOn w:val="CommentText"/>
    <w:next w:val="CommentText"/>
    <w:link w:val="CommentSubjectChar"/>
    <w:uiPriority w:val="99"/>
    <w:semiHidden/>
    <w:unhideWhenUsed/>
    <w:rsid w:val="00DF629B"/>
    <w:rPr>
      <w:rFonts w:ascii="Calibri Light" w:hAnsi="Calibri Light"/>
      <w:b/>
      <w:bCs/>
    </w:rPr>
  </w:style>
  <w:style w:type="character" w:customStyle="1" w:styleId="CommentSubjectChar">
    <w:name w:val="Comment Subject Char"/>
    <w:basedOn w:val="CommentTextChar"/>
    <w:link w:val="CommentSubject"/>
    <w:uiPriority w:val="99"/>
    <w:semiHidden/>
    <w:rsid w:val="00DF629B"/>
    <w:rPr>
      <w:rFonts w:ascii="Calibri Light" w:eastAsia="Times New Roman" w:hAnsi="Calibri Light" w:cs="Times New Roman"/>
      <w:b/>
      <w:bCs/>
      <w:sz w:val="20"/>
      <w:szCs w:val="20"/>
      <w:lang w:eastAsia="en-AU"/>
    </w:rPr>
  </w:style>
  <w:style w:type="character" w:styleId="UnresolvedMention">
    <w:name w:val="Unresolved Mention"/>
    <w:basedOn w:val="DefaultParagraphFont"/>
    <w:uiPriority w:val="99"/>
    <w:semiHidden/>
    <w:unhideWhenUsed/>
    <w:rsid w:val="00783D9A"/>
    <w:rPr>
      <w:color w:val="605E5C"/>
      <w:shd w:val="clear" w:color="auto" w:fill="E1DFDD"/>
    </w:rPr>
  </w:style>
  <w:style w:type="character" w:styleId="FollowedHyperlink">
    <w:name w:val="FollowedHyperlink"/>
    <w:basedOn w:val="DefaultParagraphFont"/>
    <w:uiPriority w:val="99"/>
    <w:semiHidden/>
    <w:unhideWhenUsed/>
    <w:rsid w:val="002430A0"/>
    <w:rPr>
      <w:color w:val="844D9E" w:themeColor="followedHyperlink"/>
      <w:u w:val="single"/>
    </w:rPr>
  </w:style>
  <w:style w:type="paragraph" w:styleId="NormalWeb">
    <w:name w:val="Normal (Web)"/>
    <w:basedOn w:val="Normal"/>
    <w:uiPriority w:val="99"/>
    <w:semiHidden/>
    <w:unhideWhenUsed/>
    <w:rsid w:val="002430A0"/>
    <w:rPr>
      <w:rFonts w:ascii="Times New Roman" w:hAnsi="Times New Roman"/>
      <w:sz w:val="24"/>
      <w:szCs w:val="24"/>
    </w:rPr>
  </w:style>
  <w:style w:type="character" w:styleId="Mention">
    <w:name w:val="Mention"/>
    <w:basedOn w:val="DefaultParagraphFont"/>
    <w:uiPriority w:val="99"/>
    <w:unhideWhenUsed/>
    <w:rsid w:val="001C6E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329">
      <w:bodyDiv w:val="1"/>
      <w:marLeft w:val="0"/>
      <w:marRight w:val="0"/>
      <w:marTop w:val="0"/>
      <w:marBottom w:val="0"/>
      <w:divBdr>
        <w:top w:val="none" w:sz="0" w:space="0" w:color="auto"/>
        <w:left w:val="none" w:sz="0" w:space="0" w:color="auto"/>
        <w:bottom w:val="none" w:sz="0" w:space="0" w:color="auto"/>
        <w:right w:val="none" w:sz="0" w:space="0" w:color="auto"/>
      </w:divBdr>
    </w:div>
    <w:div w:id="41829546">
      <w:bodyDiv w:val="1"/>
      <w:marLeft w:val="0"/>
      <w:marRight w:val="0"/>
      <w:marTop w:val="0"/>
      <w:marBottom w:val="0"/>
      <w:divBdr>
        <w:top w:val="none" w:sz="0" w:space="0" w:color="auto"/>
        <w:left w:val="none" w:sz="0" w:space="0" w:color="auto"/>
        <w:bottom w:val="none" w:sz="0" w:space="0" w:color="auto"/>
        <w:right w:val="none" w:sz="0" w:space="0" w:color="auto"/>
      </w:divBdr>
      <w:divsChild>
        <w:div w:id="1484008301">
          <w:marLeft w:val="0"/>
          <w:marRight w:val="0"/>
          <w:marTop w:val="0"/>
          <w:marBottom w:val="0"/>
          <w:divBdr>
            <w:top w:val="none" w:sz="0" w:space="0" w:color="auto"/>
            <w:left w:val="none" w:sz="0" w:space="0" w:color="auto"/>
            <w:bottom w:val="none" w:sz="0" w:space="0" w:color="auto"/>
            <w:right w:val="none" w:sz="0" w:space="0" w:color="auto"/>
          </w:divBdr>
        </w:div>
      </w:divsChild>
    </w:div>
    <w:div w:id="44792038">
      <w:bodyDiv w:val="1"/>
      <w:marLeft w:val="0"/>
      <w:marRight w:val="0"/>
      <w:marTop w:val="0"/>
      <w:marBottom w:val="0"/>
      <w:divBdr>
        <w:top w:val="none" w:sz="0" w:space="0" w:color="auto"/>
        <w:left w:val="none" w:sz="0" w:space="0" w:color="auto"/>
        <w:bottom w:val="none" w:sz="0" w:space="0" w:color="auto"/>
        <w:right w:val="none" w:sz="0" w:space="0" w:color="auto"/>
      </w:divBdr>
      <w:divsChild>
        <w:div w:id="253899980">
          <w:marLeft w:val="0"/>
          <w:marRight w:val="0"/>
          <w:marTop w:val="0"/>
          <w:marBottom w:val="0"/>
          <w:divBdr>
            <w:top w:val="none" w:sz="0" w:space="0" w:color="auto"/>
            <w:left w:val="none" w:sz="0" w:space="0" w:color="auto"/>
            <w:bottom w:val="none" w:sz="0" w:space="0" w:color="auto"/>
            <w:right w:val="none" w:sz="0" w:space="0" w:color="auto"/>
          </w:divBdr>
        </w:div>
      </w:divsChild>
    </w:div>
    <w:div w:id="85612664">
      <w:bodyDiv w:val="1"/>
      <w:marLeft w:val="0"/>
      <w:marRight w:val="0"/>
      <w:marTop w:val="0"/>
      <w:marBottom w:val="0"/>
      <w:divBdr>
        <w:top w:val="none" w:sz="0" w:space="0" w:color="auto"/>
        <w:left w:val="none" w:sz="0" w:space="0" w:color="auto"/>
        <w:bottom w:val="none" w:sz="0" w:space="0" w:color="auto"/>
        <w:right w:val="none" w:sz="0" w:space="0" w:color="auto"/>
      </w:divBdr>
      <w:divsChild>
        <w:div w:id="135539435">
          <w:marLeft w:val="0"/>
          <w:marRight w:val="0"/>
          <w:marTop w:val="0"/>
          <w:marBottom w:val="0"/>
          <w:divBdr>
            <w:top w:val="none" w:sz="0" w:space="0" w:color="auto"/>
            <w:left w:val="none" w:sz="0" w:space="0" w:color="auto"/>
            <w:bottom w:val="none" w:sz="0" w:space="0" w:color="auto"/>
            <w:right w:val="none" w:sz="0" w:space="0" w:color="auto"/>
          </w:divBdr>
        </w:div>
      </w:divsChild>
    </w:div>
    <w:div w:id="101343111">
      <w:bodyDiv w:val="1"/>
      <w:marLeft w:val="0"/>
      <w:marRight w:val="0"/>
      <w:marTop w:val="0"/>
      <w:marBottom w:val="0"/>
      <w:divBdr>
        <w:top w:val="none" w:sz="0" w:space="0" w:color="auto"/>
        <w:left w:val="none" w:sz="0" w:space="0" w:color="auto"/>
        <w:bottom w:val="none" w:sz="0" w:space="0" w:color="auto"/>
        <w:right w:val="none" w:sz="0" w:space="0" w:color="auto"/>
      </w:divBdr>
      <w:divsChild>
        <w:div w:id="1367027722">
          <w:marLeft w:val="0"/>
          <w:marRight w:val="0"/>
          <w:marTop w:val="0"/>
          <w:marBottom w:val="0"/>
          <w:divBdr>
            <w:top w:val="none" w:sz="0" w:space="0" w:color="auto"/>
            <w:left w:val="none" w:sz="0" w:space="0" w:color="auto"/>
            <w:bottom w:val="none" w:sz="0" w:space="0" w:color="auto"/>
            <w:right w:val="none" w:sz="0" w:space="0" w:color="auto"/>
          </w:divBdr>
        </w:div>
      </w:divsChild>
    </w:div>
    <w:div w:id="105197118">
      <w:bodyDiv w:val="1"/>
      <w:marLeft w:val="0"/>
      <w:marRight w:val="0"/>
      <w:marTop w:val="0"/>
      <w:marBottom w:val="0"/>
      <w:divBdr>
        <w:top w:val="none" w:sz="0" w:space="0" w:color="auto"/>
        <w:left w:val="none" w:sz="0" w:space="0" w:color="auto"/>
        <w:bottom w:val="none" w:sz="0" w:space="0" w:color="auto"/>
        <w:right w:val="none" w:sz="0" w:space="0" w:color="auto"/>
      </w:divBdr>
    </w:div>
    <w:div w:id="107286949">
      <w:bodyDiv w:val="1"/>
      <w:marLeft w:val="0"/>
      <w:marRight w:val="0"/>
      <w:marTop w:val="0"/>
      <w:marBottom w:val="0"/>
      <w:divBdr>
        <w:top w:val="none" w:sz="0" w:space="0" w:color="auto"/>
        <w:left w:val="none" w:sz="0" w:space="0" w:color="auto"/>
        <w:bottom w:val="none" w:sz="0" w:space="0" w:color="auto"/>
        <w:right w:val="none" w:sz="0" w:space="0" w:color="auto"/>
      </w:divBdr>
    </w:div>
    <w:div w:id="120152124">
      <w:bodyDiv w:val="1"/>
      <w:marLeft w:val="0"/>
      <w:marRight w:val="0"/>
      <w:marTop w:val="0"/>
      <w:marBottom w:val="0"/>
      <w:divBdr>
        <w:top w:val="none" w:sz="0" w:space="0" w:color="auto"/>
        <w:left w:val="none" w:sz="0" w:space="0" w:color="auto"/>
        <w:bottom w:val="none" w:sz="0" w:space="0" w:color="auto"/>
        <w:right w:val="none" w:sz="0" w:space="0" w:color="auto"/>
      </w:divBdr>
    </w:div>
    <w:div w:id="141238448">
      <w:bodyDiv w:val="1"/>
      <w:marLeft w:val="0"/>
      <w:marRight w:val="0"/>
      <w:marTop w:val="0"/>
      <w:marBottom w:val="0"/>
      <w:divBdr>
        <w:top w:val="none" w:sz="0" w:space="0" w:color="auto"/>
        <w:left w:val="none" w:sz="0" w:space="0" w:color="auto"/>
        <w:bottom w:val="none" w:sz="0" w:space="0" w:color="auto"/>
        <w:right w:val="none" w:sz="0" w:space="0" w:color="auto"/>
      </w:divBdr>
    </w:div>
    <w:div w:id="145635637">
      <w:bodyDiv w:val="1"/>
      <w:marLeft w:val="0"/>
      <w:marRight w:val="0"/>
      <w:marTop w:val="0"/>
      <w:marBottom w:val="0"/>
      <w:divBdr>
        <w:top w:val="none" w:sz="0" w:space="0" w:color="auto"/>
        <w:left w:val="none" w:sz="0" w:space="0" w:color="auto"/>
        <w:bottom w:val="none" w:sz="0" w:space="0" w:color="auto"/>
        <w:right w:val="none" w:sz="0" w:space="0" w:color="auto"/>
      </w:divBdr>
    </w:div>
    <w:div w:id="151794848">
      <w:bodyDiv w:val="1"/>
      <w:marLeft w:val="0"/>
      <w:marRight w:val="0"/>
      <w:marTop w:val="0"/>
      <w:marBottom w:val="0"/>
      <w:divBdr>
        <w:top w:val="none" w:sz="0" w:space="0" w:color="auto"/>
        <w:left w:val="none" w:sz="0" w:space="0" w:color="auto"/>
        <w:bottom w:val="none" w:sz="0" w:space="0" w:color="auto"/>
        <w:right w:val="none" w:sz="0" w:space="0" w:color="auto"/>
      </w:divBdr>
      <w:divsChild>
        <w:div w:id="729113367">
          <w:marLeft w:val="0"/>
          <w:marRight w:val="0"/>
          <w:marTop w:val="0"/>
          <w:marBottom w:val="0"/>
          <w:divBdr>
            <w:top w:val="none" w:sz="0" w:space="0" w:color="auto"/>
            <w:left w:val="none" w:sz="0" w:space="0" w:color="auto"/>
            <w:bottom w:val="none" w:sz="0" w:space="0" w:color="auto"/>
            <w:right w:val="none" w:sz="0" w:space="0" w:color="auto"/>
          </w:divBdr>
        </w:div>
      </w:divsChild>
    </w:div>
    <w:div w:id="169758480">
      <w:bodyDiv w:val="1"/>
      <w:marLeft w:val="0"/>
      <w:marRight w:val="0"/>
      <w:marTop w:val="0"/>
      <w:marBottom w:val="0"/>
      <w:divBdr>
        <w:top w:val="none" w:sz="0" w:space="0" w:color="auto"/>
        <w:left w:val="none" w:sz="0" w:space="0" w:color="auto"/>
        <w:bottom w:val="none" w:sz="0" w:space="0" w:color="auto"/>
        <w:right w:val="none" w:sz="0" w:space="0" w:color="auto"/>
      </w:divBdr>
      <w:divsChild>
        <w:div w:id="1526868948">
          <w:marLeft w:val="0"/>
          <w:marRight w:val="0"/>
          <w:marTop w:val="0"/>
          <w:marBottom w:val="0"/>
          <w:divBdr>
            <w:top w:val="none" w:sz="0" w:space="0" w:color="auto"/>
            <w:left w:val="none" w:sz="0" w:space="0" w:color="auto"/>
            <w:bottom w:val="none" w:sz="0" w:space="0" w:color="auto"/>
            <w:right w:val="none" w:sz="0" w:space="0" w:color="auto"/>
          </w:divBdr>
        </w:div>
      </w:divsChild>
    </w:div>
    <w:div w:id="211310749">
      <w:bodyDiv w:val="1"/>
      <w:marLeft w:val="0"/>
      <w:marRight w:val="0"/>
      <w:marTop w:val="0"/>
      <w:marBottom w:val="0"/>
      <w:divBdr>
        <w:top w:val="none" w:sz="0" w:space="0" w:color="auto"/>
        <w:left w:val="none" w:sz="0" w:space="0" w:color="auto"/>
        <w:bottom w:val="none" w:sz="0" w:space="0" w:color="auto"/>
        <w:right w:val="none" w:sz="0" w:space="0" w:color="auto"/>
      </w:divBdr>
      <w:divsChild>
        <w:div w:id="281158475">
          <w:marLeft w:val="0"/>
          <w:marRight w:val="0"/>
          <w:marTop w:val="0"/>
          <w:marBottom w:val="0"/>
          <w:divBdr>
            <w:top w:val="none" w:sz="0" w:space="0" w:color="auto"/>
            <w:left w:val="none" w:sz="0" w:space="0" w:color="auto"/>
            <w:bottom w:val="none" w:sz="0" w:space="0" w:color="auto"/>
            <w:right w:val="none" w:sz="0" w:space="0" w:color="auto"/>
          </w:divBdr>
          <w:divsChild>
            <w:div w:id="826360160">
              <w:marLeft w:val="0"/>
              <w:marRight w:val="0"/>
              <w:marTop w:val="0"/>
              <w:marBottom w:val="0"/>
              <w:divBdr>
                <w:top w:val="none" w:sz="0" w:space="0" w:color="auto"/>
                <w:left w:val="none" w:sz="0" w:space="0" w:color="auto"/>
                <w:bottom w:val="none" w:sz="0" w:space="0" w:color="auto"/>
                <w:right w:val="none" w:sz="0" w:space="0" w:color="auto"/>
              </w:divBdr>
              <w:divsChild>
                <w:div w:id="167564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70174">
      <w:bodyDiv w:val="1"/>
      <w:marLeft w:val="0"/>
      <w:marRight w:val="0"/>
      <w:marTop w:val="0"/>
      <w:marBottom w:val="0"/>
      <w:divBdr>
        <w:top w:val="none" w:sz="0" w:space="0" w:color="auto"/>
        <w:left w:val="none" w:sz="0" w:space="0" w:color="auto"/>
        <w:bottom w:val="none" w:sz="0" w:space="0" w:color="auto"/>
        <w:right w:val="none" w:sz="0" w:space="0" w:color="auto"/>
      </w:divBdr>
      <w:divsChild>
        <w:div w:id="2132892275">
          <w:marLeft w:val="0"/>
          <w:marRight w:val="0"/>
          <w:marTop w:val="0"/>
          <w:marBottom w:val="0"/>
          <w:divBdr>
            <w:top w:val="none" w:sz="0" w:space="0" w:color="auto"/>
            <w:left w:val="none" w:sz="0" w:space="0" w:color="auto"/>
            <w:bottom w:val="none" w:sz="0" w:space="0" w:color="auto"/>
            <w:right w:val="none" w:sz="0" w:space="0" w:color="auto"/>
          </w:divBdr>
        </w:div>
      </w:divsChild>
    </w:div>
    <w:div w:id="259801278">
      <w:bodyDiv w:val="1"/>
      <w:marLeft w:val="0"/>
      <w:marRight w:val="0"/>
      <w:marTop w:val="0"/>
      <w:marBottom w:val="0"/>
      <w:divBdr>
        <w:top w:val="none" w:sz="0" w:space="0" w:color="auto"/>
        <w:left w:val="none" w:sz="0" w:space="0" w:color="auto"/>
        <w:bottom w:val="none" w:sz="0" w:space="0" w:color="auto"/>
        <w:right w:val="none" w:sz="0" w:space="0" w:color="auto"/>
      </w:divBdr>
      <w:divsChild>
        <w:div w:id="2040810668">
          <w:marLeft w:val="0"/>
          <w:marRight w:val="0"/>
          <w:marTop w:val="0"/>
          <w:marBottom w:val="0"/>
          <w:divBdr>
            <w:top w:val="none" w:sz="0" w:space="0" w:color="auto"/>
            <w:left w:val="none" w:sz="0" w:space="0" w:color="auto"/>
            <w:bottom w:val="none" w:sz="0" w:space="0" w:color="auto"/>
            <w:right w:val="none" w:sz="0" w:space="0" w:color="auto"/>
          </w:divBdr>
        </w:div>
      </w:divsChild>
    </w:div>
    <w:div w:id="287010143">
      <w:bodyDiv w:val="1"/>
      <w:marLeft w:val="0"/>
      <w:marRight w:val="0"/>
      <w:marTop w:val="0"/>
      <w:marBottom w:val="0"/>
      <w:divBdr>
        <w:top w:val="none" w:sz="0" w:space="0" w:color="auto"/>
        <w:left w:val="none" w:sz="0" w:space="0" w:color="auto"/>
        <w:bottom w:val="none" w:sz="0" w:space="0" w:color="auto"/>
        <w:right w:val="none" w:sz="0" w:space="0" w:color="auto"/>
      </w:divBdr>
    </w:div>
    <w:div w:id="289097596">
      <w:bodyDiv w:val="1"/>
      <w:marLeft w:val="0"/>
      <w:marRight w:val="0"/>
      <w:marTop w:val="0"/>
      <w:marBottom w:val="0"/>
      <w:divBdr>
        <w:top w:val="none" w:sz="0" w:space="0" w:color="auto"/>
        <w:left w:val="none" w:sz="0" w:space="0" w:color="auto"/>
        <w:bottom w:val="none" w:sz="0" w:space="0" w:color="auto"/>
        <w:right w:val="none" w:sz="0" w:space="0" w:color="auto"/>
      </w:divBdr>
    </w:div>
    <w:div w:id="303004611">
      <w:bodyDiv w:val="1"/>
      <w:marLeft w:val="0"/>
      <w:marRight w:val="0"/>
      <w:marTop w:val="0"/>
      <w:marBottom w:val="0"/>
      <w:divBdr>
        <w:top w:val="none" w:sz="0" w:space="0" w:color="auto"/>
        <w:left w:val="none" w:sz="0" w:space="0" w:color="auto"/>
        <w:bottom w:val="none" w:sz="0" w:space="0" w:color="auto"/>
        <w:right w:val="none" w:sz="0" w:space="0" w:color="auto"/>
      </w:divBdr>
      <w:divsChild>
        <w:div w:id="1184593769">
          <w:marLeft w:val="0"/>
          <w:marRight w:val="0"/>
          <w:marTop w:val="0"/>
          <w:marBottom w:val="0"/>
          <w:divBdr>
            <w:top w:val="none" w:sz="0" w:space="0" w:color="auto"/>
            <w:left w:val="none" w:sz="0" w:space="0" w:color="auto"/>
            <w:bottom w:val="none" w:sz="0" w:space="0" w:color="auto"/>
            <w:right w:val="none" w:sz="0" w:space="0" w:color="auto"/>
          </w:divBdr>
        </w:div>
      </w:divsChild>
    </w:div>
    <w:div w:id="339085900">
      <w:bodyDiv w:val="1"/>
      <w:marLeft w:val="0"/>
      <w:marRight w:val="0"/>
      <w:marTop w:val="0"/>
      <w:marBottom w:val="0"/>
      <w:divBdr>
        <w:top w:val="none" w:sz="0" w:space="0" w:color="auto"/>
        <w:left w:val="none" w:sz="0" w:space="0" w:color="auto"/>
        <w:bottom w:val="none" w:sz="0" w:space="0" w:color="auto"/>
        <w:right w:val="none" w:sz="0" w:space="0" w:color="auto"/>
      </w:divBdr>
    </w:div>
    <w:div w:id="400098338">
      <w:bodyDiv w:val="1"/>
      <w:marLeft w:val="0"/>
      <w:marRight w:val="0"/>
      <w:marTop w:val="0"/>
      <w:marBottom w:val="0"/>
      <w:divBdr>
        <w:top w:val="none" w:sz="0" w:space="0" w:color="auto"/>
        <w:left w:val="none" w:sz="0" w:space="0" w:color="auto"/>
        <w:bottom w:val="none" w:sz="0" w:space="0" w:color="auto"/>
        <w:right w:val="none" w:sz="0" w:space="0" w:color="auto"/>
      </w:divBdr>
    </w:div>
    <w:div w:id="401175532">
      <w:bodyDiv w:val="1"/>
      <w:marLeft w:val="0"/>
      <w:marRight w:val="0"/>
      <w:marTop w:val="0"/>
      <w:marBottom w:val="0"/>
      <w:divBdr>
        <w:top w:val="none" w:sz="0" w:space="0" w:color="auto"/>
        <w:left w:val="none" w:sz="0" w:space="0" w:color="auto"/>
        <w:bottom w:val="none" w:sz="0" w:space="0" w:color="auto"/>
        <w:right w:val="none" w:sz="0" w:space="0" w:color="auto"/>
      </w:divBdr>
      <w:divsChild>
        <w:div w:id="1904485065">
          <w:marLeft w:val="302"/>
          <w:marRight w:val="0"/>
          <w:marTop w:val="0"/>
          <w:marBottom w:val="40"/>
          <w:divBdr>
            <w:top w:val="none" w:sz="0" w:space="0" w:color="auto"/>
            <w:left w:val="none" w:sz="0" w:space="0" w:color="auto"/>
            <w:bottom w:val="none" w:sz="0" w:space="0" w:color="auto"/>
            <w:right w:val="none" w:sz="0" w:space="0" w:color="auto"/>
          </w:divBdr>
        </w:div>
      </w:divsChild>
    </w:div>
    <w:div w:id="417793496">
      <w:bodyDiv w:val="1"/>
      <w:marLeft w:val="0"/>
      <w:marRight w:val="0"/>
      <w:marTop w:val="0"/>
      <w:marBottom w:val="0"/>
      <w:divBdr>
        <w:top w:val="none" w:sz="0" w:space="0" w:color="auto"/>
        <w:left w:val="none" w:sz="0" w:space="0" w:color="auto"/>
        <w:bottom w:val="none" w:sz="0" w:space="0" w:color="auto"/>
        <w:right w:val="none" w:sz="0" w:space="0" w:color="auto"/>
      </w:divBdr>
    </w:div>
    <w:div w:id="423501972">
      <w:bodyDiv w:val="1"/>
      <w:marLeft w:val="0"/>
      <w:marRight w:val="0"/>
      <w:marTop w:val="0"/>
      <w:marBottom w:val="0"/>
      <w:divBdr>
        <w:top w:val="none" w:sz="0" w:space="0" w:color="auto"/>
        <w:left w:val="none" w:sz="0" w:space="0" w:color="auto"/>
        <w:bottom w:val="none" w:sz="0" w:space="0" w:color="auto"/>
        <w:right w:val="none" w:sz="0" w:space="0" w:color="auto"/>
      </w:divBdr>
    </w:div>
    <w:div w:id="424040775">
      <w:bodyDiv w:val="1"/>
      <w:marLeft w:val="0"/>
      <w:marRight w:val="0"/>
      <w:marTop w:val="0"/>
      <w:marBottom w:val="0"/>
      <w:divBdr>
        <w:top w:val="none" w:sz="0" w:space="0" w:color="auto"/>
        <w:left w:val="none" w:sz="0" w:space="0" w:color="auto"/>
        <w:bottom w:val="none" w:sz="0" w:space="0" w:color="auto"/>
        <w:right w:val="none" w:sz="0" w:space="0" w:color="auto"/>
      </w:divBdr>
      <w:divsChild>
        <w:div w:id="1007634985">
          <w:marLeft w:val="0"/>
          <w:marRight w:val="0"/>
          <w:marTop w:val="0"/>
          <w:marBottom w:val="0"/>
          <w:divBdr>
            <w:top w:val="none" w:sz="0" w:space="0" w:color="auto"/>
            <w:left w:val="none" w:sz="0" w:space="0" w:color="auto"/>
            <w:bottom w:val="none" w:sz="0" w:space="0" w:color="auto"/>
            <w:right w:val="none" w:sz="0" w:space="0" w:color="auto"/>
          </w:divBdr>
          <w:divsChild>
            <w:div w:id="100076920">
              <w:marLeft w:val="0"/>
              <w:marRight w:val="0"/>
              <w:marTop w:val="0"/>
              <w:marBottom w:val="0"/>
              <w:divBdr>
                <w:top w:val="none" w:sz="0" w:space="0" w:color="auto"/>
                <w:left w:val="none" w:sz="0" w:space="0" w:color="auto"/>
                <w:bottom w:val="none" w:sz="0" w:space="0" w:color="auto"/>
                <w:right w:val="none" w:sz="0" w:space="0" w:color="auto"/>
              </w:divBdr>
              <w:divsChild>
                <w:div w:id="1789857967">
                  <w:marLeft w:val="0"/>
                  <w:marRight w:val="0"/>
                  <w:marTop w:val="0"/>
                  <w:marBottom w:val="0"/>
                  <w:divBdr>
                    <w:top w:val="none" w:sz="0" w:space="0" w:color="auto"/>
                    <w:left w:val="none" w:sz="0" w:space="0" w:color="auto"/>
                    <w:bottom w:val="none" w:sz="0" w:space="0" w:color="auto"/>
                    <w:right w:val="none" w:sz="0" w:space="0" w:color="auto"/>
                  </w:divBdr>
                  <w:divsChild>
                    <w:div w:id="568273225">
                      <w:marLeft w:val="0"/>
                      <w:marRight w:val="0"/>
                      <w:marTop w:val="0"/>
                      <w:marBottom w:val="0"/>
                      <w:divBdr>
                        <w:top w:val="none" w:sz="0" w:space="0" w:color="auto"/>
                        <w:left w:val="none" w:sz="0" w:space="0" w:color="auto"/>
                        <w:bottom w:val="none" w:sz="0" w:space="0" w:color="auto"/>
                        <w:right w:val="none" w:sz="0" w:space="0" w:color="auto"/>
                      </w:divBdr>
                      <w:divsChild>
                        <w:div w:id="410933385">
                          <w:marLeft w:val="0"/>
                          <w:marRight w:val="0"/>
                          <w:marTop w:val="0"/>
                          <w:marBottom w:val="0"/>
                          <w:divBdr>
                            <w:top w:val="none" w:sz="0" w:space="0" w:color="auto"/>
                            <w:left w:val="none" w:sz="0" w:space="0" w:color="auto"/>
                            <w:bottom w:val="none" w:sz="0" w:space="0" w:color="auto"/>
                            <w:right w:val="none" w:sz="0" w:space="0" w:color="auto"/>
                          </w:divBdr>
                          <w:divsChild>
                            <w:div w:id="1664815322">
                              <w:marLeft w:val="0"/>
                              <w:marRight w:val="0"/>
                              <w:marTop w:val="0"/>
                              <w:marBottom w:val="0"/>
                              <w:divBdr>
                                <w:top w:val="none" w:sz="0" w:space="0" w:color="auto"/>
                                <w:left w:val="none" w:sz="0" w:space="0" w:color="auto"/>
                                <w:bottom w:val="none" w:sz="0" w:space="0" w:color="auto"/>
                                <w:right w:val="none" w:sz="0" w:space="0" w:color="auto"/>
                              </w:divBdr>
                              <w:divsChild>
                                <w:div w:id="831726367">
                                  <w:marLeft w:val="0"/>
                                  <w:marRight w:val="0"/>
                                  <w:marTop w:val="0"/>
                                  <w:marBottom w:val="0"/>
                                  <w:divBdr>
                                    <w:top w:val="none" w:sz="0" w:space="0" w:color="auto"/>
                                    <w:left w:val="none" w:sz="0" w:space="0" w:color="auto"/>
                                    <w:bottom w:val="none" w:sz="0" w:space="0" w:color="auto"/>
                                    <w:right w:val="none" w:sz="0" w:space="0" w:color="auto"/>
                                  </w:divBdr>
                                  <w:divsChild>
                                    <w:div w:id="768618490">
                                      <w:marLeft w:val="0"/>
                                      <w:marRight w:val="0"/>
                                      <w:marTop w:val="0"/>
                                      <w:marBottom w:val="0"/>
                                      <w:divBdr>
                                        <w:top w:val="none" w:sz="0" w:space="0" w:color="auto"/>
                                        <w:left w:val="none" w:sz="0" w:space="0" w:color="auto"/>
                                        <w:bottom w:val="none" w:sz="0" w:space="0" w:color="auto"/>
                                        <w:right w:val="none" w:sz="0" w:space="0" w:color="auto"/>
                                      </w:divBdr>
                                      <w:divsChild>
                                        <w:div w:id="1218934813">
                                          <w:marLeft w:val="0"/>
                                          <w:marRight w:val="0"/>
                                          <w:marTop w:val="0"/>
                                          <w:marBottom w:val="0"/>
                                          <w:divBdr>
                                            <w:top w:val="none" w:sz="0" w:space="0" w:color="auto"/>
                                            <w:left w:val="none" w:sz="0" w:space="0" w:color="auto"/>
                                            <w:bottom w:val="none" w:sz="0" w:space="0" w:color="auto"/>
                                            <w:right w:val="none" w:sz="0" w:space="0" w:color="auto"/>
                                          </w:divBdr>
                                          <w:divsChild>
                                            <w:div w:id="1365446982">
                                              <w:marLeft w:val="0"/>
                                              <w:marRight w:val="0"/>
                                              <w:marTop w:val="0"/>
                                              <w:marBottom w:val="0"/>
                                              <w:divBdr>
                                                <w:top w:val="none" w:sz="0" w:space="0" w:color="auto"/>
                                                <w:left w:val="none" w:sz="0" w:space="0" w:color="auto"/>
                                                <w:bottom w:val="none" w:sz="0" w:space="0" w:color="auto"/>
                                                <w:right w:val="none" w:sz="0" w:space="0" w:color="auto"/>
                                              </w:divBdr>
                                              <w:divsChild>
                                                <w:div w:id="696004490">
                                                  <w:marLeft w:val="0"/>
                                                  <w:marRight w:val="0"/>
                                                  <w:marTop w:val="0"/>
                                                  <w:marBottom w:val="0"/>
                                                  <w:divBdr>
                                                    <w:top w:val="none" w:sz="0" w:space="0" w:color="auto"/>
                                                    <w:left w:val="none" w:sz="0" w:space="0" w:color="auto"/>
                                                    <w:bottom w:val="none" w:sz="0" w:space="0" w:color="auto"/>
                                                    <w:right w:val="none" w:sz="0" w:space="0" w:color="auto"/>
                                                  </w:divBdr>
                                                  <w:divsChild>
                                                    <w:div w:id="13055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5082689">
      <w:bodyDiv w:val="1"/>
      <w:marLeft w:val="0"/>
      <w:marRight w:val="0"/>
      <w:marTop w:val="0"/>
      <w:marBottom w:val="0"/>
      <w:divBdr>
        <w:top w:val="none" w:sz="0" w:space="0" w:color="auto"/>
        <w:left w:val="none" w:sz="0" w:space="0" w:color="auto"/>
        <w:bottom w:val="none" w:sz="0" w:space="0" w:color="auto"/>
        <w:right w:val="none" w:sz="0" w:space="0" w:color="auto"/>
      </w:divBdr>
      <w:divsChild>
        <w:div w:id="2085756480">
          <w:marLeft w:val="0"/>
          <w:marRight w:val="0"/>
          <w:marTop w:val="0"/>
          <w:marBottom w:val="0"/>
          <w:divBdr>
            <w:top w:val="none" w:sz="0" w:space="0" w:color="auto"/>
            <w:left w:val="none" w:sz="0" w:space="0" w:color="auto"/>
            <w:bottom w:val="none" w:sz="0" w:space="0" w:color="auto"/>
            <w:right w:val="none" w:sz="0" w:space="0" w:color="auto"/>
          </w:divBdr>
          <w:divsChild>
            <w:div w:id="1412309995">
              <w:marLeft w:val="0"/>
              <w:marRight w:val="0"/>
              <w:marTop w:val="0"/>
              <w:marBottom w:val="0"/>
              <w:divBdr>
                <w:top w:val="none" w:sz="0" w:space="0" w:color="auto"/>
                <w:left w:val="none" w:sz="0" w:space="0" w:color="auto"/>
                <w:bottom w:val="none" w:sz="0" w:space="0" w:color="auto"/>
                <w:right w:val="none" w:sz="0" w:space="0" w:color="auto"/>
              </w:divBdr>
              <w:divsChild>
                <w:div w:id="55251708">
                  <w:marLeft w:val="0"/>
                  <w:marRight w:val="0"/>
                  <w:marTop w:val="0"/>
                  <w:marBottom w:val="0"/>
                  <w:divBdr>
                    <w:top w:val="none" w:sz="0" w:space="0" w:color="auto"/>
                    <w:left w:val="none" w:sz="0" w:space="0" w:color="auto"/>
                    <w:bottom w:val="none" w:sz="0" w:space="0" w:color="auto"/>
                    <w:right w:val="none" w:sz="0" w:space="0" w:color="auto"/>
                  </w:divBdr>
                  <w:divsChild>
                    <w:div w:id="1324509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47817203">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58765006">
      <w:bodyDiv w:val="1"/>
      <w:marLeft w:val="0"/>
      <w:marRight w:val="0"/>
      <w:marTop w:val="0"/>
      <w:marBottom w:val="0"/>
      <w:divBdr>
        <w:top w:val="none" w:sz="0" w:space="0" w:color="auto"/>
        <w:left w:val="none" w:sz="0" w:space="0" w:color="auto"/>
        <w:bottom w:val="none" w:sz="0" w:space="0" w:color="auto"/>
        <w:right w:val="none" w:sz="0" w:space="0" w:color="auto"/>
      </w:divBdr>
    </w:div>
    <w:div w:id="462774491">
      <w:bodyDiv w:val="1"/>
      <w:marLeft w:val="0"/>
      <w:marRight w:val="0"/>
      <w:marTop w:val="0"/>
      <w:marBottom w:val="0"/>
      <w:divBdr>
        <w:top w:val="none" w:sz="0" w:space="0" w:color="auto"/>
        <w:left w:val="none" w:sz="0" w:space="0" w:color="auto"/>
        <w:bottom w:val="none" w:sz="0" w:space="0" w:color="auto"/>
        <w:right w:val="none" w:sz="0" w:space="0" w:color="auto"/>
      </w:divBdr>
      <w:divsChild>
        <w:div w:id="998072236">
          <w:marLeft w:val="0"/>
          <w:marRight w:val="0"/>
          <w:marTop w:val="0"/>
          <w:marBottom w:val="0"/>
          <w:divBdr>
            <w:top w:val="none" w:sz="0" w:space="0" w:color="auto"/>
            <w:left w:val="none" w:sz="0" w:space="0" w:color="auto"/>
            <w:bottom w:val="none" w:sz="0" w:space="0" w:color="auto"/>
            <w:right w:val="none" w:sz="0" w:space="0" w:color="auto"/>
          </w:divBdr>
        </w:div>
        <w:div w:id="1020274204">
          <w:marLeft w:val="0"/>
          <w:marRight w:val="0"/>
          <w:marTop w:val="0"/>
          <w:marBottom w:val="0"/>
          <w:divBdr>
            <w:top w:val="none" w:sz="0" w:space="0" w:color="auto"/>
            <w:left w:val="none" w:sz="0" w:space="0" w:color="auto"/>
            <w:bottom w:val="none" w:sz="0" w:space="0" w:color="auto"/>
            <w:right w:val="none" w:sz="0" w:space="0" w:color="auto"/>
          </w:divBdr>
          <w:divsChild>
            <w:div w:id="1422069566">
              <w:marLeft w:val="0"/>
              <w:marRight w:val="0"/>
              <w:marTop w:val="0"/>
              <w:marBottom w:val="0"/>
              <w:divBdr>
                <w:top w:val="none" w:sz="0" w:space="0" w:color="auto"/>
                <w:left w:val="none" w:sz="0" w:space="0" w:color="auto"/>
                <w:bottom w:val="none" w:sz="0" w:space="0" w:color="auto"/>
                <w:right w:val="none" w:sz="0" w:space="0" w:color="auto"/>
              </w:divBdr>
              <w:divsChild>
                <w:div w:id="15996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978092">
      <w:bodyDiv w:val="1"/>
      <w:marLeft w:val="0"/>
      <w:marRight w:val="0"/>
      <w:marTop w:val="0"/>
      <w:marBottom w:val="0"/>
      <w:divBdr>
        <w:top w:val="none" w:sz="0" w:space="0" w:color="auto"/>
        <w:left w:val="none" w:sz="0" w:space="0" w:color="auto"/>
        <w:bottom w:val="none" w:sz="0" w:space="0" w:color="auto"/>
        <w:right w:val="none" w:sz="0" w:space="0" w:color="auto"/>
      </w:divBdr>
      <w:divsChild>
        <w:div w:id="737554199">
          <w:marLeft w:val="0"/>
          <w:marRight w:val="0"/>
          <w:marTop w:val="0"/>
          <w:marBottom w:val="0"/>
          <w:divBdr>
            <w:top w:val="none" w:sz="0" w:space="0" w:color="auto"/>
            <w:left w:val="none" w:sz="0" w:space="0" w:color="auto"/>
            <w:bottom w:val="none" w:sz="0" w:space="0" w:color="auto"/>
            <w:right w:val="none" w:sz="0" w:space="0" w:color="auto"/>
          </w:divBdr>
        </w:div>
      </w:divsChild>
    </w:div>
    <w:div w:id="496653228">
      <w:bodyDiv w:val="1"/>
      <w:marLeft w:val="0"/>
      <w:marRight w:val="0"/>
      <w:marTop w:val="0"/>
      <w:marBottom w:val="0"/>
      <w:divBdr>
        <w:top w:val="none" w:sz="0" w:space="0" w:color="auto"/>
        <w:left w:val="none" w:sz="0" w:space="0" w:color="auto"/>
        <w:bottom w:val="none" w:sz="0" w:space="0" w:color="auto"/>
        <w:right w:val="none" w:sz="0" w:space="0" w:color="auto"/>
      </w:divBdr>
      <w:divsChild>
        <w:div w:id="1273246848">
          <w:marLeft w:val="0"/>
          <w:marRight w:val="0"/>
          <w:marTop w:val="0"/>
          <w:marBottom w:val="0"/>
          <w:divBdr>
            <w:top w:val="none" w:sz="0" w:space="0" w:color="auto"/>
            <w:left w:val="none" w:sz="0" w:space="0" w:color="auto"/>
            <w:bottom w:val="none" w:sz="0" w:space="0" w:color="auto"/>
            <w:right w:val="none" w:sz="0" w:space="0" w:color="auto"/>
          </w:divBdr>
        </w:div>
      </w:divsChild>
    </w:div>
    <w:div w:id="497310062">
      <w:bodyDiv w:val="1"/>
      <w:marLeft w:val="0"/>
      <w:marRight w:val="0"/>
      <w:marTop w:val="0"/>
      <w:marBottom w:val="0"/>
      <w:divBdr>
        <w:top w:val="none" w:sz="0" w:space="0" w:color="auto"/>
        <w:left w:val="none" w:sz="0" w:space="0" w:color="auto"/>
        <w:bottom w:val="none" w:sz="0" w:space="0" w:color="auto"/>
        <w:right w:val="none" w:sz="0" w:space="0" w:color="auto"/>
      </w:divBdr>
    </w:div>
    <w:div w:id="503010917">
      <w:bodyDiv w:val="1"/>
      <w:marLeft w:val="0"/>
      <w:marRight w:val="0"/>
      <w:marTop w:val="0"/>
      <w:marBottom w:val="0"/>
      <w:divBdr>
        <w:top w:val="none" w:sz="0" w:space="0" w:color="auto"/>
        <w:left w:val="none" w:sz="0" w:space="0" w:color="auto"/>
        <w:bottom w:val="none" w:sz="0" w:space="0" w:color="auto"/>
        <w:right w:val="none" w:sz="0" w:space="0" w:color="auto"/>
      </w:divBdr>
    </w:div>
    <w:div w:id="543912931">
      <w:bodyDiv w:val="1"/>
      <w:marLeft w:val="0"/>
      <w:marRight w:val="0"/>
      <w:marTop w:val="0"/>
      <w:marBottom w:val="0"/>
      <w:divBdr>
        <w:top w:val="none" w:sz="0" w:space="0" w:color="auto"/>
        <w:left w:val="none" w:sz="0" w:space="0" w:color="auto"/>
        <w:bottom w:val="none" w:sz="0" w:space="0" w:color="auto"/>
        <w:right w:val="none" w:sz="0" w:space="0" w:color="auto"/>
      </w:divBdr>
      <w:divsChild>
        <w:div w:id="214314218">
          <w:marLeft w:val="0"/>
          <w:marRight w:val="0"/>
          <w:marTop w:val="0"/>
          <w:marBottom w:val="0"/>
          <w:divBdr>
            <w:top w:val="none" w:sz="0" w:space="0" w:color="auto"/>
            <w:left w:val="none" w:sz="0" w:space="0" w:color="auto"/>
            <w:bottom w:val="none" w:sz="0" w:space="0" w:color="auto"/>
            <w:right w:val="none" w:sz="0" w:space="0" w:color="auto"/>
          </w:divBdr>
        </w:div>
      </w:divsChild>
    </w:div>
    <w:div w:id="553542227">
      <w:bodyDiv w:val="1"/>
      <w:marLeft w:val="0"/>
      <w:marRight w:val="0"/>
      <w:marTop w:val="0"/>
      <w:marBottom w:val="0"/>
      <w:divBdr>
        <w:top w:val="none" w:sz="0" w:space="0" w:color="auto"/>
        <w:left w:val="none" w:sz="0" w:space="0" w:color="auto"/>
        <w:bottom w:val="none" w:sz="0" w:space="0" w:color="auto"/>
        <w:right w:val="none" w:sz="0" w:space="0" w:color="auto"/>
      </w:divBdr>
    </w:div>
    <w:div w:id="570775261">
      <w:bodyDiv w:val="1"/>
      <w:marLeft w:val="0"/>
      <w:marRight w:val="0"/>
      <w:marTop w:val="0"/>
      <w:marBottom w:val="0"/>
      <w:divBdr>
        <w:top w:val="none" w:sz="0" w:space="0" w:color="auto"/>
        <w:left w:val="none" w:sz="0" w:space="0" w:color="auto"/>
        <w:bottom w:val="none" w:sz="0" w:space="0" w:color="auto"/>
        <w:right w:val="none" w:sz="0" w:space="0" w:color="auto"/>
      </w:divBdr>
    </w:div>
    <w:div w:id="595872481">
      <w:bodyDiv w:val="1"/>
      <w:marLeft w:val="0"/>
      <w:marRight w:val="0"/>
      <w:marTop w:val="0"/>
      <w:marBottom w:val="0"/>
      <w:divBdr>
        <w:top w:val="none" w:sz="0" w:space="0" w:color="auto"/>
        <w:left w:val="none" w:sz="0" w:space="0" w:color="auto"/>
        <w:bottom w:val="none" w:sz="0" w:space="0" w:color="auto"/>
        <w:right w:val="none" w:sz="0" w:space="0" w:color="auto"/>
      </w:divBdr>
    </w:div>
    <w:div w:id="603000980">
      <w:bodyDiv w:val="1"/>
      <w:marLeft w:val="0"/>
      <w:marRight w:val="0"/>
      <w:marTop w:val="0"/>
      <w:marBottom w:val="0"/>
      <w:divBdr>
        <w:top w:val="none" w:sz="0" w:space="0" w:color="auto"/>
        <w:left w:val="none" w:sz="0" w:space="0" w:color="auto"/>
        <w:bottom w:val="none" w:sz="0" w:space="0" w:color="auto"/>
        <w:right w:val="none" w:sz="0" w:space="0" w:color="auto"/>
      </w:divBdr>
      <w:divsChild>
        <w:div w:id="118837908">
          <w:marLeft w:val="0"/>
          <w:marRight w:val="0"/>
          <w:marTop w:val="0"/>
          <w:marBottom w:val="0"/>
          <w:divBdr>
            <w:top w:val="none" w:sz="0" w:space="0" w:color="auto"/>
            <w:left w:val="none" w:sz="0" w:space="0" w:color="auto"/>
            <w:bottom w:val="none" w:sz="0" w:space="0" w:color="auto"/>
            <w:right w:val="none" w:sz="0" w:space="0" w:color="auto"/>
          </w:divBdr>
        </w:div>
      </w:divsChild>
    </w:div>
    <w:div w:id="623001009">
      <w:bodyDiv w:val="1"/>
      <w:marLeft w:val="0"/>
      <w:marRight w:val="0"/>
      <w:marTop w:val="0"/>
      <w:marBottom w:val="0"/>
      <w:divBdr>
        <w:top w:val="none" w:sz="0" w:space="0" w:color="auto"/>
        <w:left w:val="none" w:sz="0" w:space="0" w:color="auto"/>
        <w:bottom w:val="none" w:sz="0" w:space="0" w:color="auto"/>
        <w:right w:val="none" w:sz="0" w:space="0" w:color="auto"/>
      </w:divBdr>
      <w:divsChild>
        <w:div w:id="369188745">
          <w:marLeft w:val="0"/>
          <w:marRight w:val="0"/>
          <w:marTop w:val="0"/>
          <w:marBottom w:val="0"/>
          <w:divBdr>
            <w:top w:val="none" w:sz="0" w:space="0" w:color="auto"/>
            <w:left w:val="none" w:sz="0" w:space="0" w:color="auto"/>
            <w:bottom w:val="none" w:sz="0" w:space="0" w:color="auto"/>
            <w:right w:val="none" w:sz="0" w:space="0" w:color="auto"/>
          </w:divBdr>
        </w:div>
      </w:divsChild>
    </w:div>
    <w:div w:id="677344831">
      <w:bodyDiv w:val="1"/>
      <w:marLeft w:val="0"/>
      <w:marRight w:val="0"/>
      <w:marTop w:val="0"/>
      <w:marBottom w:val="0"/>
      <w:divBdr>
        <w:top w:val="none" w:sz="0" w:space="0" w:color="auto"/>
        <w:left w:val="none" w:sz="0" w:space="0" w:color="auto"/>
        <w:bottom w:val="none" w:sz="0" w:space="0" w:color="auto"/>
        <w:right w:val="none" w:sz="0" w:space="0" w:color="auto"/>
      </w:divBdr>
      <w:divsChild>
        <w:div w:id="474883159">
          <w:marLeft w:val="0"/>
          <w:marRight w:val="0"/>
          <w:marTop w:val="0"/>
          <w:marBottom w:val="0"/>
          <w:divBdr>
            <w:top w:val="none" w:sz="0" w:space="0" w:color="auto"/>
            <w:left w:val="none" w:sz="0" w:space="0" w:color="auto"/>
            <w:bottom w:val="none" w:sz="0" w:space="0" w:color="auto"/>
            <w:right w:val="none" w:sz="0" w:space="0" w:color="auto"/>
          </w:divBdr>
        </w:div>
      </w:divsChild>
    </w:div>
    <w:div w:id="695303541">
      <w:bodyDiv w:val="1"/>
      <w:marLeft w:val="0"/>
      <w:marRight w:val="0"/>
      <w:marTop w:val="0"/>
      <w:marBottom w:val="0"/>
      <w:divBdr>
        <w:top w:val="none" w:sz="0" w:space="0" w:color="auto"/>
        <w:left w:val="none" w:sz="0" w:space="0" w:color="auto"/>
        <w:bottom w:val="none" w:sz="0" w:space="0" w:color="auto"/>
        <w:right w:val="none" w:sz="0" w:space="0" w:color="auto"/>
      </w:divBdr>
      <w:divsChild>
        <w:div w:id="321590818">
          <w:marLeft w:val="0"/>
          <w:marRight w:val="0"/>
          <w:marTop w:val="0"/>
          <w:marBottom w:val="0"/>
          <w:divBdr>
            <w:top w:val="none" w:sz="0" w:space="0" w:color="auto"/>
            <w:left w:val="none" w:sz="0" w:space="0" w:color="auto"/>
            <w:bottom w:val="none" w:sz="0" w:space="0" w:color="auto"/>
            <w:right w:val="none" w:sz="0" w:space="0" w:color="auto"/>
          </w:divBdr>
        </w:div>
        <w:div w:id="830100391">
          <w:marLeft w:val="0"/>
          <w:marRight w:val="0"/>
          <w:marTop w:val="0"/>
          <w:marBottom w:val="0"/>
          <w:divBdr>
            <w:top w:val="none" w:sz="0" w:space="0" w:color="auto"/>
            <w:left w:val="none" w:sz="0" w:space="0" w:color="auto"/>
            <w:bottom w:val="none" w:sz="0" w:space="0" w:color="auto"/>
            <w:right w:val="none" w:sz="0" w:space="0" w:color="auto"/>
          </w:divBdr>
        </w:div>
        <w:div w:id="1481531156">
          <w:marLeft w:val="0"/>
          <w:marRight w:val="0"/>
          <w:marTop w:val="0"/>
          <w:marBottom w:val="0"/>
          <w:divBdr>
            <w:top w:val="none" w:sz="0" w:space="0" w:color="auto"/>
            <w:left w:val="none" w:sz="0" w:space="0" w:color="auto"/>
            <w:bottom w:val="none" w:sz="0" w:space="0" w:color="auto"/>
            <w:right w:val="none" w:sz="0" w:space="0" w:color="auto"/>
          </w:divBdr>
        </w:div>
      </w:divsChild>
    </w:div>
    <w:div w:id="710611243">
      <w:bodyDiv w:val="1"/>
      <w:marLeft w:val="0"/>
      <w:marRight w:val="0"/>
      <w:marTop w:val="0"/>
      <w:marBottom w:val="0"/>
      <w:divBdr>
        <w:top w:val="none" w:sz="0" w:space="0" w:color="auto"/>
        <w:left w:val="none" w:sz="0" w:space="0" w:color="auto"/>
        <w:bottom w:val="none" w:sz="0" w:space="0" w:color="auto"/>
        <w:right w:val="none" w:sz="0" w:space="0" w:color="auto"/>
      </w:divBdr>
      <w:divsChild>
        <w:div w:id="1814368745">
          <w:marLeft w:val="0"/>
          <w:marRight w:val="0"/>
          <w:marTop w:val="240"/>
          <w:marBottom w:val="240"/>
          <w:divBdr>
            <w:top w:val="none" w:sz="0" w:space="0" w:color="auto"/>
            <w:left w:val="none" w:sz="0" w:space="0" w:color="auto"/>
            <w:bottom w:val="none" w:sz="0" w:space="0" w:color="auto"/>
            <w:right w:val="none" w:sz="0" w:space="0" w:color="auto"/>
          </w:divBdr>
          <w:divsChild>
            <w:div w:id="20759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61569">
      <w:bodyDiv w:val="1"/>
      <w:marLeft w:val="0"/>
      <w:marRight w:val="0"/>
      <w:marTop w:val="0"/>
      <w:marBottom w:val="0"/>
      <w:divBdr>
        <w:top w:val="none" w:sz="0" w:space="0" w:color="auto"/>
        <w:left w:val="none" w:sz="0" w:space="0" w:color="auto"/>
        <w:bottom w:val="none" w:sz="0" w:space="0" w:color="auto"/>
        <w:right w:val="none" w:sz="0" w:space="0" w:color="auto"/>
      </w:divBdr>
    </w:div>
    <w:div w:id="752438206">
      <w:bodyDiv w:val="1"/>
      <w:marLeft w:val="0"/>
      <w:marRight w:val="0"/>
      <w:marTop w:val="0"/>
      <w:marBottom w:val="0"/>
      <w:divBdr>
        <w:top w:val="none" w:sz="0" w:space="0" w:color="auto"/>
        <w:left w:val="none" w:sz="0" w:space="0" w:color="auto"/>
        <w:bottom w:val="none" w:sz="0" w:space="0" w:color="auto"/>
        <w:right w:val="none" w:sz="0" w:space="0" w:color="auto"/>
      </w:divBdr>
    </w:div>
    <w:div w:id="756943348">
      <w:bodyDiv w:val="1"/>
      <w:marLeft w:val="0"/>
      <w:marRight w:val="0"/>
      <w:marTop w:val="0"/>
      <w:marBottom w:val="0"/>
      <w:divBdr>
        <w:top w:val="none" w:sz="0" w:space="0" w:color="auto"/>
        <w:left w:val="none" w:sz="0" w:space="0" w:color="auto"/>
        <w:bottom w:val="none" w:sz="0" w:space="0" w:color="auto"/>
        <w:right w:val="none" w:sz="0" w:space="0" w:color="auto"/>
      </w:divBdr>
      <w:divsChild>
        <w:div w:id="1398938780">
          <w:marLeft w:val="0"/>
          <w:marRight w:val="0"/>
          <w:marTop w:val="0"/>
          <w:marBottom w:val="0"/>
          <w:divBdr>
            <w:top w:val="none" w:sz="0" w:space="0" w:color="auto"/>
            <w:left w:val="none" w:sz="0" w:space="0" w:color="auto"/>
            <w:bottom w:val="none" w:sz="0" w:space="0" w:color="auto"/>
            <w:right w:val="none" w:sz="0" w:space="0" w:color="auto"/>
          </w:divBdr>
        </w:div>
      </w:divsChild>
    </w:div>
    <w:div w:id="803935134">
      <w:bodyDiv w:val="1"/>
      <w:marLeft w:val="0"/>
      <w:marRight w:val="0"/>
      <w:marTop w:val="0"/>
      <w:marBottom w:val="0"/>
      <w:divBdr>
        <w:top w:val="none" w:sz="0" w:space="0" w:color="auto"/>
        <w:left w:val="none" w:sz="0" w:space="0" w:color="auto"/>
        <w:bottom w:val="none" w:sz="0" w:space="0" w:color="auto"/>
        <w:right w:val="none" w:sz="0" w:space="0" w:color="auto"/>
      </w:divBdr>
      <w:divsChild>
        <w:div w:id="49115966">
          <w:marLeft w:val="0"/>
          <w:marRight w:val="0"/>
          <w:marTop w:val="0"/>
          <w:marBottom w:val="0"/>
          <w:divBdr>
            <w:top w:val="none" w:sz="0" w:space="0" w:color="auto"/>
            <w:left w:val="none" w:sz="0" w:space="0" w:color="auto"/>
            <w:bottom w:val="none" w:sz="0" w:space="0" w:color="auto"/>
            <w:right w:val="none" w:sz="0" w:space="0" w:color="auto"/>
          </w:divBdr>
        </w:div>
      </w:divsChild>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16070071">
      <w:bodyDiv w:val="1"/>
      <w:marLeft w:val="0"/>
      <w:marRight w:val="0"/>
      <w:marTop w:val="0"/>
      <w:marBottom w:val="0"/>
      <w:divBdr>
        <w:top w:val="none" w:sz="0" w:space="0" w:color="auto"/>
        <w:left w:val="none" w:sz="0" w:space="0" w:color="auto"/>
        <w:bottom w:val="none" w:sz="0" w:space="0" w:color="auto"/>
        <w:right w:val="none" w:sz="0" w:space="0" w:color="auto"/>
      </w:divBdr>
      <w:divsChild>
        <w:div w:id="1754355747">
          <w:marLeft w:val="0"/>
          <w:marRight w:val="0"/>
          <w:marTop w:val="0"/>
          <w:marBottom w:val="0"/>
          <w:divBdr>
            <w:top w:val="none" w:sz="0" w:space="0" w:color="auto"/>
            <w:left w:val="none" w:sz="0" w:space="0" w:color="auto"/>
            <w:bottom w:val="none" w:sz="0" w:space="0" w:color="auto"/>
            <w:right w:val="none" w:sz="0" w:space="0" w:color="auto"/>
          </w:divBdr>
        </w:div>
      </w:divsChild>
    </w:div>
    <w:div w:id="847601027">
      <w:bodyDiv w:val="1"/>
      <w:marLeft w:val="0"/>
      <w:marRight w:val="0"/>
      <w:marTop w:val="0"/>
      <w:marBottom w:val="0"/>
      <w:divBdr>
        <w:top w:val="none" w:sz="0" w:space="0" w:color="auto"/>
        <w:left w:val="none" w:sz="0" w:space="0" w:color="auto"/>
        <w:bottom w:val="none" w:sz="0" w:space="0" w:color="auto"/>
        <w:right w:val="none" w:sz="0" w:space="0" w:color="auto"/>
      </w:divBdr>
      <w:divsChild>
        <w:div w:id="1995329940">
          <w:marLeft w:val="0"/>
          <w:marRight w:val="0"/>
          <w:marTop w:val="0"/>
          <w:marBottom w:val="0"/>
          <w:divBdr>
            <w:top w:val="none" w:sz="0" w:space="0" w:color="auto"/>
            <w:left w:val="none" w:sz="0" w:space="0" w:color="auto"/>
            <w:bottom w:val="none" w:sz="0" w:space="0" w:color="auto"/>
            <w:right w:val="none" w:sz="0" w:space="0" w:color="auto"/>
          </w:divBdr>
        </w:div>
      </w:divsChild>
    </w:div>
    <w:div w:id="861020336">
      <w:bodyDiv w:val="1"/>
      <w:marLeft w:val="0"/>
      <w:marRight w:val="0"/>
      <w:marTop w:val="0"/>
      <w:marBottom w:val="0"/>
      <w:divBdr>
        <w:top w:val="none" w:sz="0" w:space="0" w:color="auto"/>
        <w:left w:val="none" w:sz="0" w:space="0" w:color="auto"/>
        <w:bottom w:val="none" w:sz="0" w:space="0" w:color="auto"/>
        <w:right w:val="none" w:sz="0" w:space="0" w:color="auto"/>
      </w:divBdr>
      <w:divsChild>
        <w:div w:id="852456050">
          <w:marLeft w:val="0"/>
          <w:marRight w:val="0"/>
          <w:marTop w:val="0"/>
          <w:marBottom w:val="0"/>
          <w:divBdr>
            <w:top w:val="none" w:sz="0" w:space="0" w:color="auto"/>
            <w:left w:val="none" w:sz="0" w:space="0" w:color="auto"/>
            <w:bottom w:val="none" w:sz="0" w:space="0" w:color="auto"/>
            <w:right w:val="none" w:sz="0" w:space="0" w:color="auto"/>
          </w:divBdr>
          <w:divsChild>
            <w:div w:id="1290746825">
              <w:marLeft w:val="0"/>
              <w:marRight w:val="0"/>
              <w:marTop w:val="0"/>
              <w:marBottom w:val="0"/>
              <w:divBdr>
                <w:top w:val="none" w:sz="0" w:space="0" w:color="auto"/>
                <w:left w:val="none" w:sz="0" w:space="0" w:color="auto"/>
                <w:bottom w:val="none" w:sz="0" w:space="0" w:color="auto"/>
                <w:right w:val="none" w:sz="0" w:space="0" w:color="auto"/>
              </w:divBdr>
              <w:divsChild>
                <w:div w:id="1850682793">
                  <w:marLeft w:val="0"/>
                  <w:marRight w:val="0"/>
                  <w:marTop w:val="0"/>
                  <w:marBottom w:val="0"/>
                  <w:divBdr>
                    <w:top w:val="none" w:sz="0" w:space="0" w:color="auto"/>
                    <w:left w:val="none" w:sz="0" w:space="0" w:color="auto"/>
                    <w:bottom w:val="none" w:sz="0" w:space="0" w:color="auto"/>
                    <w:right w:val="none" w:sz="0" w:space="0" w:color="auto"/>
                  </w:divBdr>
                  <w:divsChild>
                    <w:div w:id="1158037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76964863">
      <w:bodyDiv w:val="1"/>
      <w:marLeft w:val="0"/>
      <w:marRight w:val="0"/>
      <w:marTop w:val="0"/>
      <w:marBottom w:val="0"/>
      <w:divBdr>
        <w:top w:val="none" w:sz="0" w:space="0" w:color="auto"/>
        <w:left w:val="none" w:sz="0" w:space="0" w:color="auto"/>
        <w:bottom w:val="none" w:sz="0" w:space="0" w:color="auto"/>
        <w:right w:val="none" w:sz="0" w:space="0" w:color="auto"/>
      </w:divBdr>
    </w:div>
    <w:div w:id="878013335">
      <w:bodyDiv w:val="1"/>
      <w:marLeft w:val="0"/>
      <w:marRight w:val="0"/>
      <w:marTop w:val="0"/>
      <w:marBottom w:val="0"/>
      <w:divBdr>
        <w:top w:val="none" w:sz="0" w:space="0" w:color="auto"/>
        <w:left w:val="none" w:sz="0" w:space="0" w:color="auto"/>
        <w:bottom w:val="none" w:sz="0" w:space="0" w:color="auto"/>
        <w:right w:val="none" w:sz="0" w:space="0" w:color="auto"/>
      </w:divBdr>
      <w:divsChild>
        <w:div w:id="180780609">
          <w:marLeft w:val="0"/>
          <w:marRight w:val="0"/>
          <w:marTop w:val="0"/>
          <w:marBottom w:val="0"/>
          <w:divBdr>
            <w:top w:val="none" w:sz="0" w:space="0" w:color="auto"/>
            <w:left w:val="none" w:sz="0" w:space="0" w:color="auto"/>
            <w:bottom w:val="none" w:sz="0" w:space="0" w:color="auto"/>
            <w:right w:val="none" w:sz="0" w:space="0" w:color="auto"/>
          </w:divBdr>
        </w:div>
      </w:divsChild>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98442377">
      <w:bodyDiv w:val="1"/>
      <w:marLeft w:val="0"/>
      <w:marRight w:val="0"/>
      <w:marTop w:val="0"/>
      <w:marBottom w:val="0"/>
      <w:divBdr>
        <w:top w:val="none" w:sz="0" w:space="0" w:color="auto"/>
        <w:left w:val="none" w:sz="0" w:space="0" w:color="auto"/>
        <w:bottom w:val="none" w:sz="0" w:space="0" w:color="auto"/>
        <w:right w:val="none" w:sz="0" w:space="0" w:color="auto"/>
      </w:divBdr>
    </w:div>
    <w:div w:id="925847628">
      <w:bodyDiv w:val="1"/>
      <w:marLeft w:val="0"/>
      <w:marRight w:val="0"/>
      <w:marTop w:val="0"/>
      <w:marBottom w:val="0"/>
      <w:divBdr>
        <w:top w:val="none" w:sz="0" w:space="0" w:color="auto"/>
        <w:left w:val="none" w:sz="0" w:space="0" w:color="auto"/>
        <w:bottom w:val="none" w:sz="0" w:space="0" w:color="auto"/>
        <w:right w:val="none" w:sz="0" w:space="0" w:color="auto"/>
      </w:divBdr>
    </w:div>
    <w:div w:id="960572160">
      <w:bodyDiv w:val="1"/>
      <w:marLeft w:val="0"/>
      <w:marRight w:val="0"/>
      <w:marTop w:val="0"/>
      <w:marBottom w:val="0"/>
      <w:divBdr>
        <w:top w:val="none" w:sz="0" w:space="0" w:color="auto"/>
        <w:left w:val="none" w:sz="0" w:space="0" w:color="auto"/>
        <w:bottom w:val="none" w:sz="0" w:space="0" w:color="auto"/>
        <w:right w:val="none" w:sz="0" w:space="0" w:color="auto"/>
      </w:divBdr>
      <w:divsChild>
        <w:div w:id="311518974">
          <w:marLeft w:val="0"/>
          <w:marRight w:val="0"/>
          <w:marTop w:val="0"/>
          <w:marBottom w:val="0"/>
          <w:divBdr>
            <w:top w:val="none" w:sz="0" w:space="0" w:color="auto"/>
            <w:left w:val="none" w:sz="0" w:space="0" w:color="auto"/>
            <w:bottom w:val="none" w:sz="0" w:space="0" w:color="auto"/>
            <w:right w:val="none" w:sz="0" w:space="0" w:color="auto"/>
          </w:divBdr>
          <w:divsChild>
            <w:div w:id="860127128">
              <w:marLeft w:val="0"/>
              <w:marRight w:val="0"/>
              <w:marTop w:val="0"/>
              <w:marBottom w:val="0"/>
              <w:divBdr>
                <w:top w:val="none" w:sz="0" w:space="0" w:color="auto"/>
                <w:left w:val="none" w:sz="0" w:space="0" w:color="auto"/>
                <w:bottom w:val="none" w:sz="0" w:space="0" w:color="auto"/>
                <w:right w:val="none" w:sz="0" w:space="0" w:color="auto"/>
              </w:divBdr>
              <w:divsChild>
                <w:div w:id="1454129004">
                  <w:marLeft w:val="0"/>
                  <w:marRight w:val="0"/>
                  <w:marTop w:val="0"/>
                  <w:marBottom w:val="0"/>
                  <w:divBdr>
                    <w:top w:val="none" w:sz="0" w:space="0" w:color="auto"/>
                    <w:left w:val="none" w:sz="0" w:space="0" w:color="auto"/>
                    <w:bottom w:val="none" w:sz="0" w:space="0" w:color="auto"/>
                    <w:right w:val="none" w:sz="0" w:space="0" w:color="auto"/>
                  </w:divBdr>
                  <w:divsChild>
                    <w:div w:id="1091511424">
                      <w:marLeft w:val="0"/>
                      <w:marRight w:val="0"/>
                      <w:marTop w:val="0"/>
                      <w:marBottom w:val="0"/>
                      <w:divBdr>
                        <w:top w:val="none" w:sz="0" w:space="0" w:color="auto"/>
                        <w:left w:val="none" w:sz="0" w:space="0" w:color="auto"/>
                        <w:bottom w:val="none" w:sz="0" w:space="0" w:color="auto"/>
                        <w:right w:val="none" w:sz="0" w:space="0" w:color="auto"/>
                      </w:divBdr>
                      <w:divsChild>
                        <w:div w:id="790705441">
                          <w:marLeft w:val="0"/>
                          <w:marRight w:val="0"/>
                          <w:marTop w:val="0"/>
                          <w:marBottom w:val="0"/>
                          <w:divBdr>
                            <w:top w:val="none" w:sz="0" w:space="0" w:color="auto"/>
                            <w:left w:val="none" w:sz="0" w:space="0" w:color="auto"/>
                            <w:bottom w:val="none" w:sz="0" w:space="0" w:color="auto"/>
                            <w:right w:val="none" w:sz="0" w:space="0" w:color="auto"/>
                          </w:divBdr>
                          <w:divsChild>
                            <w:div w:id="1468010074">
                              <w:marLeft w:val="0"/>
                              <w:marRight w:val="0"/>
                              <w:marTop w:val="0"/>
                              <w:marBottom w:val="0"/>
                              <w:divBdr>
                                <w:top w:val="none" w:sz="0" w:space="0" w:color="auto"/>
                                <w:left w:val="none" w:sz="0" w:space="0" w:color="auto"/>
                                <w:bottom w:val="none" w:sz="0" w:space="0" w:color="auto"/>
                                <w:right w:val="none" w:sz="0" w:space="0" w:color="auto"/>
                              </w:divBdr>
                              <w:divsChild>
                                <w:div w:id="434255134">
                                  <w:marLeft w:val="0"/>
                                  <w:marRight w:val="0"/>
                                  <w:marTop w:val="0"/>
                                  <w:marBottom w:val="0"/>
                                  <w:divBdr>
                                    <w:top w:val="none" w:sz="0" w:space="0" w:color="auto"/>
                                    <w:left w:val="none" w:sz="0" w:space="0" w:color="auto"/>
                                    <w:bottom w:val="none" w:sz="0" w:space="0" w:color="auto"/>
                                    <w:right w:val="none" w:sz="0" w:space="0" w:color="auto"/>
                                  </w:divBdr>
                                  <w:divsChild>
                                    <w:div w:id="193662861">
                                      <w:marLeft w:val="0"/>
                                      <w:marRight w:val="0"/>
                                      <w:marTop w:val="0"/>
                                      <w:marBottom w:val="0"/>
                                      <w:divBdr>
                                        <w:top w:val="none" w:sz="0" w:space="0" w:color="auto"/>
                                        <w:left w:val="none" w:sz="0" w:space="0" w:color="auto"/>
                                        <w:bottom w:val="none" w:sz="0" w:space="0" w:color="auto"/>
                                        <w:right w:val="none" w:sz="0" w:space="0" w:color="auto"/>
                                      </w:divBdr>
                                      <w:divsChild>
                                        <w:div w:id="84618290">
                                          <w:marLeft w:val="0"/>
                                          <w:marRight w:val="0"/>
                                          <w:marTop w:val="0"/>
                                          <w:marBottom w:val="0"/>
                                          <w:divBdr>
                                            <w:top w:val="none" w:sz="0" w:space="0" w:color="auto"/>
                                            <w:left w:val="none" w:sz="0" w:space="0" w:color="auto"/>
                                            <w:bottom w:val="none" w:sz="0" w:space="0" w:color="auto"/>
                                            <w:right w:val="none" w:sz="0" w:space="0" w:color="auto"/>
                                          </w:divBdr>
                                          <w:divsChild>
                                            <w:div w:id="1748307582">
                                              <w:marLeft w:val="0"/>
                                              <w:marRight w:val="0"/>
                                              <w:marTop w:val="0"/>
                                              <w:marBottom w:val="0"/>
                                              <w:divBdr>
                                                <w:top w:val="none" w:sz="0" w:space="0" w:color="auto"/>
                                                <w:left w:val="none" w:sz="0" w:space="0" w:color="auto"/>
                                                <w:bottom w:val="none" w:sz="0" w:space="0" w:color="auto"/>
                                                <w:right w:val="none" w:sz="0" w:space="0" w:color="auto"/>
                                              </w:divBdr>
                                              <w:divsChild>
                                                <w:div w:id="332683153">
                                                  <w:marLeft w:val="0"/>
                                                  <w:marRight w:val="0"/>
                                                  <w:marTop w:val="0"/>
                                                  <w:marBottom w:val="0"/>
                                                  <w:divBdr>
                                                    <w:top w:val="none" w:sz="0" w:space="0" w:color="auto"/>
                                                    <w:left w:val="none" w:sz="0" w:space="0" w:color="auto"/>
                                                    <w:bottom w:val="none" w:sz="0" w:space="0" w:color="auto"/>
                                                    <w:right w:val="none" w:sz="0" w:space="0" w:color="auto"/>
                                                  </w:divBdr>
                                                  <w:divsChild>
                                                    <w:div w:id="816723685">
                                                      <w:marLeft w:val="0"/>
                                                      <w:marRight w:val="0"/>
                                                      <w:marTop w:val="0"/>
                                                      <w:marBottom w:val="0"/>
                                                      <w:divBdr>
                                                        <w:top w:val="none" w:sz="0" w:space="0" w:color="auto"/>
                                                        <w:left w:val="none" w:sz="0" w:space="0" w:color="auto"/>
                                                        <w:bottom w:val="none" w:sz="0" w:space="0" w:color="auto"/>
                                                        <w:right w:val="none" w:sz="0" w:space="0" w:color="auto"/>
                                                      </w:divBdr>
                                                      <w:divsChild>
                                                        <w:div w:id="528564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4234586">
      <w:bodyDiv w:val="1"/>
      <w:marLeft w:val="0"/>
      <w:marRight w:val="0"/>
      <w:marTop w:val="0"/>
      <w:marBottom w:val="0"/>
      <w:divBdr>
        <w:top w:val="none" w:sz="0" w:space="0" w:color="auto"/>
        <w:left w:val="none" w:sz="0" w:space="0" w:color="auto"/>
        <w:bottom w:val="none" w:sz="0" w:space="0" w:color="auto"/>
        <w:right w:val="none" w:sz="0" w:space="0" w:color="auto"/>
      </w:divBdr>
      <w:divsChild>
        <w:div w:id="337973577">
          <w:marLeft w:val="0"/>
          <w:marRight w:val="0"/>
          <w:marTop w:val="0"/>
          <w:marBottom w:val="0"/>
          <w:divBdr>
            <w:top w:val="none" w:sz="0" w:space="0" w:color="auto"/>
            <w:left w:val="none" w:sz="0" w:space="0" w:color="auto"/>
            <w:bottom w:val="none" w:sz="0" w:space="0" w:color="auto"/>
            <w:right w:val="none" w:sz="0" w:space="0" w:color="auto"/>
          </w:divBdr>
        </w:div>
      </w:divsChild>
    </w:div>
    <w:div w:id="987366029">
      <w:bodyDiv w:val="1"/>
      <w:marLeft w:val="0"/>
      <w:marRight w:val="0"/>
      <w:marTop w:val="0"/>
      <w:marBottom w:val="0"/>
      <w:divBdr>
        <w:top w:val="none" w:sz="0" w:space="0" w:color="auto"/>
        <w:left w:val="none" w:sz="0" w:space="0" w:color="auto"/>
        <w:bottom w:val="none" w:sz="0" w:space="0" w:color="auto"/>
        <w:right w:val="none" w:sz="0" w:space="0" w:color="auto"/>
      </w:divBdr>
      <w:divsChild>
        <w:div w:id="617107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151093">
      <w:bodyDiv w:val="1"/>
      <w:marLeft w:val="0"/>
      <w:marRight w:val="0"/>
      <w:marTop w:val="0"/>
      <w:marBottom w:val="0"/>
      <w:divBdr>
        <w:top w:val="none" w:sz="0" w:space="0" w:color="auto"/>
        <w:left w:val="none" w:sz="0" w:space="0" w:color="auto"/>
        <w:bottom w:val="none" w:sz="0" w:space="0" w:color="auto"/>
        <w:right w:val="none" w:sz="0" w:space="0" w:color="auto"/>
      </w:divBdr>
    </w:div>
    <w:div w:id="1026057921">
      <w:bodyDiv w:val="1"/>
      <w:marLeft w:val="0"/>
      <w:marRight w:val="0"/>
      <w:marTop w:val="0"/>
      <w:marBottom w:val="0"/>
      <w:divBdr>
        <w:top w:val="none" w:sz="0" w:space="0" w:color="auto"/>
        <w:left w:val="none" w:sz="0" w:space="0" w:color="auto"/>
        <w:bottom w:val="none" w:sz="0" w:space="0" w:color="auto"/>
        <w:right w:val="none" w:sz="0" w:space="0" w:color="auto"/>
      </w:divBdr>
      <w:divsChild>
        <w:div w:id="943421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35553">
      <w:bodyDiv w:val="1"/>
      <w:marLeft w:val="0"/>
      <w:marRight w:val="0"/>
      <w:marTop w:val="0"/>
      <w:marBottom w:val="0"/>
      <w:divBdr>
        <w:top w:val="none" w:sz="0" w:space="0" w:color="auto"/>
        <w:left w:val="none" w:sz="0" w:space="0" w:color="auto"/>
        <w:bottom w:val="none" w:sz="0" w:space="0" w:color="auto"/>
        <w:right w:val="none" w:sz="0" w:space="0" w:color="auto"/>
      </w:divBdr>
      <w:divsChild>
        <w:div w:id="1193226385">
          <w:marLeft w:val="274"/>
          <w:marRight w:val="0"/>
          <w:marTop w:val="0"/>
          <w:marBottom w:val="120"/>
          <w:divBdr>
            <w:top w:val="none" w:sz="0" w:space="0" w:color="auto"/>
            <w:left w:val="none" w:sz="0" w:space="0" w:color="auto"/>
            <w:bottom w:val="none" w:sz="0" w:space="0" w:color="auto"/>
            <w:right w:val="none" w:sz="0" w:space="0" w:color="auto"/>
          </w:divBdr>
        </w:div>
      </w:divsChild>
    </w:div>
    <w:div w:id="1097166863">
      <w:bodyDiv w:val="1"/>
      <w:marLeft w:val="0"/>
      <w:marRight w:val="0"/>
      <w:marTop w:val="0"/>
      <w:marBottom w:val="0"/>
      <w:divBdr>
        <w:top w:val="none" w:sz="0" w:space="0" w:color="auto"/>
        <w:left w:val="none" w:sz="0" w:space="0" w:color="auto"/>
        <w:bottom w:val="none" w:sz="0" w:space="0" w:color="auto"/>
        <w:right w:val="none" w:sz="0" w:space="0" w:color="auto"/>
      </w:divBdr>
      <w:divsChild>
        <w:div w:id="842234957">
          <w:marLeft w:val="0"/>
          <w:marRight w:val="0"/>
          <w:marTop w:val="0"/>
          <w:marBottom w:val="0"/>
          <w:divBdr>
            <w:top w:val="none" w:sz="0" w:space="0" w:color="auto"/>
            <w:left w:val="none" w:sz="0" w:space="0" w:color="auto"/>
            <w:bottom w:val="none" w:sz="0" w:space="0" w:color="auto"/>
            <w:right w:val="none" w:sz="0" w:space="0" w:color="auto"/>
          </w:divBdr>
          <w:divsChild>
            <w:div w:id="682318332">
              <w:marLeft w:val="0"/>
              <w:marRight w:val="0"/>
              <w:marTop w:val="0"/>
              <w:marBottom w:val="0"/>
              <w:divBdr>
                <w:top w:val="none" w:sz="0" w:space="0" w:color="auto"/>
                <w:left w:val="none" w:sz="0" w:space="0" w:color="auto"/>
                <w:bottom w:val="none" w:sz="0" w:space="0" w:color="auto"/>
                <w:right w:val="none" w:sz="0" w:space="0" w:color="auto"/>
              </w:divBdr>
              <w:divsChild>
                <w:div w:id="2031182939">
                  <w:marLeft w:val="0"/>
                  <w:marRight w:val="0"/>
                  <w:marTop w:val="0"/>
                  <w:marBottom w:val="0"/>
                  <w:divBdr>
                    <w:top w:val="none" w:sz="0" w:space="0" w:color="auto"/>
                    <w:left w:val="none" w:sz="0" w:space="0" w:color="auto"/>
                    <w:bottom w:val="none" w:sz="0" w:space="0" w:color="auto"/>
                    <w:right w:val="none" w:sz="0" w:space="0" w:color="auto"/>
                  </w:divBdr>
                  <w:divsChild>
                    <w:div w:id="1683627770">
                      <w:marLeft w:val="0"/>
                      <w:marRight w:val="0"/>
                      <w:marTop w:val="0"/>
                      <w:marBottom w:val="0"/>
                      <w:divBdr>
                        <w:top w:val="none" w:sz="0" w:space="0" w:color="auto"/>
                        <w:left w:val="none" w:sz="0" w:space="0" w:color="auto"/>
                        <w:bottom w:val="none" w:sz="0" w:space="0" w:color="auto"/>
                        <w:right w:val="none" w:sz="0" w:space="0" w:color="auto"/>
                      </w:divBdr>
                      <w:divsChild>
                        <w:div w:id="459690462">
                          <w:marLeft w:val="0"/>
                          <w:marRight w:val="0"/>
                          <w:marTop w:val="0"/>
                          <w:marBottom w:val="0"/>
                          <w:divBdr>
                            <w:top w:val="none" w:sz="0" w:space="0" w:color="auto"/>
                            <w:left w:val="none" w:sz="0" w:space="0" w:color="auto"/>
                            <w:bottom w:val="none" w:sz="0" w:space="0" w:color="auto"/>
                            <w:right w:val="none" w:sz="0" w:space="0" w:color="auto"/>
                          </w:divBdr>
                          <w:divsChild>
                            <w:div w:id="959729974">
                              <w:marLeft w:val="0"/>
                              <w:marRight w:val="0"/>
                              <w:marTop w:val="0"/>
                              <w:marBottom w:val="0"/>
                              <w:divBdr>
                                <w:top w:val="none" w:sz="0" w:space="0" w:color="auto"/>
                                <w:left w:val="none" w:sz="0" w:space="0" w:color="auto"/>
                                <w:bottom w:val="none" w:sz="0" w:space="0" w:color="auto"/>
                                <w:right w:val="none" w:sz="0" w:space="0" w:color="auto"/>
                              </w:divBdr>
                              <w:divsChild>
                                <w:div w:id="1637489310">
                                  <w:marLeft w:val="0"/>
                                  <w:marRight w:val="0"/>
                                  <w:marTop w:val="0"/>
                                  <w:marBottom w:val="0"/>
                                  <w:divBdr>
                                    <w:top w:val="none" w:sz="0" w:space="0" w:color="auto"/>
                                    <w:left w:val="none" w:sz="0" w:space="0" w:color="auto"/>
                                    <w:bottom w:val="none" w:sz="0" w:space="0" w:color="auto"/>
                                    <w:right w:val="none" w:sz="0" w:space="0" w:color="auto"/>
                                  </w:divBdr>
                                  <w:divsChild>
                                    <w:div w:id="1209561732">
                                      <w:marLeft w:val="0"/>
                                      <w:marRight w:val="0"/>
                                      <w:marTop w:val="0"/>
                                      <w:marBottom w:val="0"/>
                                      <w:divBdr>
                                        <w:top w:val="none" w:sz="0" w:space="0" w:color="auto"/>
                                        <w:left w:val="none" w:sz="0" w:space="0" w:color="auto"/>
                                        <w:bottom w:val="none" w:sz="0" w:space="0" w:color="auto"/>
                                        <w:right w:val="none" w:sz="0" w:space="0" w:color="auto"/>
                                      </w:divBdr>
                                      <w:divsChild>
                                        <w:div w:id="292057531">
                                          <w:marLeft w:val="0"/>
                                          <w:marRight w:val="0"/>
                                          <w:marTop w:val="0"/>
                                          <w:marBottom w:val="0"/>
                                          <w:divBdr>
                                            <w:top w:val="none" w:sz="0" w:space="0" w:color="auto"/>
                                            <w:left w:val="none" w:sz="0" w:space="0" w:color="auto"/>
                                            <w:bottom w:val="none" w:sz="0" w:space="0" w:color="auto"/>
                                            <w:right w:val="none" w:sz="0" w:space="0" w:color="auto"/>
                                          </w:divBdr>
                                          <w:divsChild>
                                            <w:div w:id="102505397">
                                              <w:marLeft w:val="0"/>
                                              <w:marRight w:val="0"/>
                                              <w:marTop w:val="0"/>
                                              <w:marBottom w:val="0"/>
                                              <w:divBdr>
                                                <w:top w:val="none" w:sz="0" w:space="0" w:color="auto"/>
                                                <w:left w:val="none" w:sz="0" w:space="0" w:color="auto"/>
                                                <w:bottom w:val="none" w:sz="0" w:space="0" w:color="auto"/>
                                                <w:right w:val="none" w:sz="0" w:space="0" w:color="auto"/>
                                              </w:divBdr>
                                              <w:divsChild>
                                                <w:div w:id="1938516002">
                                                  <w:marLeft w:val="0"/>
                                                  <w:marRight w:val="0"/>
                                                  <w:marTop w:val="0"/>
                                                  <w:marBottom w:val="0"/>
                                                  <w:divBdr>
                                                    <w:top w:val="none" w:sz="0" w:space="0" w:color="auto"/>
                                                    <w:left w:val="none" w:sz="0" w:space="0" w:color="auto"/>
                                                    <w:bottom w:val="none" w:sz="0" w:space="0" w:color="auto"/>
                                                    <w:right w:val="none" w:sz="0" w:space="0" w:color="auto"/>
                                                  </w:divBdr>
                                                  <w:divsChild>
                                                    <w:div w:id="84097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4571">
      <w:bodyDiv w:val="1"/>
      <w:marLeft w:val="0"/>
      <w:marRight w:val="0"/>
      <w:marTop w:val="0"/>
      <w:marBottom w:val="0"/>
      <w:divBdr>
        <w:top w:val="none" w:sz="0" w:space="0" w:color="auto"/>
        <w:left w:val="none" w:sz="0" w:space="0" w:color="auto"/>
        <w:bottom w:val="none" w:sz="0" w:space="0" w:color="auto"/>
        <w:right w:val="none" w:sz="0" w:space="0" w:color="auto"/>
      </w:divBdr>
    </w:div>
    <w:div w:id="1125276706">
      <w:bodyDiv w:val="1"/>
      <w:marLeft w:val="0"/>
      <w:marRight w:val="0"/>
      <w:marTop w:val="0"/>
      <w:marBottom w:val="0"/>
      <w:divBdr>
        <w:top w:val="none" w:sz="0" w:space="0" w:color="auto"/>
        <w:left w:val="none" w:sz="0" w:space="0" w:color="auto"/>
        <w:bottom w:val="none" w:sz="0" w:space="0" w:color="auto"/>
        <w:right w:val="none" w:sz="0" w:space="0" w:color="auto"/>
      </w:divBdr>
    </w:div>
    <w:div w:id="1150367820">
      <w:bodyDiv w:val="1"/>
      <w:marLeft w:val="0"/>
      <w:marRight w:val="0"/>
      <w:marTop w:val="0"/>
      <w:marBottom w:val="0"/>
      <w:divBdr>
        <w:top w:val="none" w:sz="0" w:space="0" w:color="auto"/>
        <w:left w:val="none" w:sz="0" w:space="0" w:color="auto"/>
        <w:bottom w:val="none" w:sz="0" w:space="0" w:color="auto"/>
        <w:right w:val="none" w:sz="0" w:space="0" w:color="auto"/>
      </w:divBdr>
      <w:divsChild>
        <w:div w:id="305357559">
          <w:marLeft w:val="0"/>
          <w:marRight w:val="0"/>
          <w:marTop w:val="0"/>
          <w:marBottom w:val="0"/>
          <w:divBdr>
            <w:top w:val="none" w:sz="0" w:space="0" w:color="auto"/>
            <w:left w:val="none" w:sz="0" w:space="0" w:color="auto"/>
            <w:bottom w:val="none" w:sz="0" w:space="0" w:color="auto"/>
            <w:right w:val="none" w:sz="0" w:space="0" w:color="auto"/>
          </w:divBdr>
        </w:div>
      </w:divsChild>
    </w:div>
    <w:div w:id="1154251066">
      <w:bodyDiv w:val="1"/>
      <w:marLeft w:val="0"/>
      <w:marRight w:val="0"/>
      <w:marTop w:val="0"/>
      <w:marBottom w:val="0"/>
      <w:divBdr>
        <w:top w:val="none" w:sz="0" w:space="0" w:color="auto"/>
        <w:left w:val="none" w:sz="0" w:space="0" w:color="auto"/>
        <w:bottom w:val="none" w:sz="0" w:space="0" w:color="auto"/>
        <w:right w:val="none" w:sz="0" w:space="0" w:color="auto"/>
      </w:divBdr>
      <w:divsChild>
        <w:div w:id="1922251855">
          <w:marLeft w:val="0"/>
          <w:marRight w:val="0"/>
          <w:marTop w:val="0"/>
          <w:marBottom w:val="0"/>
          <w:divBdr>
            <w:top w:val="none" w:sz="0" w:space="0" w:color="auto"/>
            <w:left w:val="none" w:sz="0" w:space="0" w:color="auto"/>
            <w:bottom w:val="none" w:sz="0" w:space="0" w:color="auto"/>
            <w:right w:val="none" w:sz="0" w:space="0" w:color="auto"/>
          </w:divBdr>
        </w:div>
      </w:divsChild>
    </w:div>
    <w:div w:id="1162627043">
      <w:bodyDiv w:val="1"/>
      <w:marLeft w:val="0"/>
      <w:marRight w:val="0"/>
      <w:marTop w:val="0"/>
      <w:marBottom w:val="0"/>
      <w:divBdr>
        <w:top w:val="none" w:sz="0" w:space="0" w:color="auto"/>
        <w:left w:val="none" w:sz="0" w:space="0" w:color="auto"/>
        <w:bottom w:val="none" w:sz="0" w:space="0" w:color="auto"/>
        <w:right w:val="none" w:sz="0" w:space="0" w:color="auto"/>
      </w:divBdr>
    </w:div>
    <w:div w:id="1175651418">
      <w:bodyDiv w:val="1"/>
      <w:marLeft w:val="0"/>
      <w:marRight w:val="0"/>
      <w:marTop w:val="0"/>
      <w:marBottom w:val="0"/>
      <w:divBdr>
        <w:top w:val="none" w:sz="0" w:space="0" w:color="auto"/>
        <w:left w:val="none" w:sz="0" w:space="0" w:color="auto"/>
        <w:bottom w:val="none" w:sz="0" w:space="0" w:color="auto"/>
        <w:right w:val="none" w:sz="0" w:space="0" w:color="auto"/>
      </w:divBdr>
      <w:divsChild>
        <w:div w:id="1670057083">
          <w:marLeft w:val="0"/>
          <w:marRight w:val="0"/>
          <w:marTop w:val="0"/>
          <w:marBottom w:val="0"/>
          <w:divBdr>
            <w:top w:val="none" w:sz="0" w:space="0" w:color="auto"/>
            <w:left w:val="none" w:sz="0" w:space="0" w:color="auto"/>
            <w:bottom w:val="none" w:sz="0" w:space="0" w:color="auto"/>
            <w:right w:val="none" w:sz="0" w:space="0" w:color="auto"/>
          </w:divBdr>
        </w:div>
      </w:divsChild>
    </w:div>
    <w:div w:id="1179201391">
      <w:bodyDiv w:val="1"/>
      <w:marLeft w:val="0"/>
      <w:marRight w:val="0"/>
      <w:marTop w:val="0"/>
      <w:marBottom w:val="0"/>
      <w:divBdr>
        <w:top w:val="none" w:sz="0" w:space="0" w:color="auto"/>
        <w:left w:val="none" w:sz="0" w:space="0" w:color="auto"/>
        <w:bottom w:val="none" w:sz="0" w:space="0" w:color="auto"/>
        <w:right w:val="none" w:sz="0" w:space="0" w:color="auto"/>
      </w:divBdr>
      <w:divsChild>
        <w:div w:id="304547298">
          <w:marLeft w:val="0"/>
          <w:marRight w:val="0"/>
          <w:marTop w:val="0"/>
          <w:marBottom w:val="0"/>
          <w:divBdr>
            <w:top w:val="none" w:sz="0" w:space="0" w:color="auto"/>
            <w:left w:val="none" w:sz="0" w:space="0" w:color="auto"/>
            <w:bottom w:val="none" w:sz="0" w:space="0" w:color="auto"/>
            <w:right w:val="none" w:sz="0" w:space="0" w:color="auto"/>
          </w:divBdr>
        </w:div>
      </w:divsChild>
    </w:div>
    <w:div w:id="1237665599">
      <w:bodyDiv w:val="1"/>
      <w:marLeft w:val="0"/>
      <w:marRight w:val="0"/>
      <w:marTop w:val="0"/>
      <w:marBottom w:val="0"/>
      <w:divBdr>
        <w:top w:val="none" w:sz="0" w:space="0" w:color="auto"/>
        <w:left w:val="none" w:sz="0" w:space="0" w:color="auto"/>
        <w:bottom w:val="none" w:sz="0" w:space="0" w:color="auto"/>
        <w:right w:val="none" w:sz="0" w:space="0" w:color="auto"/>
      </w:divBdr>
    </w:div>
    <w:div w:id="1254627850">
      <w:bodyDiv w:val="1"/>
      <w:marLeft w:val="0"/>
      <w:marRight w:val="0"/>
      <w:marTop w:val="0"/>
      <w:marBottom w:val="0"/>
      <w:divBdr>
        <w:top w:val="none" w:sz="0" w:space="0" w:color="auto"/>
        <w:left w:val="none" w:sz="0" w:space="0" w:color="auto"/>
        <w:bottom w:val="none" w:sz="0" w:space="0" w:color="auto"/>
        <w:right w:val="none" w:sz="0" w:space="0" w:color="auto"/>
      </w:divBdr>
    </w:div>
    <w:div w:id="1264143268">
      <w:bodyDiv w:val="1"/>
      <w:marLeft w:val="0"/>
      <w:marRight w:val="0"/>
      <w:marTop w:val="0"/>
      <w:marBottom w:val="0"/>
      <w:divBdr>
        <w:top w:val="none" w:sz="0" w:space="0" w:color="auto"/>
        <w:left w:val="none" w:sz="0" w:space="0" w:color="auto"/>
        <w:bottom w:val="none" w:sz="0" w:space="0" w:color="auto"/>
        <w:right w:val="none" w:sz="0" w:space="0" w:color="auto"/>
      </w:divBdr>
      <w:divsChild>
        <w:div w:id="1281952886">
          <w:marLeft w:val="0"/>
          <w:marRight w:val="0"/>
          <w:marTop w:val="0"/>
          <w:marBottom w:val="0"/>
          <w:divBdr>
            <w:top w:val="none" w:sz="0" w:space="0" w:color="auto"/>
            <w:left w:val="none" w:sz="0" w:space="0" w:color="auto"/>
            <w:bottom w:val="none" w:sz="0" w:space="0" w:color="auto"/>
            <w:right w:val="none" w:sz="0" w:space="0" w:color="auto"/>
          </w:divBdr>
        </w:div>
      </w:divsChild>
    </w:div>
    <w:div w:id="1266427876">
      <w:bodyDiv w:val="1"/>
      <w:marLeft w:val="0"/>
      <w:marRight w:val="0"/>
      <w:marTop w:val="0"/>
      <w:marBottom w:val="0"/>
      <w:divBdr>
        <w:top w:val="none" w:sz="0" w:space="0" w:color="auto"/>
        <w:left w:val="none" w:sz="0" w:space="0" w:color="auto"/>
        <w:bottom w:val="none" w:sz="0" w:space="0" w:color="auto"/>
        <w:right w:val="none" w:sz="0" w:space="0" w:color="auto"/>
      </w:divBdr>
      <w:divsChild>
        <w:div w:id="1838304123">
          <w:marLeft w:val="0"/>
          <w:marRight w:val="0"/>
          <w:marTop w:val="0"/>
          <w:marBottom w:val="0"/>
          <w:divBdr>
            <w:top w:val="none" w:sz="0" w:space="0" w:color="auto"/>
            <w:left w:val="none" w:sz="0" w:space="0" w:color="auto"/>
            <w:bottom w:val="none" w:sz="0" w:space="0" w:color="auto"/>
            <w:right w:val="none" w:sz="0" w:space="0" w:color="auto"/>
          </w:divBdr>
        </w:div>
      </w:divsChild>
    </w:div>
    <w:div w:id="1288664516">
      <w:bodyDiv w:val="1"/>
      <w:marLeft w:val="0"/>
      <w:marRight w:val="0"/>
      <w:marTop w:val="0"/>
      <w:marBottom w:val="0"/>
      <w:divBdr>
        <w:top w:val="none" w:sz="0" w:space="0" w:color="auto"/>
        <w:left w:val="none" w:sz="0" w:space="0" w:color="auto"/>
        <w:bottom w:val="none" w:sz="0" w:space="0" w:color="auto"/>
        <w:right w:val="none" w:sz="0" w:space="0" w:color="auto"/>
      </w:divBdr>
    </w:div>
    <w:div w:id="1310016127">
      <w:bodyDiv w:val="1"/>
      <w:marLeft w:val="0"/>
      <w:marRight w:val="0"/>
      <w:marTop w:val="0"/>
      <w:marBottom w:val="0"/>
      <w:divBdr>
        <w:top w:val="none" w:sz="0" w:space="0" w:color="auto"/>
        <w:left w:val="none" w:sz="0" w:space="0" w:color="auto"/>
        <w:bottom w:val="none" w:sz="0" w:space="0" w:color="auto"/>
        <w:right w:val="none" w:sz="0" w:space="0" w:color="auto"/>
      </w:divBdr>
      <w:divsChild>
        <w:div w:id="954557859">
          <w:marLeft w:val="0"/>
          <w:marRight w:val="0"/>
          <w:marTop w:val="0"/>
          <w:marBottom w:val="0"/>
          <w:divBdr>
            <w:top w:val="none" w:sz="0" w:space="0" w:color="auto"/>
            <w:left w:val="none" w:sz="0" w:space="0" w:color="auto"/>
            <w:bottom w:val="none" w:sz="0" w:space="0" w:color="auto"/>
            <w:right w:val="none" w:sz="0" w:space="0" w:color="auto"/>
          </w:divBdr>
        </w:div>
      </w:divsChild>
    </w:div>
    <w:div w:id="1312903811">
      <w:bodyDiv w:val="1"/>
      <w:marLeft w:val="0"/>
      <w:marRight w:val="0"/>
      <w:marTop w:val="0"/>
      <w:marBottom w:val="0"/>
      <w:divBdr>
        <w:top w:val="none" w:sz="0" w:space="0" w:color="auto"/>
        <w:left w:val="none" w:sz="0" w:space="0" w:color="auto"/>
        <w:bottom w:val="none" w:sz="0" w:space="0" w:color="auto"/>
        <w:right w:val="none" w:sz="0" w:space="0" w:color="auto"/>
      </w:divBdr>
      <w:divsChild>
        <w:div w:id="1528982414">
          <w:marLeft w:val="0"/>
          <w:marRight w:val="0"/>
          <w:marTop w:val="0"/>
          <w:marBottom w:val="0"/>
          <w:divBdr>
            <w:top w:val="none" w:sz="0" w:space="0" w:color="auto"/>
            <w:left w:val="none" w:sz="0" w:space="0" w:color="auto"/>
            <w:bottom w:val="none" w:sz="0" w:space="0" w:color="auto"/>
            <w:right w:val="none" w:sz="0" w:space="0" w:color="auto"/>
          </w:divBdr>
        </w:div>
      </w:divsChild>
    </w:div>
    <w:div w:id="1313947614">
      <w:bodyDiv w:val="1"/>
      <w:marLeft w:val="0"/>
      <w:marRight w:val="0"/>
      <w:marTop w:val="0"/>
      <w:marBottom w:val="0"/>
      <w:divBdr>
        <w:top w:val="none" w:sz="0" w:space="0" w:color="auto"/>
        <w:left w:val="none" w:sz="0" w:space="0" w:color="auto"/>
        <w:bottom w:val="none" w:sz="0" w:space="0" w:color="auto"/>
        <w:right w:val="none" w:sz="0" w:space="0" w:color="auto"/>
      </w:divBdr>
      <w:divsChild>
        <w:div w:id="395054330">
          <w:marLeft w:val="0"/>
          <w:marRight w:val="0"/>
          <w:marTop w:val="0"/>
          <w:marBottom w:val="0"/>
          <w:divBdr>
            <w:top w:val="none" w:sz="0" w:space="0" w:color="auto"/>
            <w:left w:val="none" w:sz="0" w:space="0" w:color="auto"/>
            <w:bottom w:val="none" w:sz="0" w:space="0" w:color="auto"/>
            <w:right w:val="none" w:sz="0" w:space="0" w:color="auto"/>
          </w:divBdr>
        </w:div>
        <w:div w:id="1939025200">
          <w:marLeft w:val="0"/>
          <w:marRight w:val="0"/>
          <w:marTop w:val="0"/>
          <w:marBottom w:val="0"/>
          <w:divBdr>
            <w:top w:val="none" w:sz="0" w:space="0" w:color="auto"/>
            <w:left w:val="none" w:sz="0" w:space="0" w:color="auto"/>
            <w:bottom w:val="none" w:sz="0" w:space="0" w:color="auto"/>
            <w:right w:val="none" w:sz="0" w:space="0" w:color="auto"/>
          </w:divBdr>
        </w:div>
      </w:divsChild>
    </w:div>
    <w:div w:id="1328240851">
      <w:bodyDiv w:val="1"/>
      <w:marLeft w:val="0"/>
      <w:marRight w:val="0"/>
      <w:marTop w:val="0"/>
      <w:marBottom w:val="0"/>
      <w:divBdr>
        <w:top w:val="none" w:sz="0" w:space="0" w:color="auto"/>
        <w:left w:val="none" w:sz="0" w:space="0" w:color="auto"/>
        <w:bottom w:val="none" w:sz="0" w:space="0" w:color="auto"/>
        <w:right w:val="none" w:sz="0" w:space="0" w:color="auto"/>
      </w:divBdr>
      <w:divsChild>
        <w:div w:id="2001958942">
          <w:marLeft w:val="0"/>
          <w:marRight w:val="0"/>
          <w:marTop w:val="0"/>
          <w:marBottom w:val="0"/>
          <w:divBdr>
            <w:top w:val="none" w:sz="0" w:space="0" w:color="auto"/>
            <w:left w:val="none" w:sz="0" w:space="0" w:color="auto"/>
            <w:bottom w:val="none" w:sz="0" w:space="0" w:color="auto"/>
            <w:right w:val="none" w:sz="0" w:space="0" w:color="auto"/>
          </w:divBdr>
        </w:div>
      </w:divsChild>
    </w:div>
    <w:div w:id="1347095384">
      <w:bodyDiv w:val="1"/>
      <w:marLeft w:val="0"/>
      <w:marRight w:val="0"/>
      <w:marTop w:val="0"/>
      <w:marBottom w:val="0"/>
      <w:divBdr>
        <w:top w:val="none" w:sz="0" w:space="0" w:color="auto"/>
        <w:left w:val="none" w:sz="0" w:space="0" w:color="auto"/>
        <w:bottom w:val="none" w:sz="0" w:space="0" w:color="auto"/>
        <w:right w:val="none" w:sz="0" w:space="0" w:color="auto"/>
      </w:divBdr>
      <w:divsChild>
        <w:div w:id="2001273685">
          <w:marLeft w:val="0"/>
          <w:marRight w:val="0"/>
          <w:marTop w:val="240"/>
          <w:marBottom w:val="240"/>
          <w:divBdr>
            <w:top w:val="none" w:sz="0" w:space="0" w:color="auto"/>
            <w:left w:val="none" w:sz="0" w:space="0" w:color="auto"/>
            <w:bottom w:val="none" w:sz="0" w:space="0" w:color="auto"/>
            <w:right w:val="none" w:sz="0" w:space="0" w:color="auto"/>
          </w:divBdr>
          <w:divsChild>
            <w:div w:id="10742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6283">
      <w:bodyDiv w:val="1"/>
      <w:marLeft w:val="0"/>
      <w:marRight w:val="0"/>
      <w:marTop w:val="0"/>
      <w:marBottom w:val="0"/>
      <w:divBdr>
        <w:top w:val="none" w:sz="0" w:space="0" w:color="auto"/>
        <w:left w:val="none" w:sz="0" w:space="0" w:color="auto"/>
        <w:bottom w:val="none" w:sz="0" w:space="0" w:color="auto"/>
        <w:right w:val="none" w:sz="0" w:space="0" w:color="auto"/>
      </w:divBdr>
      <w:divsChild>
        <w:div w:id="1920671021">
          <w:marLeft w:val="0"/>
          <w:marRight w:val="0"/>
          <w:marTop w:val="0"/>
          <w:marBottom w:val="0"/>
          <w:divBdr>
            <w:top w:val="none" w:sz="0" w:space="0" w:color="auto"/>
            <w:left w:val="none" w:sz="0" w:space="0" w:color="auto"/>
            <w:bottom w:val="none" w:sz="0" w:space="0" w:color="auto"/>
            <w:right w:val="none" w:sz="0" w:space="0" w:color="auto"/>
          </w:divBdr>
        </w:div>
      </w:divsChild>
    </w:div>
    <w:div w:id="1391810053">
      <w:bodyDiv w:val="1"/>
      <w:marLeft w:val="0"/>
      <w:marRight w:val="0"/>
      <w:marTop w:val="0"/>
      <w:marBottom w:val="0"/>
      <w:divBdr>
        <w:top w:val="none" w:sz="0" w:space="0" w:color="auto"/>
        <w:left w:val="none" w:sz="0" w:space="0" w:color="auto"/>
        <w:bottom w:val="none" w:sz="0" w:space="0" w:color="auto"/>
        <w:right w:val="none" w:sz="0" w:space="0" w:color="auto"/>
      </w:divBdr>
      <w:divsChild>
        <w:div w:id="1512185700">
          <w:marLeft w:val="0"/>
          <w:marRight w:val="0"/>
          <w:marTop w:val="0"/>
          <w:marBottom w:val="0"/>
          <w:divBdr>
            <w:top w:val="none" w:sz="0" w:space="0" w:color="auto"/>
            <w:left w:val="none" w:sz="0" w:space="0" w:color="auto"/>
            <w:bottom w:val="none" w:sz="0" w:space="0" w:color="auto"/>
            <w:right w:val="none" w:sz="0" w:space="0" w:color="auto"/>
          </w:divBdr>
        </w:div>
        <w:div w:id="1903755760">
          <w:marLeft w:val="0"/>
          <w:marRight w:val="0"/>
          <w:marTop w:val="0"/>
          <w:marBottom w:val="0"/>
          <w:divBdr>
            <w:top w:val="none" w:sz="0" w:space="0" w:color="auto"/>
            <w:left w:val="none" w:sz="0" w:space="0" w:color="auto"/>
            <w:bottom w:val="none" w:sz="0" w:space="0" w:color="auto"/>
            <w:right w:val="none" w:sz="0" w:space="0" w:color="auto"/>
          </w:divBdr>
        </w:div>
      </w:divsChild>
    </w:div>
    <w:div w:id="1415859256">
      <w:bodyDiv w:val="1"/>
      <w:marLeft w:val="0"/>
      <w:marRight w:val="0"/>
      <w:marTop w:val="0"/>
      <w:marBottom w:val="0"/>
      <w:divBdr>
        <w:top w:val="none" w:sz="0" w:space="0" w:color="auto"/>
        <w:left w:val="none" w:sz="0" w:space="0" w:color="auto"/>
        <w:bottom w:val="none" w:sz="0" w:space="0" w:color="auto"/>
        <w:right w:val="none" w:sz="0" w:space="0" w:color="auto"/>
      </w:divBdr>
      <w:divsChild>
        <w:div w:id="622612424">
          <w:marLeft w:val="0"/>
          <w:marRight w:val="0"/>
          <w:marTop w:val="0"/>
          <w:marBottom w:val="0"/>
          <w:divBdr>
            <w:top w:val="none" w:sz="0" w:space="0" w:color="auto"/>
            <w:left w:val="none" w:sz="0" w:space="0" w:color="auto"/>
            <w:bottom w:val="none" w:sz="0" w:space="0" w:color="auto"/>
            <w:right w:val="none" w:sz="0" w:space="0" w:color="auto"/>
          </w:divBdr>
          <w:divsChild>
            <w:div w:id="1987200292">
              <w:marLeft w:val="0"/>
              <w:marRight w:val="0"/>
              <w:marTop w:val="0"/>
              <w:marBottom w:val="0"/>
              <w:divBdr>
                <w:top w:val="none" w:sz="0" w:space="0" w:color="auto"/>
                <w:left w:val="none" w:sz="0" w:space="0" w:color="auto"/>
                <w:bottom w:val="none" w:sz="0" w:space="0" w:color="auto"/>
                <w:right w:val="none" w:sz="0" w:space="0" w:color="auto"/>
              </w:divBdr>
              <w:divsChild>
                <w:div w:id="144441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43712">
      <w:bodyDiv w:val="1"/>
      <w:marLeft w:val="0"/>
      <w:marRight w:val="0"/>
      <w:marTop w:val="0"/>
      <w:marBottom w:val="0"/>
      <w:divBdr>
        <w:top w:val="none" w:sz="0" w:space="0" w:color="auto"/>
        <w:left w:val="none" w:sz="0" w:space="0" w:color="auto"/>
        <w:bottom w:val="none" w:sz="0" w:space="0" w:color="auto"/>
        <w:right w:val="none" w:sz="0" w:space="0" w:color="auto"/>
      </w:divBdr>
      <w:divsChild>
        <w:div w:id="984626602">
          <w:marLeft w:val="0"/>
          <w:marRight w:val="0"/>
          <w:marTop w:val="0"/>
          <w:marBottom w:val="0"/>
          <w:divBdr>
            <w:top w:val="none" w:sz="0" w:space="0" w:color="auto"/>
            <w:left w:val="none" w:sz="0" w:space="0" w:color="auto"/>
            <w:bottom w:val="none" w:sz="0" w:space="0" w:color="auto"/>
            <w:right w:val="none" w:sz="0" w:space="0" w:color="auto"/>
          </w:divBdr>
        </w:div>
      </w:divsChild>
    </w:div>
    <w:div w:id="1455636751">
      <w:bodyDiv w:val="1"/>
      <w:marLeft w:val="0"/>
      <w:marRight w:val="0"/>
      <w:marTop w:val="0"/>
      <w:marBottom w:val="0"/>
      <w:divBdr>
        <w:top w:val="none" w:sz="0" w:space="0" w:color="auto"/>
        <w:left w:val="none" w:sz="0" w:space="0" w:color="auto"/>
        <w:bottom w:val="none" w:sz="0" w:space="0" w:color="auto"/>
        <w:right w:val="none" w:sz="0" w:space="0" w:color="auto"/>
      </w:divBdr>
    </w:div>
    <w:div w:id="1467239301">
      <w:bodyDiv w:val="1"/>
      <w:marLeft w:val="0"/>
      <w:marRight w:val="0"/>
      <w:marTop w:val="0"/>
      <w:marBottom w:val="0"/>
      <w:divBdr>
        <w:top w:val="none" w:sz="0" w:space="0" w:color="auto"/>
        <w:left w:val="none" w:sz="0" w:space="0" w:color="auto"/>
        <w:bottom w:val="none" w:sz="0" w:space="0" w:color="auto"/>
        <w:right w:val="none" w:sz="0" w:space="0" w:color="auto"/>
      </w:divBdr>
    </w:div>
    <w:div w:id="1471358119">
      <w:bodyDiv w:val="1"/>
      <w:marLeft w:val="0"/>
      <w:marRight w:val="0"/>
      <w:marTop w:val="0"/>
      <w:marBottom w:val="0"/>
      <w:divBdr>
        <w:top w:val="none" w:sz="0" w:space="0" w:color="auto"/>
        <w:left w:val="none" w:sz="0" w:space="0" w:color="auto"/>
        <w:bottom w:val="none" w:sz="0" w:space="0" w:color="auto"/>
        <w:right w:val="none" w:sz="0" w:space="0" w:color="auto"/>
      </w:divBdr>
    </w:div>
    <w:div w:id="1473249835">
      <w:bodyDiv w:val="1"/>
      <w:marLeft w:val="0"/>
      <w:marRight w:val="0"/>
      <w:marTop w:val="0"/>
      <w:marBottom w:val="0"/>
      <w:divBdr>
        <w:top w:val="none" w:sz="0" w:space="0" w:color="auto"/>
        <w:left w:val="none" w:sz="0" w:space="0" w:color="auto"/>
        <w:bottom w:val="none" w:sz="0" w:space="0" w:color="auto"/>
        <w:right w:val="none" w:sz="0" w:space="0" w:color="auto"/>
      </w:divBdr>
      <w:divsChild>
        <w:div w:id="869562338">
          <w:marLeft w:val="0"/>
          <w:marRight w:val="0"/>
          <w:marTop w:val="0"/>
          <w:marBottom w:val="0"/>
          <w:divBdr>
            <w:top w:val="none" w:sz="0" w:space="0" w:color="auto"/>
            <w:left w:val="none" w:sz="0" w:space="0" w:color="auto"/>
            <w:bottom w:val="none" w:sz="0" w:space="0" w:color="auto"/>
            <w:right w:val="none" w:sz="0" w:space="0" w:color="auto"/>
          </w:divBdr>
          <w:divsChild>
            <w:div w:id="1449004101">
              <w:marLeft w:val="0"/>
              <w:marRight w:val="0"/>
              <w:marTop w:val="0"/>
              <w:marBottom w:val="0"/>
              <w:divBdr>
                <w:top w:val="none" w:sz="0" w:space="0" w:color="auto"/>
                <w:left w:val="none" w:sz="0" w:space="0" w:color="auto"/>
                <w:bottom w:val="none" w:sz="0" w:space="0" w:color="auto"/>
                <w:right w:val="none" w:sz="0" w:space="0" w:color="auto"/>
              </w:divBdr>
              <w:divsChild>
                <w:div w:id="3071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0576">
          <w:marLeft w:val="0"/>
          <w:marRight w:val="0"/>
          <w:marTop w:val="0"/>
          <w:marBottom w:val="0"/>
          <w:divBdr>
            <w:top w:val="none" w:sz="0" w:space="0" w:color="auto"/>
            <w:left w:val="none" w:sz="0" w:space="0" w:color="auto"/>
            <w:bottom w:val="none" w:sz="0" w:space="0" w:color="auto"/>
            <w:right w:val="none" w:sz="0" w:space="0" w:color="auto"/>
          </w:divBdr>
        </w:div>
      </w:divsChild>
    </w:div>
    <w:div w:id="1495604835">
      <w:bodyDiv w:val="1"/>
      <w:marLeft w:val="0"/>
      <w:marRight w:val="0"/>
      <w:marTop w:val="0"/>
      <w:marBottom w:val="0"/>
      <w:divBdr>
        <w:top w:val="none" w:sz="0" w:space="0" w:color="auto"/>
        <w:left w:val="none" w:sz="0" w:space="0" w:color="auto"/>
        <w:bottom w:val="none" w:sz="0" w:space="0" w:color="auto"/>
        <w:right w:val="none" w:sz="0" w:space="0" w:color="auto"/>
      </w:divBdr>
    </w:div>
    <w:div w:id="1500122018">
      <w:bodyDiv w:val="1"/>
      <w:marLeft w:val="0"/>
      <w:marRight w:val="0"/>
      <w:marTop w:val="0"/>
      <w:marBottom w:val="0"/>
      <w:divBdr>
        <w:top w:val="none" w:sz="0" w:space="0" w:color="auto"/>
        <w:left w:val="none" w:sz="0" w:space="0" w:color="auto"/>
        <w:bottom w:val="none" w:sz="0" w:space="0" w:color="auto"/>
        <w:right w:val="none" w:sz="0" w:space="0" w:color="auto"/>
      </w:divBdr>
      <w:divsChild>
        <w:div w:id="1198742680">
          <w:marLeft w:val="0"/>
          <w:marRight w:val="0"/>
          <w:marTop w:val="0"/>
          <w:marBottom w:val="0"/>
          <w:divBdr>
            <w:top w:val="none" w:sz="0" w:space="0" w:color="auto"/>
            <w:left w:val="none" w:sz="0" w:space="0" w:color="auto"/>
            <w:bottom w:val="none" w:sz="0" w:space="0" w:color="auto"/>
            <w:right w:val="none" w:sz="0" w:space="0" w:color="auto"/>
          </w:divBdr>
        </w:div>
      </w:divsChild>
    </w:div>
    <w:div w:id="1516534887">
      <w:bodyDiv w:val="1"/>
      <w:marLeft w:val="0"/>
      <w:marRight w:val="0"/>
      <w:marTop w:val="0"/>
      <w:marBottom w:val="0"/>
      <w:divBdr>
        <w:top w:val="none" w:sz="0" w:space="0" w:color="auto"/>
        <w:left w:val="none" w:sz="0" w:space="0" w:color="auto"/>
        <w:bottom w:val="none" w:sz="0" w:space="0" w:color="auto"/>
        <w:right w:val="none" w:sz="0" w:space="0" w:color="auto"/>
      </w:divBdr>
      <w:divsChild>
        <w:div w:id="1479229070">
          <w:marLeft w:val="0"/>
          <w:marRight w:val="0"/>
          <w:marTop w:val="0"/>
          <w:marBottom w:val="0"/>
          <w:divBdr>
            <w:top w:val="none" w:sz="0" w:space="0" w:color="auto"/>
            <w:left w:val="none" w:sz="0" w:space="0" w:color="auto"/>
            <w:bottom w:val="none" w:sz="0" w:space="0" w:color="auto"/>
            <w:right w:val="none" w:sz="0" w:space="0" w:color="auto"/>
          </w:divBdr>
        </w:div>
      </w:divsChild>
    </w:div>
    <w:div w:id="1531143472">
      <w:bodyDiv w:val="1"/>
      <w:marLeft w:val="0"/>
      <w:marRight w:val="0"/>
      <w:marTop w:val="0"/>
      <w:marBottom w:val="0"/>
      <w:divBdr>
        <w:top w:val="none" w:sz="0" w:space="0" w:color="auto"/>
        <w:left w:val="none" w:sz="0" w:space="0" w:color="auto"/>
        <w:bottom w:val="none" w:sz="0" w:space="0" w:color="auto"/>
        <w:right w:val="none" w:sz="0" w:space="0" w:color="auto"/>
      </w:divBdr>
      <w:divsChild>
        <w:div w:id="540287838">
          <w:marLeft w:val="0"/>
          <w:marRight w:val="0"/>
          <w:marTop w:val="0"/>
          <w:marBottom w:val="0"/>
          <w:divBdr>
            <w:top w:val="none" w:sz="0" w:space="0" w:color="auto"/>
            <w:left w:val="none" w:sz="0" w:space="0" w:color="auto"/>
            <w:bottom w:val="none" w:sz="0" w:space="0" w:color="auto"/>
            <w:right w:val="none" w:sz="0" w:space="0" w:color="auto"/>
          </w:divBdr>
        </w:div>
      </w:divsChild>
    </w:div>
    <w:div w:id="1533805150">
      <w:bodyDiv w:val="1"/>
      <w:marLeft w:val="0"/>
      <w:marRight w:val="0"/>
      <w:marTop w:val="0"/>
      <w:marBottom w:val="0"/>
      <w:divBdr>
        <w:top w:val="none" w:sz="0" w:space="0" w:color="auto"/>
        <w:left w:val="none" w:sz="0" w:space="0" w:color="auto"/>
        <w:bottom w:val="none" w:sz="0" w:space="0" w:color="auto"/>
        <w:right w:val="none" w:sz="0" w:space="0" w:color="auto"/>
      </w:divBdr>
      <w:divsChild>
        <w:div w:id="1260673640">
          <w:marLeft w:val="0"/>
          <w:marRight w:val="0"/>
          <w:marTop w:val="0"/>
          <w:marBottom w:val="0"/>
          <w:divBdr>
            <w:top w:val="none" w:sz="0" w:space="0" w:color="auto"/>
            <w:left w:val="none" w:sz="0" w:space="0" w:color="auto"/>
            <w:bottom w:val="none" w:sz="0" w:space="0" w:color="auto"/>
            <w:right w:val="none" w:sz="0" w:space="0" w:color="auto"/>
          </w:divBdr>
        </w:div>
      </w:divsChild>
    </w:div>
    <w:div w:id="1547377832">
      <w:bodyDiv w:val="1"/>
      <w:marLeft w:val="0"/>
      <w:marRight w:val="0"/>
      <w:marTop w:val="0"/>
      <w:marBottom w:val="0"/>
      <w:divBdr>
        <w:top w:val="none" w:sz="0" w:space="0" w:color="auto"/>
        <w:left w:val="none" w:sz="0" w:space="0" w:color="auto"/>
        <w:bottom w:val="none" w:sz="0" w:space="0" w:color="auto"/>
        <w:right w:val="none" w:sz="0" w:space="0" w:color="auto"/>
      </w:divBdr>
      <w:divsChild>
        <w:div w:id="1529759121">
          <w:marLeft w:val="0"/>
          <w:marRight w:val="0"/>
          <w:marTop w:val="0"/>
          <w:marBottom w:val="0"/>
          <w:divBdr>
            <w:top w:val="none" w:sz="0" w:space="0" w:color="auto"/>
            <w:left w:val="none" w:sz="0" w:space="0" w:color="auto"/>
            <w:bottom w:val="none" w:sz="0" w:space="0" w:color="auto"/>
            <w:right w:val="none" w:sz="0" w:space="0" w:color="auto"/>
          </w:divBdr>
        </w:div>
      </w:divsChild>
    </w:div>
    <w:div w:id="1563716389">
      <w:bodyDiv w:val="1"/>
      <w:marLeft w:val="0"/>
      <w:marRight w:val="0"/>
      <w:marTop w:val="0"/>
      <w:marBottom w:val="0"/>
      <w:divBdr>
        <w:top w:val="none" w:sz="0" w:space="0" w:color="auto"/>
        <w:left w:val="none" w:sz="0" w:space="0" w:color="auto"/>
        <w:bottom w:val="none" w:sz="0" w:space="0" w:color="auto"/>
        <w:right w:val="none" w:sz="0" w:space="0" w:color="auto"/>
      </w:divBdr>
      <w:divsChild>
        <w:div w:id="721518313">
          <w:marLeft w:val="0"/>
          <w:marRight w:val="0"/>
          <w:marTop w:val="0"/>
          <w:marBottom w:val="0"/>
          <w:divBdr>
            <w:top w:val="none" w:sz="0" w:space="0" w:color="auto"/>
            <w:left w:val="none" w:sz="0" w:space="0" w:color="auto"/>
            <w:bottom w:val="none" w:sz="0" w:space="0" w:color="auto"/>
            <w:right w:val="none" w:sz="0" w:space="0" w:color="auto"/>
          </w:divBdr>
          <w:divsChild>
            <w:div w:id="491258591">
              <w:marLeft w:val="0"/>
              <w:marRight w:val="0"/>
              <w:marTop w:val="0"/>
              <w:marBottom w:val="0"/>
              <w:divBdr>
                <w:top w:val="none" w:sz="0" w:space="0" w:color="auto"/>
                <w:left w:val="none" w:sz="0" w:space="0" w:color="auto"/>
                <w:bottom w:val="none" w:sz="0" w:space="0" w:color="auto"/>
                <w:right w:val="none" w:sz="0" w:space="0" w:color="auto"/>
              </w:divBdr>
              <w:divsChild>
                <w:div w:id="9150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70318">
      <w:bodyDiv w:val="1"/>
      <w:marLeft w:val="0"/>
      <w:marRight w:val="0"/>
      <w:marTop w:val="0"/>
      <w:marBottom w:val="0"/>
      <w:divBdr>
        <w:top w:val="none" w:sz="0" w:space="0" w:color="auto"/>
        <w:left w:val="none" w:sz="0" w:space="0" w:color="auto"/>
        <w:bottom w:val="none" w:sz="0" w:space="0" w:color="auto"/>
        <w:right w:val="none" w:sz="0" w:space="0" w:color="auto"/>
      </w:divBdr>
      <w:divsChild>
        <w:div w:id="1832139809">
          <w:marLeft w:val="0"/>
          <w:marRight w:val="0"/>
          <w:marTop w:val="0"/>
          <w:marBottom w:val="0"/>
          <w:divBdr>
            <w:top w:val="none" w:sz="0" w:space="0" w:color="auto"/>
            <w:left w:val="none" w:sz="0" w:space="0" w:color="auto"/>
            <w:bottom w:val="none" w:sz="0" w:space="0" w:color="auto"/>
            <w:right w:val="none" w:sz="0" w:space="0" w:color="auto"/>
          </w:divBdr>
        </w:div>
      </w:divsChild>
    </w:div>
    <w:div w:id="1580869857">
      <w:bodyDiv w:val="1"/>
      <w:marLeft w:val="0"/>
      <w:marRight w:val="0"/>
      <w:marTop w:val="0"/>
      <w:marBottom w:val="0"/>
      <w:divBdr>
        <w:top w:val="none" w:sz="0" w:space="0" w:color="auto"/>
        <w:left w:val="none" w:sz="0" w:space="0" w:color="auto"/>
        <w:bottom w:val="none" w:sz="0" w:space="0" w:color="auto"/>
        <w:right w:val="none" w:sz="0" w:space="0" w:color="auto"/>
      </w:divBdr>
    </w:div>
    <w:div w:id="1608149694">
      <w:bodyDiv w:val="1"/>
      <w:marLeft w:val="0"/>
      <w:marRight w:val="0"/>
      <w:marTop w:val="0"/>
      <w:marBottom w:val="0"/>
      <w:divBdr>
        <w:top w:val="none" w:sz="0" w:space="0" w:color="auto"/>
        <w:left w:val="none" w:sz="0" w:space="0" w:color="auto"/>
        <w:bottom w:val="none" w:sz="0" w:space="0" w:color="auto"/>
        <w:right w:val="none" w:sz="0" w:space="0" w:color="auto"/>
      </w:divBdr>
    </w:div>
    <w:div w:id="1617178683">
      <w:bodyDiv w:val="1"/>
      <w:marLeft w:val="0"/>
      <w:marRight w:val="0"/>
      <w:marTop w:val="0"/>
      <w:marBottom w:val="0"/>
      <w:divBdr>
        <w:top w:val="none" w:sz="0" w:space="0" w:color="auto"/>
        <w:left w:val="none" w:sz="0" w:space="0" w:color="auto"/>
        <w:bottom w:val="none" w:sz="0" w:space="0" w:color="auto"/>
        <w:right w:val="none" w:sz="0" w:space="0" w:color="auto"/>
      </w:divBdr>
      <w:divsChild>
        <w:div w:id="1426607245">
          <w:marLeft w:val="0"/>
          <w:marRight w:val="0"/>
          <w:marTop w:val="0"/>
          <w:marBottom w:val="0"/>
          <w:divBdr>
            <w:top w:val="none" w:sz="0" w:space="0" w:color="auto"/>
            <w:left w:val="none" w:sz="0" w:space="0" w:color="auto"/>
            <w:bottom w:val="none" w:sz="0" w:space="0" w:color="auto"/>
            <w:right w:val="none" w:sz="0" w:space="0" w:color="auto"/>
          </w:divBdr>
        </w:div>
      </w:divsChild>
    </w:div>
    <w:div w:id="1618751601">
      <w:bodyDiv w:val="1"/>
      <w:marLeft w:val="0"/>
      <w:marRight w:val="0"/>
      <w:marTop w:val="0"/>
      <w:marBottom w:val="0"/>
      <w:divBdr>
        <w:top w:val="none" w:sz="0" w:space="0" w:color="auto"/>
        <w:left w:val="none" w:sz="0" w:space="0" w:color="auto"/>
        <w:bottom w:val="none" w:sz="0" w:space="0" w:color="auto"/>
        <w:right w:val="none" w:sz="0" w:space="0" w:color="auto"/>
      </w:divBdr>
      <w:divsChild>
        <w:div w:id="1223177929">
          <w:marLeft w:val="0"/>
          <w:marRight w:val="0"/>
          <w:marTop w:val="0"/>
          <w:marBottom w:val="0"/>
          <w:divBdr>
            <w:top w:val="none" w:sz="0" w:space="0" w:color="auto"/>
            <w:left w:val="none" w:sz="0" w:space="0" w:color="auto"/>
            <w:bottom w:val="none" w:sz="0" w:space="0" w:color="auto"/>
            <w:right w:val="none" w:sz="0" w:space="0" w:color="auto"/>
          </w:divBdr>
          <w:divsChild>
            <w:div w:id="1529638982">
              <w:marLeft w:val="0"/>
              <w:marRight w:val="0"/>
              <w:marTop w:val="0"/>
              <w:marBottom w:val="0"/>
              <w:divBdr>
                <w:top w:val="none" w:sz="0" w:space="0" w:color="auto"/>
                <w:left w:val="none" w:sz="0" w:space="0" w:color="auto"/>
                <w:bottom w:val="none" w:sz="0" w:space="0" w:color="auto"/>
                <w:right w:val="none" w:sz="0" w:space="0" w:color="auto"/>
              </w:divBdr>
              <w:divsChild>
                <w:div w:id="3054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11148">
      <w:bodyDiv w:val="1"/>
      <w:marLeft w:val="0"/>
      <w:marRight w:val="0"/>
      <w:marTop w:val="0"/>
      <w:marBottom w:val="0"/>
      <w:divBdr>
        <w:top w:val="none" w:sz="0" w:space="0" w:color="auto"/>
        <w:left w:val="none" w:sz="0" w:space="0" w:color="auto"/>
        <w:bottom w:val="none" w:sz="0" w:space="0" w:color="auto"/>
        <w:right w:val="none" w:sz="0" w:space="0" w:color="auto"/>
      </w:divBdr>
      <w:divsChild>
        <w:div w:id="187179727">
          <w:marLeft w:val="0"/>
          <w:marRight w:val="0"/>
          <w:marTop w:val="0"/>
          <w:marBottom w:val="0"/>
          <w:divBdr>
            <w:top w:val="none" w:sz="0" w:space="0" w:color="auto"/>
            <w:left w:val="none" w:sz="0" w:space="0" w:color="auto"/>
            <w:bottom w:val="none" w:sz="0" w:space="0" w:color="auto"/>
            <w:right w:val="none" w:sz="0" w:space="0" w:color="auto"/>
          </w:divBdr>
        </w:div>
      </w:divsChild>
    </w:div>
    <w:div w:id="1684941010">
      <w:bodyDiv w:val="1"/>
      <w:marLeft w:val="0"/>
      <w:marRight w:val="0"/>
      <w:marTop w:val="0"/>
      <w:marBottom w:val="0"/>
      <w:divBdr>
        <w:top w:val="none" w:sz="0" w:space="0" w:color="auto"/>
        <w:left w:val="none" w:sz="0" w:space="0" w:color="auto"/>
        <w:bottom w:val="none" w:sz="0" w:space="0" w:color="auto"/>
        <w:right w:val="none" w:sz="0" w:space="0" w:color="auto"/>
      </w:divBdr>
    </w:div>
    <w:div w:id="1734769062">
      <w:bodyDiv w:val="1"/>
      <w:marLeft w:val="0"/>
      <w:marRight w:val="0"/>
      <w:marTop w:val="0"/>
      <w:marBottom w:val="0"/>
      <w:divBdr>
        <w:top w:val="none" w:sz="0" w:space="0" w:color="auto"/>
        <w:left w:val="none" w:sz="0" w:space="0" w:color="auto"/>
        <w:bottom w:val="none" w:sz="0" w:space="0" w:color="auto"/>
        <w:right w:val="none" w:sz="0" w:space="0" w:color="auto"/>
      </w:divBdr>
      <w:divsChild>
        <w:div w:id="634874310">
          <w:marLeft w:val="0"/>
          <w:marRight w:val="0"/>
          <w:marTop w:val="0"/>
          <w:marBottom w:val="0"/>
          <w:divBdr>
            <w:top w:val="none" w:sz="0" w:space="0" w:color="auto"/>
            <w:left w:val="none" w:sz="0" w:space="0" w:color="auto"/>
            <w:bottom w:val="none" w:sz="0" w:space="0" w:color="auto"/>
            <w:right w:val="none" w:sz="0" w:space="0" w:color="auto"/>
          </w:divBdr>
        </w:div>
      </w:divsChild>
    </w:div>
    <w:div w:id="1756782133">
      <w:bodyDiv w:val="1"/>
      <w:marLeft w:val="0"/>
      <w:marRight w:val="0"/>
      <w:marTop w:val="0"/>
      <w:marBottom w:val="0"/>
      <w:divBdr>
        <w:top w:val="none" w:sz="0" w:space="0" w:color="auto"/>
        <w:left w:val="none" w:sz="0" w:space="0" w:color="auto"/>
        <w:bottom w:val="none" w:sz="0" w:space="0" w:color="auto"/>
        <w:right w:val="none" w:sz="0" w:space="0" w:color="auto"/>
      </w:divBdr>
      <w:divsChild>
        <w:div w:id="981544669">
          <w:marLeft w:val="302"/>
          <w:marRight w:val="0"/>
          <w:marTop w:val="0"/>
          <w:marBottom w:val="40"/>
          <w:divBdr>
            <w:top w:val="none" w:sz="0" w:space="0" w:color="auto"/>
            <w:left w:val="none" w:sz="0" w:space="0" w:color="auto"/>
            <w:bottom w:val="none" w:sz="0" w:space="0" w:color="auto"/>
            <w:right w:val="none" w:sz="0" w:space="0" w:color="auto"/>
          </w:divBdr>
        </w:div>
      </w:divsChild>
    </w:div>
    <w:div w:id="1765414080">
      <w:bodyDiv w:val="1"/>
      <w:marLeft w:val="0"/>
      <w:marRight w:val="0"/>
      <w:marTop w:val="0"/>
      <w:marBottom w:val="0"/>
      <w:divBdr>
        <w:top w:val="none" w:sz="0" w:space="0" w:color="auto"/>
        <w:left w:val="none" w:sz="0" w:space="0" w:color="auto"/>
        <w:bottom w:val="none" w:sz="0" w:space="0" w:color="auto"/>
        <w:right w:val="none" w:sz="0" w:space="0" w:color="auto"/>
      </w:divBdr>
    </w:div>
    <w:div w:id="1766919880">
      <w:bodyDiv w:val="1"/>
      <w:marLeft w:val="0"/>
      <w:marRight w:val="0"/>
      <w:marTop w:val="0"/>
      <w:marBottom w:val="0"/>
      <w:divBdr>
        <w:top w:val="none" w:sz="0" w:space="0" w:color="auto"/>
        <w:left w:val="none" w:sz="0" w:space="0" w:color="auto"/>
        <w:bottom w:val="none" w:sz="0" w:space="0" w:color="auto"/>
        <w:right w:val="none" w:sz="0" w:space="0" w:color="auto"/>
      </w:divBdr>
    </w:div>
    <w:div w:id="1774352712">
      <w:bodyDiv w:val="1"/>
      <w:marLeft w:val="0"/>
      <w:marRight w:val="0"/>
      <w:marTop w:val="0"/>
      <w:marBottom w:val="0"/>
      <w:divBdr>
        <w:top w:val="none" w:sz="0" w:space="0" w:color="auto"/>
        <w:left w:val="none" w:sz="0" w:space="0" w:color="auto"/>
        <w:bottom w:val="none" w:sz="0" w:space="0" w:color="auto"/>
        <w:right w:val="none" w:sz="0" w:space="0" w:color="auto"/>
      </w:divBdr>
    </w:div>
    <w:div w:id="1776751658">
      <w:bodyDiv w:val="1"/>
      <w:marLeft w:val="0"/>
      <w:marRight w:val="0"/>
      <w:marTop w:val="0"/>
      <w:marBottom w:val="0"/>
      <w:divBdr>
        <w:top w:val="none" w:sz="0" w:space="0" w:color="auto"/>
        <w:left w:val="none" w:sz="0" w:space="0" w:color="auto"/>
        <w:bottom w:val="none" w:sz="0" w:space="0" w:color="auto"/>
        <w:right w:val="none" w:sz="0" w:space="0" w:color="auto"/>
      </w:divBdr>
      <w:divsChild>
        <w:div w:id="1601792861">
          <w:marLeft w:val="0"/>
          <w:marRight w:val="0"/>
          <w:marTop w:val="0"/>
          <w:marBottom w:val="0"/>
          <w:divBdr>
            <w:top w:val="none" w:sz="0" w:space="0" w:color="auto"/>
            <w:left w:val="none" w:sz="0" w:space="0" w:color="auto"/>
            <w:bottom w:val="none" w:sz="0" w:space="0" w:color="auto"/>
            <w:right w:val="none" w:sz="0" w:space="0" w:color="auto"/>
          </w:divBdr>
        </w:div>
      </w:divsChild>
    </w:div>
    <w:div w:id="1795446431">
      <w:bodyDiv w:val="1"/>
      <w:marLeft w:val="0"/>
      <w:marRight w:val="0"/>
      <w:marTop w:val="0"/>
      <w:marBottom w:val="0"/>
      <w:divBdr>
        <w:top w:val="none" w:sz="0" w:space="0" w:color="auto"/>
        <w:left w:val="none" w:sz="0" w:space="0" w:color="auto"/>
        <w:bottom w:val="none" w:sz="0" w:space="0" w:color="auto"/>
        <w:right w:val="none" w:sz="0" w:space="0" w:color="auto"/>
      </w:divBdr>
    </w:div>
    <w:div w:id="1817990689">
      <w:bodyDiv w:val="1"/>
      <w:marLeft w:val="0"/>
      <w:marRight w:val="0"/>
      <w:marTop w:val="0"/>
      <w:marBottom w:val="0"/>
      <w:divBdr>
        <w:top w:val="none" w:sz="0" w:space="0" w:color="auto"/>
        <w:left w:val="none" w:sz="0" w:space="0" w:color="auto"/>
        <w:bottom w:val="none" w:sz="0" w:space="0" w:color="auto"/>
        <w:right w:val="none" w:sz="0" w:space="0" w:color="auto"/>
      </w:divBdr>
      <w:divsChild>
        <w:div w:id="1455060563">
          <w:marLeft w:val="0"/>
          <w:marRight w:val="0"/>
          <w:marTop w:val="0"/>
          <w:marBottom w:val="0"/>
          <w:divBdr>
            <w:top w:val="none" w:sz="0" w:space="0" w:color="auto"/>
            <w:left w:val="none" w:sz="0" w:space="0" w:color="auto"/>
            <w:bottom w:val="none" w:sz="0" w:space="0" w:color="auto"/>
            <w:right w:val="none" w:sz="0" w:space="0" w:color="auto"/>
          </w:divBdr>
        </w:div>
      </w:divsChild>
    </w:div>
    <w:div w:id="1819148844">
      <w:bodyDiv w:val="1"/>
      <w:marLeft w:val="0"/>
      <w:marRight w:val="0"/>
      <w:marTop w:val="0"/>
      <w:marBottom w:val="0"/>
      <w:divBdr>
        <w:top w:val="none" w:sz="0" w:space="0" w:color="auto"/>
        <w:left w:val="none" w:sz="0" w:space="0" w:color="auto"/>
        <w:bottom w:val="none" w:sz="0" w:space="0" w:color="auto"/>
        <w:right w:val="none" w:sz="0" w:space="0" w:color="auto"/>
      </w:divBdr>
      <w:divsChild>
        <w:div w:id="145247267">
          <w:marLeft w:val="0"/>
          <w:marRight w:val="0"/>
          <w:marTop w:val="0"/>
          <w:marBottom w:val="0"/>
          <w:divBdr>
            <w:top w:val="none" w:sz="0" w:space="0" w:color="auto"/>
            <w:left w:val="none" w:sz="0" w:space="0" w:color="auto"/>
            <w:bottom w:val="none" w:sz="0" w:space="0" w:color="auto"/>
            <w:right w:val="none" w:sz="0" w:space="0" w:color="auto"/>
          </w:divBdr>
        </w:div>
      </w:divsChild>
    </w:div>
    <w:div w:id="1835729652">
      <w:bodyDiv w:val="1"/>
      <w:marLeft w:val="0"/>
      <w:marRight w:val="0"/>
      <w:marTop w:val="0"/>
      <w:marBottom w:val="0"/>
      <w:divBdr>
        <w:top w:val="none" w:sz="0" w:space="0" w:color="auto"/>
        <w:left w:val="none" w:sz="0" w:space="0" w:color="auto"/>
        <w:bottom w:val="none" w:sz="0" w:space="0" w:color="auto"/>
        <w:right w:val="none" w:sz="0" w:space="0" w:color="auto"/>
      </w:divBdr>
    </w:div>
    <w:div w:id="1837263470">
      <w:bodyDiv w:val="1"/>
      <w:marLeft w:val="0"/>
      <w:marRight w:val="0"/>
      <w:marTop w:val="0"/>
      <w:marBottom w:val="0"/>
      <w:divBdr>
        <w:top w:val="none" w:sz="0" w:space="0" w:color="auto"/>
        <w:left w:val="none" w:sz="0" w:space="0" w:color="auto"/>
        <w:bottom w:val="none" w:sz="0" w:space="0" w:color="auto"/>
        <w:right w:val="none" w:sz="0" w:space="0" w:color="auto"/>
      </w:divBdr>
    </w:div>
    <w:div w:id="1844473866">
      <w:bodyDiv w:val="1"/>
      <w:marLeft w:val="0"/>
      <w:marRight w:val="0"/>
      <w:marTop w:val="0"/>
      <w:marBottom w:val="0"/>
      <w:divBdr>
        <w:top w:val="none" w:sz="0" w:space="0" w:color="auto"/>
        <w:left w:val="none" w:sz="0" w:space="0" w:color="auto"/>
        <w:bottom w:val="none" w:sz="0" w:space="0" w:color="auto"/>
        <w:right w:val="none" w:sz="0" w:space="0" w:color="auto"/>
      </w:divBdr>
      <w:divsChild>
        <w:div w:id="2147118768">
          <w:marLeft w:val="0"/>
          <w:marRight w:val="0"/>
          <w:marTop w:val="0"/>
          <w:marBottom w:val="0"/>
          <w:divBdr>
            <w:top w:val="none" w:sz="0" w:space="0" w:color="auto"/>
            <w:left w:val="none" w:sz="0" w:space="0" w:color="auto"/>
            <w:bottom w:val="none" w:sz="0" w:space="0" w:color="auto"/>
            <w:right w:val="none" w:sz="0" w:space="0" w:color="auto"/>
          </w:divBdr>
        </w:div>
      </w:divsChild>
    </w:div>
    <w:div w:id="1862282327">
      <w:bodyDiv w:val="1"/>
      <w:marLeft w:val="0"/>
      <w:marRight w:val="0"/>
      <w:marTop w:val="0"/>
      <w:marBottom w:val="0"/>
      <w:divBdr>
        <w:top w:val="none" w:sz="0" w:space="0" w:color="auto"/>
        <w:left w:val="none" w:sz="0" w:space="0" w:color="auto"/>
        <w:bottom w:val="none" w:sz="0" w:space="0" w:color="auto"/>
        <w:right w:val="none" w:sz="0" w:space="0" w:color="auto"/>
      </w:divBdr>
    </w:div>
    <w:div w:id="1869876268">
      <w:bodyDiv w:val="1"/>
      <w:marLeft w:val="0"/>
      <w:marRight w:val="0"/>
      <w:marTop w:val="0"/>
      <w:marBottom w:val="0"/>
      <w:divBdr>
        <w:top w:val="none" w:sz="0" w:space="0" w:color="auto"/>
        <w:left w:val="none" w:sz="0" w:space="0" w:color="auto"/>
        <w:bottom w:val="none" w:sz="0" w:space="0" w:color="auto"/>
        <w:right w:val="none" w:sz="0" w:space="0" w:color="auto"/>
      </w:divBdr>
      <w:divsChild>
        <w:div w:id="35130572">
          <w:marLeft w:val="0"/>
          <w:marRight w:val="0"/>
          <w:marTop w:val="0"/>
          <w:marBottom w:val="0"/>
          <w:divBdr>
            <w:top w:val="none" w:sz="0" w:space="0" w:color="auto"/>
            <w:left w:val="none" w:sz="0" w:space="0" w:color="auto"/>
            <w:bottom w:val="none" w:sz="0" w:space="0" w:color="auto"/>
            <w:right w:val="none" w:sz="0" w:space="0" w:color="auto"/>
          </w:divBdr>
        </w:div>
      </w:divsChild>
    </w:div>
    <w:div w:id="1886409175">
      <w:bodyDiv w:val="1"/>
      <w:marLeft w:val="0"/>
      <w:marRight w:val="0"/>
      <w:marTop w:val="0"/>
      <w:marBottom w:val="0"/>
      <w:divBdr>
        <w:top w:val="none" w:sz="0" w:space="0" w:color="auto"/>
        <w:left w:val="none" w:sz="0" w:space="0" w:color="auto"/>
        <w:bottom w:val="none" w:sz="0" w:space="0" w:color="auto"/>
        <w:right w:val="none" w:sz="0" w:space="0" w:color="auto"/>
      </w:divBdr>
    </w:div>
    <w:div w:id="1915117057">
      <w:bodyDiv w:val="1"/>
      <w:marLeft w:val="0"/>
      <w:marRight w:val="0"/>
      <w:marTop w:val="0"/>
      <w:marBottom w:val="0"/>
      <w:divBdr>
        <w:top w:val="none" w:sz="0" w:space="0" w:color="auto"/>
        <w:left w:val="none" w:sz="0" w:space="0" w:color="auto"/>
        <w:bottom w:val="none" w:sz="0" w:space="0" w:color="auto"/>
        <w:right w:val="none" w:sz="0" w:space="0" w:color="auto"/>
      </w:divBdr>
    </w:div>
    <w:div w:id="1917587737">
      <w:bodyDiv w:val="1"/>
      <w:marLeft w:val="0"/>
      <w:marRight w:val="0"/>
      <w:marTop w:val="0"/>
      <w:marBottom w:val="0"/>
      <w:divBdr>
        <w:top w:val="none" w:sz="0" w:space="0" w:color="auto"/>
        <w:left w:val="none" w:sz="0" w:space="0" w:color="auto"/>
        <w:bottom w:val="none" w:sz="0" w:space="0" w:color="auto"/>
        <w:right w:val="none" w:sz="0" w:space="0" w:color="auto"/>
      </w:divBdr>
      <w:divsChild>
        <w:div w:id="1352487975">
          <w:marLeft w:val="0"/>
          <w:marRight w:val="0"/>
          <w:marTop w:val="0"/>
          <w:marBottom w:val="0"/>
          <w:divBdr>
            <w:top w:val="none" w:sz="0" w:space="0" w:color="auto"/>
            <w:left w:val="none" w:sz="0" w:space="0" w:color="auto"/>
            <w:bottom w:val="none" w:sz="0" w:space="0" w:color="auto"/>
            <w:right w:val="none" w:sz="0" w:space="0" w:color="auto"/>
          </w:divBdr>
          <w:divsChild>
            <w:div w:id="2055689948">
              <w:marLeft w:val="0"/>
              <w:marRight w:val="0"/>
              <w:marTop w:val="0"/>
              <w:marBottom w:val="0"/>
              <w:divBdr>
                <w:top w:val="none" w:sz="0" w:space="0" w:color="auto"/>
                <w:left w:val="none" w:sz="0" w:space="0" w:color="auto"/>
                <w:bottom w:val="none" w:sz="0" w:space="0" w:color="auto"/>
                <w:right w:val="none" w:sz="0" w:space="0" w:color="auto"/>
              </w:divBdr>
              <w:divsChild>
                <w:div w:id="2012944215">
                  <w:marLeft w:val="0"/>
                  <w:marRight w:val="0"/>
                  <w:marTop w:val="0"/>
                  <w:marBottom w:val="0"/>
                  <w:divBdr>
                    <w:top w:val="none" w:sz="0" w:space="0" w:color="auto"/>
                    <w:left w:val="none" w:sz="0" w:space="0" w:color="auto"/>
                    <w:bottom w:val="none" w:sz="0" w:space="0" w:color="auto"/>
                    <w:right w:val="none" w:sz="0" w:space="0" w:color="auto"/>
                  </w:divBdr>
                  <w:divsChild>
                    <w:div w:id="201140630">
                      <w:marLeft w:val="0"/>
                      <w:marRight w:val="0"/>
                      <w:marTop w:val="0"/>
                      <w:marBottom w:val="0"/>
                      <w:divBdr>
                        <w:top w:val="none" w:sz="0" w:space="0" w:color="auto"/>
                        <w:left w:val="none" w:sz="0" w:space="0" w:color="auto"/>
                        <w:bottom w:val="none" w:sz="0" w:space="0" w:color="auto"/>
                        <w:right w:val="none" w:sz="0" w:space="0" w:color="auto"/>
                      </w:divBdr>
                      <w:divsChild>
                        <w:div w:id="705761251">
                          <w:marLeft w:val="0"/>
                          <w:marRight w:val="0"/>
                          <w:marTop w:val="0"/>
                          <w:marBottom w:val="0"/>
                          <w:divBdr>
                            <w:top w:val="none" w:sz="0" w:space="0" w:color="auto"/>
                            <w:left w:val="none" w:sz="0" w:space="0" w:color="auto"/>
                            <w:bottom w:val="none" w:sz="0" w:space="0" w:color="auto"/>
                            <w:right w:val="none" w:sz="0" w:space="0" w:color="auto"/>
                          </w:divBdr>
                          <w:divsChild>
                            <w:div w:id="827986706">
                              <w:marLeft w:val="0"/>
                              <w:marRight w:val="0"/>
                              <w:marTop w:val="0"/>
                              <w:marBottom w:val="0"/>
                              <w:divBdr>
                                <w:top w:val="none" w:sz="0" w:space="0" w:color="auto"/>
                                <w:left w:val="none" w:sz="0" w:space="0" w:color="auto"/>
                                <w:bottom w:val="none" w:sz="0" w:space="0" w:color="auto"/>
                                <w:right w:val="none" w:sz="0" w:space="0" w:color="auto"/>
                              </w:divBdr>
                              <w:divsChild>
                                <w:div w:id="952205099">
                                  <w:marLeft w:val="0"/>
                                  <w:marRight w:val="0"/>
                                  <w:marTop w:val="0"/>
                                  <w:marBottom w:val="0"/>
                                  <w:divBdr>
                                    <w:top w:val="none" w:sz="0" w:space="0" w:color="auto"/>
                                    <w:left w:val="none" w:sz="0" w:space="0" w:color="auto"/>
                                    <w:bottom w:val="none" w:sz="0" w:space="0" w:color="auto"/>
                                    <w:right w:val="none" w:sz="0" w:space="0" w:color="auto"/>
                                  </w:divBdr>
                                  <w:divsChild>
                                    <w:div w:id="1596982877">
                                      <w:marLeft w:val="0"/>
                                      <w:marRight w:val="0"/>
                                      <w:marTop w:val="0"/>
                                      <w:marBottom w:val="0"/>
                                      <w:divBdr>
                                        <w:top w:val="none" w:sz="0" w:space="0" w:color="auto"/>
                                        <w:left w:val="none" w:sz="0" w:space="0" w:color="auto"/>
                                        <w:bottom w:val="none" w:sz="0" w:space="0" w:color="auto"/>
                                        <w:right w:val="none" w:sz="0" w:space="0" w:color="auto"/>
                                      </w:divBdr>
                                      <w:divsChild>
                                        <w:div w:id="430781753">
                                          <w:marLeft w:val="0"/>
                                          <w:marRight w:val="0"/>
                                          <w:marTop w:val="0"/>
                                          <w:marBottom w:val="0"/>
                                          <w:divBdr>
                                            <w:top w:val="none" w:sz="0" w:space="0" w:color="auto"/>
                                            <w:left w:val="none" w:sz="0" w:space="0" w:color="auto"/>
                                            <w:bottom w:val="none" w:sz="0" w:space="0" w:color="auto"/>
                                            <w:right w:val="none" w:sz="0" w:space="0" w:color="auto"/>
                                          </w:divBdr>
                                          <w:divsChild>
                                            <w:div w:id="395402170">
                                              <w:marLeft w:val="0"/>
                                              <w:marRight w:val="0"/>
                                              <w:marTop w:val="0"/>
                                              <w:marBottom w:val="0"/>
                                              <w:divBdr>
                                                <w:top w:val="none" w:sz="0" w:space="0" w:color="auto"/>
                                                <w:left w:val="none" w:sz="0" w:space="0" w:color="auto"/>
                                                <w:bottom w:val="none" w:sz="0" w:space="0" w:color="auto"/>
                                                <w:right w:val="none" w:sz="0" w:space="0" w:color="auto"/>
                                              </w:divBdr>
                                              <w:divsChild>
                                                <w:div w:id="893154957">
                                                  <w:marLeft w:val="0"/>
                                                  <w:marRight w:val="0"/>
                                                  <w:marTop w:val="0"/>
                                                  <w:marBottom w:val="0"/>
                                                  <w:divBdr>
                                                    <w:top w:val="none" w:sz="0" w:space="0" w:color="auto"/>
                                                    <w:left w:val="none" w:sz="0" w:space="0" w:color="auto"/>
                                                    <w:bottom w:val="none" w:sz="0" w:space="0" w:color="auto"/>
                                                    <w:right w:val="none" w:sz="0" w:space="0" w:color="auto"/>
                                                  </w:divBdr>
                                                  <w:divsChild>
                                                    <w:div w:id="1015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9054781">
      <w:bodyDiv w:val="1"/>
      <w:marLeft w:val="0"/>
      <w:marRight w:val="0"/>
      <w:marTop w:val="0"/>
      <w:marBottom w:val="0"/>
      <w:divBdr>
        <w:top w:val="none" w:sz="0" w:space="0" w:color="auto"/>
        <w:left w:val="none" w:sz="0" w:space="0" w:color="auto"/>
        <w:bottom w:val="none" w:sz="0" w:space="0" w:color="auto"/>
        <w:right w:val="none" w:sz="0" w:space="0" w:color="auto"/>
      </w:divBdr>
    </w:div>
    <w:div w:id="1944534314">
      <w:bodyDiv w:val="1"/>
      <w:marLeft w:val="0"/>
      <w:marRight w:val="0"/>
      <w:marTop w:val="0"/>
      <w:marBottom w:val="0"/>
      <w:divBdr>
        <w:top w:val="none" w:sz="0" w:space="0" w:color="auto"/>
        <w:left w:val="none" w:sz="0" w:space="0" w:color="auto"/>
        <w:bottom w:val="none" w:sz="0" w:space="0" w:color="auto"/>
        <w:right w:val="none" w:sz="0" w:space="0" w:color="auto"/>
      </w:divBdr>
      <w:divsChild>
        <w:div w:id="665405832">
          <w:marLeft w:val="0"/>
          <w:marRight w:val="0"/>
          <w:marTop w:val="0"/>
          <w:marBottom w:val="0"/>
          <w:divBdr>
            <w:top w:val="none" w:sz="0" w:space="0" w:color="auto"/>
            <w:left w:val="none" w:sz="0" w:space="0" w:color="auto"/>
            <w:bottom w:val="none" w:sz="0" w:space="0" w:color="auto"/>
            <w:right w:val="none" w:sz="0" w:space="0" w:color="auto"/>
          </w:divBdr>
        </w:div>
      </w:divsChild>
    </w:div>
    <w:div w:id="1987926653">
      <w:bodyDiv w:val="1"/>
      <w:marLeft w:val="0"/>
      <w:marRight w:val="0"/>
      <w:marTop w:val="0"/>
      <w:marBottom w:val="0"/>
      <w:divBdr>
        <w:top w:val="none" w:sz="0" w:space="0" w:color="auto"/>
        <w:left w:val="none" w:sz="0" w:space="0" w:color="auto"/>
        <w:bottom w:val="none" w:sz="0" w:space="0" w:color="auto"/>
        <w:right w:val="none" w:sz="0" w:space="0" w:color="auto"/>
      </w:divBdr>
      <w:divsChild>
        <w:div w:id="1673604429">
          <w:marLeft w:val="0"/>
          <w:marRight w:val="0"/>
          <w:marTop w:val="0"/>
          <w:marBottom w:val="0"/>
          <w:divBdr>
            <w:top w:val="none" w:sz="0" w:space="0" w:color="auto"/>
            <w:left w:val="none" w:sz="0" w:space="0" w:color="auto"/>
            <w:bottom w:val="none" w:sz="0" w:space="0" w:color="auto"/>
            <w:right w:val="none" w:sz="0" w:space="0" w:color="auto"/>
          </w:divBdr>
        </w:div>
      </w:divsChild>
    </w:div>
    <w:div w:id="1990597029">
      <w:bodyDiv w:val="1"/>
      <w:marLeft w:val="0"/>
      <w:marRight w:val="0"/>
      <w:marTop w:val="0"/>
      <w:marBottom w:val="0"/>
      <w:divBdr>
        <w:top w:val="none" w:sz="0" w:space="0" w:color="auto"/>
        <w:left w:val="none" w:sz="0" w:space="0" w:color="auto"/>
        <w:bottom w:val="none" w:sz="0" w:space="0" w:color="auto"/>
        <w:right w:val="none" w:sz="0" w:space="0" w:color="auto"/>
      </w:divBdr>
      <w:divsChild>
        <w:div w:id="1677228731">
          <w:marLeft w:val="0"/>
          <w:marRight w:val="0"/>
          <w:marTop w:val="0"/>
          <w:marBottom w:val="0"/>
          <w:divBdr>
            <w:top w:val="none" w:sz="0" w:space="0" w:color="auto"/>
            <w:left w:val="none" w:sz="0" w:space="0" w:color="auto"/>
            <w:bottom w:val="none" w:sz="0" w:space="0" w:color="auto"/>
            <w:right w:val="none" w:sz="0" w:space="0" w:color="auto"/>
          </w:divBdr>
          <w:divsChild>
            <w:div w:id="839006178">
              <w:marLeft w:val="0"/>
              <w:marRight w:val="0"/>
              <w:marTop w:val="0"/>
              <w:marBottom w:val="0"/>
              <w:divBdr>
                <w:top w:val="none" w:sz="0" w:space="0" w:color="auto"/>
                <w:left w:val="none" w:sz="0" w:space="0" w:color="auto"/>
                <w:bottom w:val="none" w:sz="0" w:space="0" w:color="auto"/>
                <w:right w:val="none" w:sz="0" w:space="0" w:color="auto"/>
              </w:divBdr>
              <w:divsChild>
                <w:div w:id="10282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34512">
      <w:bodyDiv w:val="1"/>
      <w:marLeft w:val="0"/>
      <w:marRight w:val="0"/>
      <w:marTop w:val="0"/>
      <w:marBottom w:val="0"/>
      <w:divBdr>
        <w:top w:val="none" w:sz="0" w:space="0" w:color="auto"/>
        <w:left w:val="none" w:sz="0" w:space="0" w:color="auto"/>
        <w:bottom w:val="none" w:sz="0" w:space="0" w:color="auto"/>
        <w:right w:val="none" w:sz="0" w:space="0" w:color="auto"/>
      </w:divBdr>
    </w:div>
    <w:div w:id="2036232142">
      <w:bodyDiv w:val="1"/>
      <w:marLeft w:val="0"/>
      <w:marRight w:val="0"/>
      <w:marTop w:val="0"/>
      <w:marBottom w:val="0"/>
      <w:divBdr>
        <w:top w:val="none" w:sz="0" w:space="0" w:color="auto"/>
        <w:left w:val="none" w:sz="0" w:space="0" w:color="auto"/>
        <w:bottom w:val="none" w:sz="0" w:space="0" w:color="auto"/>
        <w:right w:val="none" w:sz="0" w:space="0" w:color="auto"/>
      </w:divBdr>
      <w:divsChild>
        <w:div w:id="734468606">
          <w:marLeft w:val="0"/>
          <w:marRight w:val="0"/>
          <w:marTop w:val="0"/>
          <w:marBottom w:val="0"/>
          <w:divBdr>
            <w:top w:val="none" w:sz="0" w:space="0" w:color="auto"/>
            <w:left w:val="none" w:sz="0" w:space="0" w:color="auto"/>
            <w:bottom w:val="none" w:sz="0" w:space="0" w:color="auto"/>
            <w:right w:val="none" w:sz="0" w:space="0" w:color="auto"/>
          </w:divBdr>
        </w:div>
        <w:div w:id="791828851">
          <w:marLeft w:val="0"/>
          <w:marRight w:val="0"/>
          <w:marTop w:val="0"/>
          <w:marBottom w:val="0"/>
          <w:divBdr>
            <w:top w:val="none" w:sz="0" w:space="0" w:color="auto"/>
            <w:left w:val="none" w:sz="0" w:space="0" w:color="auto"/>
            <w:bottom w:val="none" w:sz="0" w:space="0" w:color="auto"/>
            <w:right w:val="none" w:sz="0" w:space="0" w:color="auto"/>
          </w:divBdr>
        </w:div>
        <w:div w:id="1472291501">
          <w:marLeft w:val="0"/>
          <w:marRight w:val="0"/>
          <w:marTop w:val="0"/>
          <w:marBottom w:val="0"/>
          <w:divBdr>
            <w:top w:val="none" w:sz="0" w:space="0" w:color="auto"/>
            <w:left w:val="none" w:sz="0" w:space="0" w:color="auto"/>
            <w:bottom w:val="none" w:sz="0" w:space="0" w:color="auto"/>
            <w:right w:val="none" w:sz="0" w:space="0" w:color="auto"/>
          </w:divBdr>
        </w:div>
      </w:divsChild>
    </w:div>
    <w:div w:id="2037079812">
      <w:bodyDiv w:val="1"/>
      <w:marLeft w:val="0"/>
      <w:marRight w:val="0"/>
      <w:marTop w:val="0"/>
      <w:marBottom w:val="0"/>
      <w:divBdr>
        <w:top w:val="none" w:sz="0" w:space="0" w:color="auto"/>
        <w:left w:val="none" w:sz="0" w:space="0" w:color="auto"/>
        <w:bottom w:val="none" w:sz="0" w:space="0" w:color="auto"/>
        <w:right w:val="none" w:sz="0" w:space="0" w:color="auto"/>
      </w:divBdr>
      <w:divsChild>
        <w:div w:id="1112673260">
          <w:marLeft w:val="0"/>
          <w:marRight w:val="0"/>
          <w:marTop w:val="0"/>
          <w:marBottom w:val="0"/>
          <w:divBdr>
            <w:top w:val="none" w:sz="0" w:space="0" w:color="auto"/>
            <w:left w:val="none" w:sz="0" w:space="0" w:color="auto"/>
            <w:bottom w:val="none" w:sz="0" w:space="0" w:color="auto"/>
            <w:right w:val="none" w:sz="0" w:space="0" w:color="auto"/>
          </w:divBdr>
        </w:div>
      </w:divsChild>
    </w:div>
    <w:div w:id="2047023689">
      <w:bodyDiv w:val="1"/>
      <w:marLeft w:val="0"/>
      <w:marRight w:val="0"/>
      <w:marTop w:val="0"/>
      <w:marBottom w:val="0"/>
      <w:divBdr>
        <w:top w:val="none" w:sz="0" w:space="0" w:color="auto"/>
        <w:left w:val="none" w:sz="0" w:space="0" w:color="auto"/>
        <w:bottom w:val="none" w:sz="0" w:space="0" w:color="auto"/>
        <w:right w:val="none" w:sz="0" w:space="0" w:color="auto"/>
      </w:divBdr>
    </w:div>
    <w:div w:id="2086798165">
      <w:bodyDiv w:val="1"/>
      <w:marLeft w:val="0"/>
      <w:marRight w:val="0"/>
      <w:marTop w:val="0"/>
      <w:marBottom w:val="0"/>
      <w:divBdr>
        <w:top w:val="none" w:sz="0" w:space="0" w:color="auto"/>
        <w:left w:val="none" w:sz="0" w:space="0" w:color="auto"/>
        <w:bottom w:val="none" w:sz="0" w:space="0" w:color="auto"/>
        <w:right w:val="none" w:sz="0" w:space="0" w:color="auto"/>
      </w:divBdr>
      <w:divsChild>
        <w:div w:id="192151829">
          <w:marLeft w:val="0"/>
          <w:marRight w:val="0"/>
          <w:marTop w:val="0"/>
          <w:marBottom w:val="0"/>
          <w:divBdr>
            <w:top w:val="none" w:sz="0" w:space="0" w:color="auto"/>
            <w:left w:val="none" w:sz="0" w:space="0" w:color="auto"/>
            <w:bottom w:val="none" w:sz="0" w:space="0" w:color="auto"/>
            <w:right w:val="none" w:sz="0" w:space="0" w:color="auto"/>
          </w:divBdr>
          <w:divsChild>
            <w:div w:id="271714792">
              <w:marLeft w:val="0"/>
              <w:marRight w:val="0"/>
              <w:marTop w:val="0"/>
              <w:marBottom w:val="0"/>
              <w:divBdr>
                <w:top w:val="none" w:sz="0" w:space="0" w:color="auto"/>
                <w:left w:val="none" w:sz="0" w:space="0" w:color="auto"/>
                <w:bottom w:val="none" w:sz="0" w:space="0" w:color="auto"/>
                <w:right w:val="none" w:sz="0" w:space="0" w:color="auto"/>
              </w:divBdr>
              <w:divsChild>
                <w:div w:id="1066955741">
                  <w:marLeft w:val="0"/>
                  <w:marRight w:val="0"/>
                  <w:marTop w:val="0"/>
                  <w:marBottom w:val="0"/>
                  <w:divBdr>
                    <w:top w:val="none" w:sz="0" w:space="0" w:color="auto"/>
                    <w:left w:val="none" w:sz="0" w:space="0" w:color="auto"/>
                    <w:bottom w:val="none" w:sz="0" w:space="0" w:color="auto"/>
                    <w:right w:val="none" w:sz="0" w:space="0" w:color="auto"/>
                  </w:divBdr>
                  <w:divsChild>
                    <w:div w:id="835457851">
                      <w:marLeft w:val="0"/>
                      <w:marRight w:val="0"/>
                      <w:marTop w:val="0"/>
                      <w:marBottom w:val="0"/>
                      <w:divBdr>
                        <w:top w:val="none" w:sz="0" w:space="0" w:color="auto"/>
                        <w:left w:val="none" w:sz="0" w:space="0" w:color="auto"/>
                        <w:bottom w:val="none" w:sz="0" w:space="0" w:color="auto"/>
                        <w:right w:val="none" w:sz="0" w:space="0" w:color="auto"/>
                      </w:divBdr>
                      <w:divsChild>
                        <w:div w:id="1771854445">
                          <w:marLeft w:val="0"/>
                          <w:marRight w:val="0"/>
                          <w:marTop w:val="0"/>
                          <w:marBottom w:val="0"/>
                          <w:divBdr>
                            <w:top w:val="none" w:sz="0" w:space="0" w:color="auto"/>
                            <w:left w:val="none" w:sz="0" w:space="0" w:color="auto"/>
                            <w:bottom w:val="none" w:sz="0" w:space="0" w:color="auto"/>
                            <w:right w:val="none" w:sz="0" w:space="0" w:color="auto"/>
                          </w:divBdr>
                          <w:divsChild>
                            <w:div w:id="474566958">
                              <w:marLeft w:val="0"/>
                              <w:marRight w:val="0"/>
                              <w:marTop w:val="0"/>
                              <w:marBottom w:val="0"/>
                              <w:divBdr>
                                <w:top w:val="none" w:sz="0" w:space="0" w:color="auto"/>
                                <w:left w:val="none" w:sz="0" w:space="0" w:color="auto"/>
                                <w:bottom w:val="none" w:sz="0" w:space="0" w:color="auto"/>
                                <w:right w:val="none" w:sz="0" w:space="0" w:color="auto"/>
                              </w:divBdr>
                              <w:divsChild>
                                <w:div w:id="1716468330">
                                  <w:marLeft w:val="0"/>
                                  <w:marRight w:val="0"/>
                                  <w:marTop w:val="0"/>
                                  <w:marBottom w:val="0"/>
                                  <w:divBdr>
                                    <w:top w:val="none" w:sz="0" w:space="0" w:color="auto"/>
                                    <w:left w:val="none" w:sz="0" w:space="0" w:color="auto"/>
                                    <w:bottom w:val="none" w:sz="0" w:space="0" w:color="auto"/>
                                    <w:right w:val="none" w:sz="0" w:space="0" w:color="auto"/>
                                  </w:divBdr>
                                  <w:divsChild>
                                    <w:div w:id="436753096">
                                      <w:marLeft w:val="0"/>
                                      <w:marRight w:val="0"/>
                                      <w:marTop w:val="0"/>
                                      <w:marBottom w:val="0"/>
                                      <w:divBdr>
                                        <w:top w:val="none" w:sz="0" w:space="0" w:color="auto"/>
                                        <w:left w:val="none" w:sz="0" w:space="0" w:color="auto"/>
                                        <w:bottom w:val="none" w:sz="0" w:space="0" w:color="auto"/>
                                        <w:right w:val="none" w:sz="0" w:space="0" w:color="auto"/>
                                      </w:divBdr>
                                      <w:divsChild>
                                        <w:div w:id="2027054601">
                                          <w:marLeft w:val="0"/>
                                          <w:marRight w:val="0"/>
                                          <w:marTop w:val="0"/>
                                          <w:marBottom w:val="0"/>
                                          <w:divBdr>
                                            <w:top w:val="none" w:sz="0" w:space="0" w:color="auto"/>
                                            <w:left w:val="none" w:sz="0" w:space="0" w:color="auto"/>
                                            <w:bottom w:val="none" w:sz="0" w:space="0" w:color="auto"/>
                                            <w:right w:val="none" w:sz="0" w:space="0" w:color="auto"/>
                                          </w:divBdr>
                                          <w:divsChild>
                                            <w:div w:id="1198810219">
                                              <w:marLeft w:val="0"/>
                                              <w:marRight w:val="0"/>
                                              <w:marTop w:val="0"/>
                                              <w:marBottom w:val="0"/>
                                              <w:divBdr>
                                                <w:top w:val="none" w:sz="0" w:space="0" w:color="auto"/>
                                                <w:left w:val="none" w:sz="0" w:space="0" w:color="auto"/>
                                                <w:bottom w:val="none" w:sz="0" w:space="0" w:color="auto"/>
                                                <w:right w:val="none" w:sz="0" w:space="0" w:color="auto"/>
                                              </w:divBdr>
                                              <w:divsChild>
                                                <w:div w:id="959413085">
                                                  <w:marLeft w:val="0"/>
                                                  <w:marRight w:val="0"/>
                                                  <w:marTop w:val="0"/>
                                                  <w:marBottom w:val="0"/>
                                                  <w:divBdr>
                                                    <w:top w:val="none" w:sz="0" w:space="0" w:color="auto"/>
                                                    <w:left w:val="none" w:sz="0" w:space="0" w:color="auto"/>
                                                    <w:bottom w:val="none" w:sz="0" w:space="0" w:color="auto"/>
                                                    <w:right w:val="none" w:sz="0" w:space="0" w:color="auto"/>
                                                  </w:divBdr>
                                                  <w:divsChild>
                                                    <w:div w:id="114910673">
                                                      <w:marLeft w:val="0"/>
                                                      <w:marRight w:val="0"/>
                                                      <w:marTop w:val="0"/>
                                                      <w:marBottom w:val="0"/>
                                                      <w:divBdr>
                                                        <w:top w:val="none" w:sz="0" w:space="0" w:color="auto"/>
                                                        <w:left w:val="none" w:sz="0" w:space="0" w:color="auto"/>
                                                        <w:bottom w:val="none" w:sz="0" w:space="0" w:color="auto"/>
                                                        <w:right w:val="none" w:sz="0" w:space="0" w:color="auto"/>
                                                      </w:divBdr>
                                                      <w:divsChild>
                                                        <w:div w:id="770129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1727849">
      <w:bodyDiv w:val="1"/>
      <w:marLeft w:val="0"/>
      <w:marRight w:val="0"/>
      <w:marTop w:val="0"/>
      <w:marBottom w:val="0"/>
      <w:divBdr>
        <w:top w:val="none" w:sz="0" w:space="0" w:color="auto"/>
        <w:left w:val="none" w:sz="0" w:space="0" w:color="auto"/>
        <w:bottom w:val="none" w:sz="0" w:space="0" w:color="auto"/>
        <w:right w:val="none" w:sz="0" w:space="0" w:color="auto"/>
      </w:divBdr>
      <w:divsChild>
        <w:div w:id="698513730">
          <w:marLeft w:val="0"/>
          <w:marRight w:val="0"/>
          <w:marTop w:val="0"/>
          <w:marBottom w:val="0"/>
          <w:divBdr>
            <w:top w:val="none" w:sz="0" w:space="0" w:color="auto"/>
            <w:left w:val="none" w:sz="0" w:space="0" w:color="auto"/>
            <w:bottom w:val="none" w:sz="0" w:space="0" w:color="auto"/>
            <w:right w:val="none" w:sz="0" w:space="0" w:color="auto"/>
          </w:divBdr>
        </w:div>
      </w:divsChild>
    </w:div>
    <w:div w:id="2092659704">
      <w:bodyDiv w:val="1"/>
      <w:marLeft w:val="0"/>
      <w:marRight w:val="0"/>
      <w:marTop w:val="0"/>
      <w:marBottom w:val="0"/>
      <w:divBdr>
        <w:top w:val="none" w:sz="0" w:space="0" w:color="auto"/>
        <w:left w:val="none" w:sz="0" w:space="0" w:color="auto"/>
        <w:bottom w:val="none" w:sz="0" w:space="0" w:color="auto"/>
        <w:right w:val="none" w:sz="0" w:space="0" w:color="auto"/>
      </w:divBdr>
      <w:divsChild>
        <w:div w:id="1540894019">
          <w:marLeft w:val="0"/>
          <w:marRight w:val="0"/>
          <w:marTop w:val="0"/>
          <w:marBottom w:val="0"/>
          <w:divBdr>
            <w:top w:val="none" w:sz="0" w:space="0" w:color="auto"/>
            <w:left w:val="none" w:sz="0" w:space="0" w:color="auto"/>
            <w:bottom w:val="none" w:sz="0" w:space="0" w:color="auto"/>
            <w:right w:val="none" w:sz="0" w:space="0" w:color="auto"/>
          </w:divBdr>
        </w:div>
      </w:divsChild>
    </w:div>
    <w:div w:id="2111509315">
      <w:bodyDiv w:val="1"/>
      <w:marLeft w:val="0"/>
      <w:marRight w:val="0"/>
      <w:marTop w:val="0"/>
      <w:marBottom w:val="0"/>
      <w:divBdr>
        <w:top w:val="none" w:sz="0" w:space="0" w:color="auto"/>
        <w:left w:val="none" w:sz="0" w:space="0" w:color="auto"/>
        <w:bottom w:val="none" w:sz="0" w:space="0" w:color="auto"/>
        <w:right w:val="none" w:sz="0" w:space="0" w:color="auto"/>
      </w:divBdr>
      <w:divsChild>
        <w:div w:id="1601526397">
          <w:marLeft w:val="0"/>
          <w:marRight w:val="0"/>
          <w:marTop w:val="0"/>
          <w:marBottom w:val="0"/>
          <w:divBdr>
            <w:top w:val="none" w:sz="0" w:space="0" w:color="auto"/>
            <w:left w:val="none" w:sz="0" w:space="0" w:color="auto"/>
            <w:bottom w:val="none" w:sz="0" w:space="0" w:color="auto"/>
            <w:right w:val="none" w:sz="0" w:space="0" w:color="auto"/>
          </w:divBdr>
          <w:divsChild>
            <w:div w:id="1632635804">
              <w:marLeft w:val="0"/>
              <w:marRight w:val="0"/>
              <w:marTop w:val="0"/>
              <w:marBottom w:val="0"/>
              <w:divBdr>
                <w:top w:val="none" w:sz="0" w:space="0" w:color="auto"/>
                <w:left w:val="none" w:sz="0" w:space="0" w:color="auto"/>
                <w:bottom w:val="none" w:sz="0" w:space="0" w:color="auto"/>
                <w:right w:val="none" w:sz="0" w:space="0" w:color="auto"/>
              </w:divBdr>
              <w:divsChild>
                <w:div w:id="146808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yperlink" Target="https://consult.treasury.gov.au/c2025-722616" TargetMode="External"/><Relationship Id="rId26" Type="http://schemas.openxmlformats.org/officeDocument/2006/relationships/hyperlink" Target="https://consult.treasury.gov.au/c2025-722616/consultation/list" TargetMode="External"/><Relationship Id="rId21" Type="http://schemas.openxmlformats.org/officeDocument/2006/relationships/footer" Target="footer1.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www.abcb.gov.au/sites/default/files/resources/2022/NCC-2022-Residential-Energy-Efficiency-Overview-of-Provisions-Text-Transcript_0.pdf" TargetMode="External"/><Relationship Id="rId25" Type="http://schemas.openxmlformats.org/officeDocument/2006/relationships/hyperlink" Target="https://consult.treasury.gov.au/c2025-722616" TargetMode="External"/><Relationship Id="rId33" Type="http://schemas.openxmlformats.org/officeDocument/2006/relationships/hyperlink" Target="mailto:nccmodernisation@treasury.gov.a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easury.gov.au/sites/default/files/2025-12/p2025-728382-ncc-project-scope.pdf" TargetMode="External"/><Relationship Id="rId20" Type="http://schemas.openxmlformats.org/officeDocument/2006/relationships/header" Target="header3.xml"/><Relationship Id="rId29" Type="http://schemas.openxmlformats.org/officeDocument/2006/relationships/hyperlink" Target="https://occu.com.au/ab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legalcode" TargetMode="External"/><Relationship Id="rId24" Type="http://schemas.openxmlformats.org/officeDocument/2006/relationships/footer" Target="footer3.xml"/><Relationship Id="rId32" Type="http://schemas.openxmlformats.org/officeDocument/2006/relationships/hyperlink" Target="https://www.premier.vic.gov.au/labor-mandates-lead-free-pipes-australian-firs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edia@treasury.gov.au" TargetMode="External"/><Relationship Id="rId23" Type="http://schemas.openxmlformats.org/officeDocument/2006/relationships/header" Target="header4.xml"/><Relationship Id="rId28" Type="http://schemas.openxmlformats.org/officeDocument/2006/relationships/hyperlink" Target="https://app.buildingtools.co/" TargetMode="External"/><Relationship Id="rId36" Type="http://schemas.openxmlformats.org/officeDocument/2006/relationships/footer" Target="footer5.xml"/><Relationship Id="rId10" Type="http://schemas.openxmlformats.org/officeDocument/2006/relationships/hyperlink" Target="https://creativecommons.org/licenses/by/4.0/" TargetMode="External"/><Relationship Id="rId19" Type="http://schemas.openxmlformats.org/officeDocument/2006/relationships/header" Target="header2.xml"/><Relationship Id="rId31" Type="http://schemas.openxmlformats.org/officeDocument/2006/relationships/hyperlink" Target="https://www.abcb.gov.au/sites/default/files/resources/2022/Report-benefits-building-regulationr-reform-the-CI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pmc.gov.au/government/commonwealth-coat-arms" TargetMode="External"/><Relationship Id="rId22" Type="http://schemas.openxmlformats.org/officeDocument/2006/relationships/footer" Target="footer2.xml"/><Relationship Id="rId27" Type="http://schemas.openxmlformats.org/officeDocument/2006/relationships/hyperlink" Target="https://ncc.abcb.gov.au/system/files/ncc/ncc2022-consolidated-performance-requirements.pdf" TargetMode="External"/><Relationship Id="rId30" Type="http://schemas.openxmlformats.org/officeDocument/2006/relationships/hyperlink" Target="https://mycodey.com.au/" TargetMode="External"/><Relationship Id="rId35" Type="http://schemas.openxmlformats.org/officeDocument/2006/relationships/footer" Target="footer4.xml"/><Relationship Id="rId8" Type="http://schemas.openxmlformats.org/officeDocument/2006/relationships/image" Target="media/image2.png"/><Relationship Id="rId3" Type="http://schemas.openxmlformats.org/officeDocument/2006/relationships/styles" Target="styles.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7DB8F-C0DA-4CF0-96BA-E43979D68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7691</Words>
  <Characters>43842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National Construction Code Modernisation Project – Interim Report</vt:lpstr>
    </vt:vector>
  </TitlesOfParts>
  <Company/>
  <LinksUpToDate>false</LinksUpToDate>
  <CharactersWithSpaces>51431</CharactersWithSpaces>
  <SharedDoc>false</SharedDoc>
  <HLinks>
    <vt:vector size="186" baseType="variant">
      <vt:variant>
        <vt:i4>4980770</vt:i4>
      </vt:variant>
      <vt:variant>
        <vt:i4>135</vt:i4>
      </vt:variant>
      <vt:variant>
        <vt:i4>0</vt:i4>
      </vt:variant>
      <vt:variant>
        <vt:i4>5</vt:i4>
      </vt:variant>
      <vt:variant>
        <vt:lpwstr>mailto:nccmodernisation@treasury.gov.au</vt:lpwstr>
      </vt:variant>
      <vt:variant>
        <vt:lpwstr/>
      </vt:variant>
      <vt:variant>
        <vt:i4>3145787</vt:i4>
      </vt:variant>
      <vt:variant>
        <vt:i4>132</vt:i4>
      </vt:variant>
      <vt:variant>
        <vt:i4>0</vt:i4>
      </vt:variant>
      <vt:variant>
        <vt:i4>5</vt:i4>
      </vt:variant>
      <vt:variant>
        <vt:lpwstr>https://www.premier.vic.gov.au/labor-mandates-lead-free-pipes-australian-first</vt:lpwstr>
      </vt:variant>
      <vt:variant>
        <vt:lpwstr/>
      </vt:variant>
      <vt:variant>
        <vt:i4>3539066</vt:i4>
      </vt:variant>
      <vt:variant>
        <vt:i4>129</vt:i4>
      </vt:variant>
      <vt:variant>
        <vt:i4>0</vt:i4>
      </vt:variant>
      <vt:variant>
        <vt:i4>5</vt:i4>
      </vt:variant>
      <vt:variant>
        <vt:lpwstr>https://www.abcb.gov.au/sites/default/files/resources/2022/Report-benefits-building-regulationr-reform-the-CIE.pdf</vt:lpwstr>
      </vt:variant>
      <vt:variant>
        <vt:lpwstr/>
      </vt:variant>
      <vt:variant>
        <vt:i4>7864380</vt:i4>
      </vt:variant>
      <vt:variant>
        <vt:i4>126</vt:i4>
      </vt:variant>
      <vt:variant>
        <vt:i4>0</vt:i4>
      </vt:variant>
      <vt:variant>
        <vt:i4>5</vt:i4>
      </vt:variant>
      <vt:variant>
        <vt:lpwstr>https://mycodey.com.au/</vt:lpwstr>
      </vt:variant>
      <vt:variant>
        <vt:lpwstr/>
      </vt:variant>
      <vt:variant>
        <vt:i4>5242968</vt:i4>
      </vt:variant>
      <vt:variant>
        <vt:i4>123</vt:i4>
      </vt:variant>
      <vt:variant>
        <vt:i4>0</vt:i4>
      </vt:variant>
      <vt:variant>
        <vt:i4>5</vt:i4>
      </vt:variant>
      <vt:variant>
        <vt:lpwstr>https://occu.com.au/about</vt:lpwstr>
      </vt:variant>
      <vt:variant>
        <vt:lpwstr/>
      </vt:variant>
      <vt:variant>
        <vt:i4>1704027</vt:i4>
      </vt:variant>
      <vt:variant>
        <vt:i4>120</vt:i4>
      </vt:variant>
      <vt:variant>
        <vt:i4>0</vt:i4>
      </vt:variant>
      <vt:variant>
        <vt:i4>5</vt:i4>
      </vt:variant>
      <vt:variant>
        <vt:lpwstr>https://app.buildingtools.co/</vt:lpwstr>
      </vt:variant>
      <vt:variant>
        <vt:lpwstr/>
      </vt:variant>
      <vt:variant>
        <vt:i4>1376346</vt:i4>
      </vt:variant>
      <vt:variant>
        <vt:i4>117</vt:i4>
      </vt:variant>
      <vt:variant>
        <vt:i4>0</vt:i4>
      </vt:variant>
      <vt:variant>
        <vt:i4>5</vt:i4>
      </vt:variant>
      <vt:variant>
        <vt:lpwstr>https://govteams.sharepoint.com/sites/nccmodernisationproject/Shared Documents/Key Working Documents/The ABCB has developed a consolidated performance requirements manual to support</vt:lpwstr>
      </vt:variant>
      <vt:variant>
        <vt:lpwstr/>
      </vt:variant>
      <vt:variant>
        <vt:i4>1179664</vt:i4>
      </vt:variant>
      <vt:variant>
        <vt:i4>114</vt:i4>
      </vt:variant>
      <vt:variant>
        <vt:i4>0</vt:i4>
      </vt:variant>
      <vt:variant>
        <vt:i4>5</vt:i4>
      </vt:variant>
      <vt:variant>
        <vt:lpwstr>https://consult.treasury.gov.au/c2026-757530</vt:lpwstr>
      </vt:variant>
      <vt:variant>
        <vt:lpwstr/>
      </vt:variant>
      <vt:variant>
        <vt:i4>7733311</vt:i4>
      </vt:variant>
      <vt:variant>
        <vt:i4>111</vt:i4>
      </vt:variant>
      <vt:variant>
        <vt:i4>0</vt:i4>
      </vt:variant>
      <vt:variant>
        <vt:i4>5</vt:i4>
      </vt:variant>
      <vt:variant>
        <vt:lpwstr>https://beta.treasury.gov.au/key-activities/consultations/c2025-722616</vt:lpwstr>
      </vt:variant>
      <vt:variant>
        <vt:lpwstr/>
      </vt:variant>
      <vt:variant>
        <vt:i4>7733311</vt:i4>
      </vt:variant>
      <vt:variant>
        <vt:i4>108</vt:i4>
      </vt:variant>
      <vt:variant>
        <vt:i4>0</vt:i4>
      </vt:variant>
      <vt:variant>
        <vt:i4>5</vt:i4>
      </vt:variant>
      <vt:variant>
        <vt:lpwstr>https://beta.treasury.gov.au/key-activities/consultations/c2025-722616</vt:lpwstr>
      </vt:variant>
      <vt:variant>
        <vt:lpwstr/>
      </vt:variant>
      <vt:variant>
        <vt:i4>6881290</vt:i4>
      </vt:variant>
      <vt:variant>
        <vt:i4>105</vt:i4>
      </vt:variant>
      <vt:variant>
        <vt:i4>0</vt:i4>
      </vt:variant>
      <vt:variant>
        <vt:i4>5</vt:i4>
      </vt:variant>
      <vt:variant>
        <vt:lpwstr>https://www.abcb.gov.au/sites/default/files/resources/2022/NCC-2022-Residential-Energy-Efficiency-Overview-of-Provisions-Text-Transcript_0.pdf</vt:lpwstr>
      </vt:variant>
      <vt:variant>
        <vt:lpwstr/>
      </vt:variant>
      <vt:variant>
        <vt:i4>8323189</vt:i4>
      </vt:variant>
      <vt:variant>
        <vt:i4>102</vt:i4>
      </vt:variant>
      <vt:variant>
        <vt:i4>0</vt:i4>
      </vt:variant>
      <vt:variant>
        <vt:i4>5</vt:i4>
      </vt:variant>
      <vt:variant>
        <vt:lpwstr>https://treasury.gov.au/sites/default/files/2025-12/p2025-728382-ncc-project-scope.pdf</vt:lpwstr>
      </vt:variant>
      <vt:variant>
        <vt:lpwstr/>
      </vt:variant>
      <vt:variant>
        <vt:i4>1441853</vt:i4>
      </vt:variant>
      <vt:variant>
        <vt:i4>95</vt:i4>
      </vt:variant>
      <vt:variant>
        <vt:i4>0</vt:i4>
      </vt:variant>
      <vt:variant>
        <vt:i4>5</vt:i4>
      </vt:variant>
      <vt:variant>
        <vt:lpwstr/>
      </vt:variant>
      <vt:variant>
        <vt:lpwstr>_Toc228371017</vt:lpwstr>
      </vt:variant>
      <vt:variant>
        <vt:i4>1441853</vt:i4>
      </vt:variant>
      <vt:variant>
        <vt:i4>89</vt:i4>
      </vt:variant>
      <vt:variant>
        <vt:i4>0</vt:i4>
      </vt:variant>
      <vt:variant>
        <vt:i4>5</vt:i4>
      </vt:variant>
      <vt:variant>
        <vt:lpwstr/>
      </vt:variant>
      <vt:variant>
        <vt:lpwstr>_Toc228371016</vt:lpwstr>
      </vt:variant>
      <vt:variant>
        <vt:i4>1441853</vt:i4>
      </vt:variant>
      <vt:variant>
        <vt:i4>83</vt:i4>
      </vt:variant>
      <vt:variant>
        <vt:i4>0</vt:i4>
      </vt:variant>
      <vt:variant>
        <vt:i4>5</vt:i4>
      </vt:variant>
      <vt:variant>
        <vt:lpwstr/>
      </vt:variant>
      <vt:variant>
        <vt:lpwstr>_Toc228371015</vt:lpwstr>
      </vt:variant>
      <vt:variant>
        <vt:i4>1441853</vt:i4>
      </vt:variant>
      <vt:variant>
        <vt:i4>77</vt:i4>
      </vt:variant>
      <vt:variant>
        <vt:i4>0</vt:i4>
      </vt:variant>
      <vt:variant>
        <vt:i4>5</vt:i4>
      </vt:variant>
      <vt:variant>
        <vt:lpwstr/>
      </vt:variant>
      <vt:variant>
        <vt:lpwstr>_Toc228371014</vt:lpwstr>
      </vt:variant>
      <vt:variant>
        <vt:i4>1441853</vt:i4>
      </vt:variant>
      <vt:variant>
        <vt:i4>71</vt:i4>
      </vt:variant>
      <vt:variant>
        <vt:i4>0</vt:i4>
      </vt:variant>
      <vt:variant>
        <vt:i4>5</vt:i4>
      </vt:variant>
      <vt:variant>
        <vt:lpwstr/>
      </vt:variant>
      <vt:variant>
        <vt:lpwstr>_Toc228371013</vt:lpwstr>
      </vt:variant>
      <vt:variant>
        <vt:i4>1441853</vt:i4>
      </vt:variant>
      <vt:variant>
        <vt:i4>65</vt:i4>
      </vt:variant>
      <vt:variant>
        <vt:i4>0</vt:i4>
      </vt:variant>
      <vt:variant>
        <vt:i4>5</vt:i4>
      </vt:variant>
      <vt:variant>
        <vt:lpwstr/>
      </vt:variant>
      <vt:variant>
        <vt:lpwstr>_Toc228371012</vt:lpwstr>
      </vt:variant>
      <vt:variant>
        <vt:i4>1441853</vt:i4>
      </vt:variant>
      <vt:variant>
        <vt:i4>59</vt:i4>
      </vt:variant>
      <vt:variant>
        <vt:i4>0</vt:i4>
      </vt:variant>
      <vt:variant>
        <vt:i4>5</vt:i4>
      </vt:variant>
      <vt:variant>
        <vt:lpwstr/>
      </vt:variant>
      <vt:variant>
        <vt:lpwstr>_Toc228371011</vt:lpwstr>
      </vt:variant>
      <vt:variant>
        <vt:i4>1441853</vt:i4>
      </vt:variant>
      <vt:variant>
        <vt:i4>53</vt:i4>
      </vt:variant>
      <vt:variant>
        <vt:i4>0</vt:i4>
      </vt:variant>
      <vt:variant>
        <vt:i4>5</vt:i4>
      </vt:variant>
      <vt:variant>
        <vt:lpwstr/>
      </vt:variant>
      <vt:variant>
        <vt:lpwstr>_Toc228371010</vt:lpwstr>
      </vt:variant>
      <vt:variant>
        <vt:i4>1507389</vt:i4>
      </vt:variant>
      <vt:variant>
        <vt:i4>47</vt:i4>
      </vt:variant>
      <vt:variant>
        <vt:i4>0</vt:i4>
      </vt:variant>
      <vt:variant>
        <vt:i4>5</vt:i4>
      </vt:variant>
      <vt:variant>
        <vt:lpwstr/>
      </vt:variant>
      <vt:variant>
        <vt:lpwstr>_Toc228371009</vt:lpwstr>
      </vt:variant>
      <vt:variant>
        <vt:i4>1507389</vt:i4>
      </vt:variant>
      <vt:variant>
        <vt:i4>41</vt:i4>
      </vt:variant>
      <vt:variant>
        <vt:i4>0</vt:i4>
      </vt:variant>
      <vt:variant>
        <vt:i4>5</vt:i4>
      </vt:variant>
      <vt:variant>
        <vt:lpwstr/>
      </vt:variant>
      <vt:variant>
        <vt:lpwstr>_Toc228371008</vt:lpwstr>
      </vt:variant>
      <vt:variant>
        <vt:i4>1507389</vt:i4>
      </vt:variant>
      <vt:variant>
        <vt:i4>35</vt:i4>
      </vt:variant>
      <vt:variant>
        <vt:i4>0</vt:i4>
      </vt:variant>
      <vt:variant>
        <vt:i4>5</vt:i4>
      </vt:variant>
      <vt:variant>
        <vt:lpwstr/>
      </vt:variant>
      <vt:variant>
        <vt:lpwstr>_Toc228371007</vt:lpwstr>
      </vt:variant>
      <vt:variant>
        <vt:i4>1507389</vt:i4>
      </vt:variant>
      <vt:variant>
        <vt:i4>29</vt:i4>
      </vt:variant>
      <vt:variant>
        <vt:i4>0</vt:i4>
      </vt:variant>
      <vt:variant>
        <vt:i4>5</vt:i4>
      </vt:variant>
      <vt:variant>
        <vt:lpwstr/>
      </vt:variant>
      <vt:variant>
        <vt:lpwstr>_Toc228371006</vt:lpwstr>
      </vt:variant>
      <vt:variant>
        <vt:i4>1507389</vt:i4>
      </vt:variant>
      <vt:variant>
        <vt:i4>23</vt:i4>
      </vt:variant>
      <vt:variant>
        <vt:i4>0</vt:i4>
      </vt:variant>
      <vt:variant>
        <vt:i4>5</vt:i4>
      </vt:variant>
      <vt:variant>
        <vt:lpwstr/>
      </vt:variant>
      <vt:variant>
        <vt:lpwstr>_Toc228371005</vt:lpwstr>
      </vt:variant>
      <vt:variant>
        <vt:i4>1507389</vt:i4>
      </vt:variant>
      <vt:variant>
        <vt:i4>17</vt:i4>
      </vt:variant>
      <vt:variant>
        <vt:i4>0</vt:i4>
      </vt:variant>
      <vt:variant>
        <vt:i4>5</vt:i4>
      </vt:variant>
      <vt:variant>
        <vt:lpwstr/>
      </vt:variant>
      <vt:variant>
        <vt:lpwstr>_Toc228371004</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Construction Code Modernisation Project – Interim Report</dc:title>
  <dc:subject/>
  <dc:creator>Australian Government</dc:creator>
  <cp:keywords/>
  <cp:lastModifiedBy/>
  <cp:revision>1</cp:revision>
  <dcterms:created xsi:type="dcterms:W3CDTF">2026-04-29T06:54:00Z</dcterms:created>
  <dcterms:modified xsi:type="dcterms:W3CDTF">2026-04-29T23:44:00Z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2026-04-29T06:55:02Z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3e4d672b-6565-4966-931d-d9a9bc8398d8</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