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4C0D43" w14:textId="77777777" w:rsidR="00591801" w:rsidRDefault="00591801" w:rsidP="00236901">
      <w:pPr>
        <w:spacing w:before="360"/>
        <w:ind w:right="95"/>
        <w:jc w:val="center"/>
      </w:pPr>
      <w:r>
        <w:rPr>
          <w:caps/>
          <w:noProof/>
        </w:rPr>
        <w:drawing>
          <wp:inline distT="0" distB="0" distL="0" distR="0" wp14:anchorId="4934C10C" wp14:editId="07DEC6E0">
            <wp:extent cx="2465705" cy="1371600"/>
            <wp:effectExtent l="0" t="0" r="0" b="0"/>
            <wp:docPr id="1" name="Picture 1" descr="Australian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ustralian Government Cres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65705" cy="1371600"/>
                    </a:xfrm>
                    <a:prstGeom prst="rect">
                      <a:avLst/>
                    </a:prstGeom>
                    <a:noFill/>
                    <a:ln>
                      <a:noFill/>
                    </a:ln>
                  </pic:spPr>
                </pic:pic>
              </a:graphicData>
            </a:graphic>
          </wp:inline>
        </w:drawing>
      </w:r>
    </w:p>
    <w:p w14:paraId="34A59024" w14:textId="42DA5D24" w:rsidR="00591801" w:rsidRPr="00EC7701" w:rsidRDefault="00591801" w:rsidP="00236901">
      <w:pPr>
        <w:spacing w:before="360"/>
        <w:jc w:val="center"/>
        <w:rPr>
          <w:rFonts w:ascii="Montserrat Light" w:hAnsi="Montserrat Light"/>
          <w:sz w:val="32"/>
          <w:szCs w:val="32"/>
        </w:rPr>
      </w:pPr>
      <w:r w:rsidRPr="00EC7701">
        <w:rPr>
          <w:rFonts w:ascii="Montserrat Light" w:hAnsi="Montserrat Light"/>
          <w:sz w:val="32"/>
          <w:szCs w:val="32"/>
        </w:rPr>
        <w:t xml:space="preserve">Australian Government response to the </w:t>
      </w:r>
      <w:r w:rsidRPr="00EC7701">
        <w:rPr>
          <w:rFonts w:ascii="Montserrat Light" w:hAnsi="Montserrat Light"/>
          <w:sz w:val="32"/>
          <w:szCs w:val="32"/>
        </w:rPr>
        <w:br/>
      </w:r>
      <w:r w:rsidR="00EE0C14" w:rsidRPr="00EE0C14">
        <w:rPr>
          <w:rFonts w:ascii="Montserrat Light" w:hAnsi="Montserrat Light"/>
          <w:sz w:val="32"/>
          <w:szCs w:val="32"/>
        </w:rPr>
        <w:t xml:space="preserve">Senate Economics References Committee </w:t>
      </w:r>
      <w:r w:rsidRPr="00EC7701">
        <w:rPr>
          <w:rFonts w:ascii="Montserrat Light" w:hAnsi="Montserrat Light"/>
          <w:sz w:val="32"/>
          <w:szCs w:val="32"/>
        </w:rPr>
        <w:t>report:</w:t>
      </w:r>
    </w:p>
    <w:p w14:paraId="4E9795E3" w14:textId="1BB4FA9C" w:rsidR="00591801" w:rsidRPr="00EC7701" w:rsidRDefault="00EE0C14" w:rsidP="00FF489D">
      <w:pPr>
        <w:spacing w:before="360"/>
        <w:jc w:val="center"/>
        <w:rPr>
          <w:rFonts w:ascii="Montserrat Light" w:hAnsi="Montserrat Light"/>
          <w:sz w:val="32"/>
          <w:szCs w:val="32"/>
        </w:rPr>
      </w:pPr>
      <w:r w:rsidRPr="00EE0C14">
        <w:rPr>
          <w:rFonts w:ascii="Montserrat Light" w:hAnsi="Montserrat Light"/>
          <w:sz w:val="32"/>
          <w:szCs w:val="32"/>
        </w:rPr>
        <w:t>Micro-competition opportunities in e-conveyancing</w:t>
      </w:r>
    </w:p>
    <w:p w14:paraId="285DF304" w14:textId="6682F1E7" w:rsidR="00591801" w:rsidRPr="00EC7701" w:rsidRDefault="00591801" w:rsidP="00FF489D">
      <w:pPr>
        <w:spacing w:before="8040"/>
        <w:jc w:val="right"/>
        <w:rPr>
          <w:rFonts w:ascii="Montserrat Light" w:hAnsi="Montserrat Light"/>
          <w:caps/>
          <w:sz w:val="28"/>
          <w:szCs w:val="28"/>
        </w:rPr>
      </w:pPr>
      <w:r>
        <w:rPr>
          <w:rFonts w:ascii="Montserrat Light" w:hAnsi="Montserrat Light"/>
          <w:sz w:val="28"/>
          <w:szCs w:val="28"/>
        </w:rPr>
        <w:t>March 2026</w:t>
      </w:r>
    </w:p>
    <w:p w14:paraId="16081B8B" w14:textId="77777777" w:rsidR="005005F5" w:rsidRDefault="005005F5" w:rsidP="00F3482D">
      <w:pPr>
        <w:spacing w:before="0" w:after="160" w:line="259" w:lineRule="auto"/>
      </w:pPr>
      <w:bookmarkStart w:id="0" w:name="_Hlk221868382"/>
    </w:p>
    <w:bookmarkEnd w:id="0"/>
    <w:p w14:paraId="41E73260" w14:textId="206843A9" w:rsidR="00F3482D" w:rsidRDefault="00F3482D" w:rsidP="00F3482D">
      <w:pPr>
        <w:spacing w:before="0" w:after="160" w:line="259" w:lineRule="auto"/>
        <w:sectPr w:rsidR="00F3482D" w:rsidSect="00C47437">
          <w:type w:val="oddPage"/>
          <w:pgSz w:w="11906" w:h="16838" w:code="9"/>
          <w:pgMar w:top="1843" w:right="1418" w:bottom="1418" w:left="1418" w:header="709" w:footer="709" w:gutter="0"/>
          <w:pgNumType w:fmt="lowerRoman" w:start="0"/>
          <w:cols w:space="708"/>
          <w:titlePg/>
          <w:docGrid w:linePitch="360"/>
        </w:sectPr>
      </w:pPr>
    </w:p>
    <w:p w14:paraId="5D845E3F" w14:textId="77777777" w:rsidR="000E0B74" w:rsidRPr="005005F5" w:rsidRDefault="000E0B74" w:rsidP="00C47437">
      <w:pPr>
        <w:pStyle w:val="Heading1"/>
        <w:spacing w:before="0"/>
      </w:pPr>
      <w:bookmarkStart w:id="1" w:name="_Toc221626181"/>
      <w:bookmarkStart w:id="2" w:name="_Toc221627127"/>
      <w:bookmarkStart w:id="3" w:name="_Toc224814220"/>
      <w:r w:rsidRPr="009E04E4">
        <w:lastRenderedPageBreak/>
        <w:t>Contents</w:t>
      </w:r>
      <w:bookmarkEnd w:id="1"/>
      <w:bookmarkEnd w:id="2"/>
      <w:bookmarkEnd w:id="3"/>
    </w:p>
    <w:bookmarkStart w:id="4" w:name="_Toc432067103"/>
    <w:bookmarkStart w:id="5" w:name="_Toc452635030"/>
    <w:p w14:paraId="2EF1E75A" w14:textId="45D05C36" w:rsidR="00723283" w:rsidRDefault="00723283">
      <w:pPr>
        <w:pStyle w:val="TOC1"/>
        <w:rPr>
          <w:rFonts w:eastAsiaTheme="minorEastAsia" w:cstheme="minorBidi"/>
          <w:b w:val="0"/>
          <w:color w:val="auto"/>
          <w:kern w:val="2"/>
          <w:szCs w:val="24"/>
          <w14:ligatures w14:val="standardContextual"/>
        </w:rPr>
      </w:pPr>
      <w:r>
        <w:rPr>
          <w:color w:val="004A7F"/>
        </w:rPr>
        <w:fldChar w:fldCharType="begin"/>
      </w:r>
      <w:r>
        <w:rPr>
          <w:color w:val="004A7F"/>
        </w:rPr>
        <w:instrText xml:space="preserve"> TOC \h \z \t "Heading 1,1,Heading 2,2" </w:instrText>
      </w:r>
      <w:r>
        <w:rPr>
          <w:color w:val="004A7F"/>
        </w:rPr>
        <w:fldChar w:fldCharType="separate"/>
      </w:r>
      <w:hyperlink w:anchor="_Toc224814220" w:history="1"/>
      <w:hyperlink w:anchor="_Toc224814221" w:history="1">
        <w:r w:rsidRPr="007A33E0">
          <w:rPr>
            <w:rStyle w:val="Hyperlink"/>
          </w:rPr>
          <w:t>Introduction</w:t>
        </w:r>
        <w:r>
          <w:rPr>
            <w:webHidden/>
          </w:rPr>
          <w:tab/>
        </w:r>
        <w:r>
          <w:rPr>
            <w:webHidden/>
          </w:rPr>
          <w:fldChar w:fldCharType="begin"/>
        </w:r>
        <w:r>
          <w:rPr>
            <w:webHidden/>
          </w:rPr>
          <w:instrText xml:space="preserve"> PAGEREF _Toc224814221 \h </w:instrText>
        </w:r>
        <w:r>
          <w:rPr>
            <w:webHidden/>
          </w:rPr>
        </w:r>
        <w:r>
          <w:rPr>
            <w:webHidden/>
          </w:rPr>
          <w:fldChar w:fldCharType="separate"/>
        </w:r>
        <w:r w:rsidR="00AE4B3C">
          <w:rPr>
            <w:webHidden/>
          </w:rPr>
          <w:t>1</w:t>
        </w:r>
        <w:r>
          <w:rPr>
            <w:webHidden/>
          </w:rPr>
          <w:fldChar w:fldCharType="end"/>
        </w:r>
      </w:hyperlink>
    </w:p>
    <w:p w14:paraId="11452763" w14:textId="1328B85E" w:rsidR="00723283" w:rsidRDefault="00723283">
      <w:pPr>
        <w:pStyle w:val="TOC1"/>
        <w:rPr>
          <w:rFonts w:eastAsiaTheme="minorEastAsia" w:cstheme="minorBidi"/>
          <w:b w:val="0"/>
          <w:color w:val="auto"/>
          <w:kern w:val="2"/>
          <w:szCs w:val="24"/>
          <w14:ligatures w14:val="standardContextual"/>
        </w:rPr>
      </w:pPr>
      <w:hyperlink w:anchor="_Toc224814222" w:history="1">
        <w:r w:rsidRPr="007A33E0">
          <w:rPr>
            <w:rStyle w:val="Hyperlink"/>
          </w:rPr>
          <w:t>Response to the recommendations</w:t>
        </w:r>
        <w:r>
          <w:rPr>
            <w:webHidden/>
          </w:rPr>
          <w:tab/>
        </w:r>
        <w:r>
          <w:rPr>
            <w:webHidden/>
          </w:rPr>
          <w:fldChar w:fldCharType="begin"/>
        </w:r>
        <w:r>
          <w:rPr>
            <w:webHidden/>
          </w:rPr>
          <w:instrText xml:space="preserve"> PAGEREF _Toc224814222 \h </w:instrText>
        </w:r>
        <w:r>
          <w:rPr>
            <w:webHidden/>
          </w:rPr>
        </w:r>
        <w:r>
          <w:rPr>
            <w:webHidden/>
          </w:rPr>
          <w:fldChar w:fldCharType="separate"/>
        </w:r>
        <w:r w:rsidR="00AE4B3C">
          <w:rPr>
            <w:webHidden/>
          </w:rPr>
          <w:t>2</w:t>
        </w:r>
        <w:r>
          <w:rPr>
            <w:webHidden/>
          </w:rPr>
          <w:fldChar w:fldCharType="end"/>
        </w:r>
      </w:hyperlink>
    </w:p>
    <w:p w14:paraId="2504C394" w14:textId="4F445748" w:rsidR="00723283" w:rsidRDefault="00723283">
      <w:pPr>
        <w:pStyle w:val="TOC2"/>
        <w:rPr>
          <w:rFonts w:eastAsiaTheme="minorEastAsia" w:cstheme="minorBidi"/>
          <w:color w:val="auto"/>
          <w:kern w:val="2"/>
          <w:sz w:val="24"/>
          <w:szCs w:val="24"/>
          <w14:ligatures w14:val="standardContextual"/>
        </w:rPr>
      </w:pPr>
      <w:hyperlink w:anchor="_Toc224814223" w:history="1">
        <w:r w:rsidRPr="007A33E0">
          <w:rPr>
            <w:rStyle w:val="Hyperlink"/>
          </w:rPr>
          <w:t>Recommendation 1</w:t>
        </w:r>
        <w:r>
          <w:rPr>
            <w:webHidden/>
          </w:rPr>
          <w:tab/>
        </w:r>
        <w:r>
          <w:rPr>
            <w:webHidden/>
          </w:rPr>
          <w:fldChar w:fldCharType="begin"/>
        </w:r>
        <w:r>
          <w:rPr>
            <w:webHidden/>
          </w:rPr>
          <w:instrText xml:space="preserve"> PAGEREF _Toc224814223 \h </w:instrText>
        </w:r>
        <w:r>
          <w:rPr>
            <w:webHidden/>
          </w:rPr>
        </w:r>
        <w:r>
          <w:rPr>
            <w:webHidden/>
          </w:rPr>
          <w:fldChar w:fldCharType="separate"/>
        </w:r>
        <w:r w:rsidR="00AE4B3C">
          <w:rPr>
            <w:webHidden/>
          </w:rPr>
          <w:t>2</w:t>
        </w:r>
        <w:r>
          <w:rPr>
            <w:webHidden/>
          </w:rPr>
          <w:fldChar w:fldCharType="end"/>
        </w:r>
      </w:hyperlink>
    </w:p>
    <w:p w14:paraId="42CFCA99" w14:textId="0EFB4D05" w:rsidR="00723283" w:rsidRDefault="00723283">
      <w:pPr>
        <w:pStyle w:val="TOC2"/>
        <w:rPr>
          <w:rFonts w:eastAsiaTheme="minorEastAsia" w:cstheme="minorBidi"/>
          <w:color w:val="auto"/>
          <w:kern w:val="2"/>
          <w:sz w:val="24"/>
          <w:szCs w:val="24"/>
          <w14:ligatures w14:val="standardContextual"/>
        </w:rPr>
      </w:pPr>
      <w:hyperlink w:anchor="_Toc224814224" w:history="1">
        <w:r w:rsidRPr="007A33E0">
          <w:rPr>
            <w:rStyle w:val="Hyperlink"/>
          </w:rPr>
          <w:t>Recommendation 2</w:t>
        </w:r>
        <w:r>
          <w:rPr>
            <w:webHidden/>
          </w:rPr>
          <w:tab/>
        </w:r>
        <w:r>
          <w:rPr>
            <w:webHidden/>
          </w:rPr>
          <w:fldChar w:fldCharType="begin"/>
        </w:r>
        <w:r>
          <w:rPr>
            <w:webHidden/>
          </w:rPr>
          <w:instrText xml:space="preserve"> PAGEREF _Toc224814224 \h </w:instrText>
        </w:r>
        <w:r>
          <w:rPr>
            <w:webHidden/>
          </w:rPr>
        </w:r>
        <w:r>
          <w:rPr>
            <w:webHidden/>
          </w:rPr>
          <w:fldChar w:fldCharType="separate"/>
        </w:r>
        <w:r w:rsidR="00AE4B3C">
          <w:rPr>
            <w:webHidden/>
          </w:rPr>
          <w:t>3</w:t>
        </w:r>
        <w:r>
          <w:rPr>
            <w:webHidden/>
          </w:rPr>
          <w:fldChar w:fldCharType="end"/>
        </w:r>
      </w:hyperlink>
    </w:p>
    <w:p w14:paraId="389C3483" w14:textId="2BB6D09C" w:rsidR="00723283" w:rsidRDefault="00723283">
      <w:pPr>
        <w:pStyle w:val="TOC2"/>
        <w:rPr>
          <w:rFonts w:eastAsiaTheme="minorEastAsia" w:cstheme="minorBidi"/>
          <w:color w:val="auto"/>
          <w:kern w:val="2"/>
          <w:sz w:val="24"/>
          <w:szCs w:val="24"/>
          <w14:ligatures w14:val="standardContextual"/>
        </w:rPr>
      </w:pPr>
      <w:hyperlink w:anchor="_Toc224814225" w:history="1">
        <w:r w:rsidRPr="007A33E0">
          <w:rPr>
            <w:rStyle w:val="Hyperlink"/>
          </w:rPr>
          <w:t>Recommendation 3</w:t>
        </w:r>
        <w:r>
          <w:rPr>
            <w:webHidden/>
          </w:rPr>
          <w:tab/>
        </w:r>
        <w:r>
          <w:rPr>
            <w:webHidden/>
          </w:rPr>
          <w:fldChar w:fldCharType="begin"/>
        </w:r>
        <w:r>
          <w:rPr>
            <w:webHidden/>
          </w:rPr>
          <w:instrText xml:space="preserve"> PAGEREF _Toc224814225 \h </w:instrText>
        </w:r>
        <w:r>
          <w:rPr>
            <w:webHidden/>
          </w:rPr>
        </w:r>
        <w:r>
          <w:rPr>
            <w:webHidden/>
          </w:rPr>
          <w:fldChar w:fldCharType="separate"/>
        </w:r>
        <w:r w:rsidR="00AE4B3C">
          <w:rPr>
            <w:webHidden/>
          </w:rPr>
          <w:t>4</w:t>
        </w:r>
        <w:r>
          <w:rPr>
            <w:webHidden/>
          </w:rPr>
          <w:fldChar w:fldCharType="end"/>
        </w:r>
      </w:hyperlink>
    </w:p>
    <w:p w14:paraId="5B9752C4" w14:textId="505B2825" w:rsidR="00723283" w:rsidRDefault="00723283">
      <w:pPr>
        <w:pStyle w:val="TOC2"/>
        <w:rPr>
          <w:rFonts w:eastAsiaTheme="minorEastAsia" w:cstheme="minorBidi"/>
          <w:color w:val="auto"/>
          <w:kern w:val="2"/>
          <w:sz w:val="24"/>
          <w:szCs w:val="24"/>
          <w14:ligatures w14:val="standardContextual"/>
        </w:rPr>
      </w:pPr>
      <w:hyperlink w:anchor="_Toc224814226" w:history="1">
        <w:r w:rsidRPr="007A33E0">
          <w:rPr>
            <w:rStyle w:val="Hyperlink"/>
          </w:rPr>
          <w:t>Recommendation 4</w:t>
        </w:r>
        <w:r>
          <w:rPr>
            <w:webHidden/>
          </w:rPr>
          <w:tab/>
        </w:r>
        <w:r>
          <w:rPr>
            <w:webHidden/>
          </w:rPr>
          <w:fldChar w:fldCharType="begin"/>
        </w:r>
        <w:r>
          <w:rPr>
            <w:webHidden/>
          </w:rPr>
          <w:instrText xml:space="preserve"> PAGEREF _Toc224814226 \h </w:instrText>
        </w:r>
        <w:r>
          <w:rPr>
            <w:webHidden/>
          </w:rPr>
        </w:r>
        <w:r>
          <w:rPr>
            <w:webHidden/>
          </w:rPr>
          <w:fldChar w:fldCharType="separate"/>
        </w:r>
        <w:r w:rsidR="00AE4B3C">
          <w:rPr>
            <w:webHidden/>
          </w:rPr>
          <w:t>4</w:t>
        </w:r>
        <w:r>
          <w:rPr>
            <w:webHidden/>
          </w:rPr>
          <w:fldChar w:fldCharType="end"/>
        </w:r>
      </w:hyperlink>
    </w:p>
    <w:p w14:paraId="574F067D" w14:textId="65FBCA8E" w:rsidR="00723283" w:rsidRDefault="00723283">
      <w:pPr>
        <w:pStyle w:val="TOC2"/>
        <w:rPr>
          <w:rFonts w:eastAsiaTheme="minorEastAsia" w:cstheme="minorBidi"/>
          <w:color w:val="auto"/>
          <w:kern w:val="2"/>
          <w:sz w:val="24"/>
          <w:szCs w:val="24"/>
          <w14:ligatures w14:val="standardContextual"/>
        </w:rPr>
      </w:pPr>
      <w:hyperlink w:anchor="_Toc224814227" w:history="1">
        <w:r w:rsidRPr="007A33E0">
          <w:rPr>
            <w:rStyle w:val="Hyperlink"/>
          </w:rPr>
          <w:t>Recommendation 5</w:t>
        </w:r>
        <w:r>
          <w:rPr>
            <w:webHidden/>
          </w:rPr>
          <w:tab/>
        </w:r>
        <w:r>
          <w:rPr>
            <w:webHidden/>
          </w:rPr>
          <w:fldChar w:fldCharType="begin"/>
        </w:r>
        <w:r>
          <w:rPr>
            <w:webHidden/>
          </w:rPr>
          <w:instrText xml:space="preserve"> PAGEREF _Toc224814227 \h </w:instrText>
        </w:r>
        <w:r>
          <w:rPr>
            <w:webHidden/>
          </w:rPr>
        </w:r>
        <w:r>
          <w:rPr>
            <w:webHidden/>
          </w:rPr>
          <w:fldChar w:fldCharType="separate"/>
        </w:r>
        <w:r w:rsidR="00AE4B3C">
          <w:rPr>
            <w:webHidden/>
          </w:rPr>
          <w:t>5</w:t>
        </w:r>
        <w:r>
          <w:rPr>
            <w:webHidden/>
          </w:rPr>
          <w:fldChar w:fldCharType="end"/>
        </w:r>
      </w:hyperlink>
    </w:p>
    <w:p w14:paraId="0DB8C8B9" w14:textId="34707BF1" w:rsidR="00723283" w:rsidRDefault="00723283">
      <w:pPr>
        <w:pStyle w:val="TOC2"/>
        <w:rPr>
          <w:rFonts w:eastAsiaTheme="minorEastAsia" w:cstheme="minorBidi"/>
          <w:color w:val="auto"/>
          <w:kern w:val="2"/>
          <w:sz w:val="24"/>
          <w:szCs w:val="24"/>
          <w14:ligatures w14:val="standardContextual"/>
        </w:rPr>
      </w:pPr>
      <w:hyperlink w:anchor="_Toc224814228" w:history="1">
        <w:r w:rsidRPr="007A33E0">
          <w:rPr>
            <w:rStyle w:val="Hyperlink"/>
          </w:rPr>
          <w:t>Recommendation 6</w:t>
        </w:r>
        <w:r>
          <w:rPr>
            <w:webHidden/>
          </w:rPr>
          <w:tab/>
        </w:r>
        <w:r>
          <w:rPr>
            <w:webHidden/>
          </w:rPr>
          <w:fldChar w:fldCharType="begin"/>
        </w:r>
        <w:r>
          <w:rPr>
            <w:webHidden/>
          </w:rPr>
          <w:instrText xml:space="preserve"> PAGEREF _Toc224814228 \h </w:instrText>
        </w:r>
        <w:r>
          <w:rPr>
            <w:webHidden/>
          </w:rPr>
        </w:r>
        <w:r>
          <w:rPr>
            <w:webHidden/>
          </w:rPr>
          <w:fldChar w:fldCharType="separate"/>
        </w:r>
        <w:r w:rsidR="00AE4B3C">
          <w:rPr>
            <w:webHidden/>
          </w:rPr>
          <w:t>6</w:t>
        </w:r>
        <w:r>
          <w:rPr>
            <w:webHidden/>
          </w:rPr>
          <w:fldChar w:fldCharType="end"/>
        </w:r>
      </w:hyperlink>
    </w:p>
    <w:p w14:paraId="3E1FEEAA" w14:textId="04F9167C" w:rsidR="00B775EE" w:rsidRPr="00E3508A" w:rsidRDefault="00723283" w:rsidP="00E3508A">
      <w:pPr>
        <w:pStyle w:val="SingleParagraph"/>
        <w:ind w:right="-2"/>
      </w:pPr>
      <w:r>
        <w:rPr>
          <w:noProof/>
          <w:color w:val="004A7F"/>
          <w:sz w:val="24"/>
          <w:szCs w:val="22"/>
        </w:rPr>
        <w:fldChar w:fldCharType="end"/>
      </w:r>
    </w:p>
    <w:p w14:paraId="7F660C7D" w14:textId="77777777" w:rsidR="004E7897" w:rsidRDefault="004E7897" w:rsidP="004E7897"/>
    <w:bookmarkEnd w:id="4"/>
    <w:bookmarkEnd w:id="5"/>
    <w:p w14:paraId="7D95B45A" w14:textId="77777777" w:rsidR="00D600CC" w:rsidRDefault="00D600CC" w:rsidP="00C47437">
      <w:pPr>
        <w:pStyle w:val="Heading1"/>
        <w:spacing w:before="0"/>
        <w:sectPr w:rsidR="00D600CC" w:rsidSect="00D600CC">
          <w:headerReference w:type="even" r:id="rId8"/>
          <w:headerReference w:type="default" r:id="rId9"/>
          <w:footerReference w:type="even" r:id="rId10"/>
          <w:footerReference w:type="default" r:id="rId11"/>
          <w:type w:val="oddPage"/>
          <w:pgSz w:w="11906" w:h="16838" w:code="9"/>
          <w:pgMar w:top="1843" w:right="1418" w:bottom="1418" w:left="1418" w:header="709" w:footer="709" w:gutter="0"/>
          <w:pgNumType w:start="1"/>
          <w:cols w:space="708"/>
          <w:docGrid w:linePitch="360"/>
        </w:sectPr>
      </w:pPr>
    </w:p>
    <w:p w14:paraId="52D8E24F" w14:textId="11224F92" w:rsidR="00475085" w:rsidRPr="00F045E0" w:rsidRDefault="00F3482D" w:rsidP="00C47437">
      <w:pPr>
        <w:pStyle w:val="Heading1"/>
        <w:spacing w:before="0"/>
      </w:pPr>
      <w:bookmarkStart w:id="6" w:name="_Toc224814221"/>
      <w:r>
        <w:lastRenderedPageBreak/>
        <w:t>Introduction</w:t>
      </w:r>
      <w:bookmarkEnd w:id="6"/>
    </w:p>
    <w:p w14:paraId="6DAB5CEB" w14:textId="3BD6EA83" w:rsidR="00B13F70" w:rsidRDefault="00B13F70" w:rsidP="00B13F70">
      <w:r>
        <w:t>The Australian Government thanks the Senate Economic References Committee for its consideration of micro-competition opportunities in e-conveyancing.</w:t>
      </w:r>
    </w:p>
    <w:p w14:paraId="62188A05" w14:textId="77777777" w:rsidR="00B13F70" w:rsidRDefault="00B13F70" w:rsidP="00B13F70">
      <w:r>
        <w:t xml:space="preserve">The Government supports progress toward a more competitive, dynamic and resilient Electronic Conveyancing (eConveyancing) market that benefits consumers, practitioners, industry participants and the broader economy. The Government recognises that competition in eConveyancing is constrained by the existing market structure, and challenges to date in delivering a functional model for interoperability. The Government considers that a more competitive market could support improved service quality, strengthen system resilience, and put downward pressure on costs and prices across the supply chain. </w:t>
      </w:r>
    </w:p>
    <w:p w14:paraId="6273DC53" w14:textId="77777777" w:rsidR="00B13F70" w:rsidRDefault="00B13F70" w:rsidP="00B13F70">
      <w:r>
        <w:t>Responsibility for regulating eConveyancing primarily rests with the states and territories. There is substantial work underway across jurisdictions, and significant resources expended to date, to develop a sustainable and competitive market structure for eConveyancing. The Commonwealth supports these efforts and recognises that ongoing cooperation between governments is necessary to achieve the best outcomes for consumers, businesses, and the wider Australian public.</w:t>
      </w:r>
    </w:p>
    <w:p w14:paraId="11D83552" w14:textId="77777777" w:rsidR="00B13F70" w:rsidRDefault="00B13F70" w:rsidP="00B13F70">
      <w:r>
        <w:t xml:space="preserve">At the same time, the Government acknowledges that significant challenges must be navigated to arrive at a more competitive market outcome. These include addressing regulatory gaps, resolving outstanding issues with interoperability models and viable alternatives, and ensuring appropriate governance and accountability arrangements across the sector. These are complex issues that remain under active consideration by governments. </w:t>
      </w:r>
    </w:p>
    <w:p w14:paraId="78E1896B" w14:textId="2E82441C" w:rsidR="00ED5A20" w:rsidRDefault="00B13F70" w:rsidP="00B13F70">
      <w:r>
        <w:t>The Government provides the following response to the Committee’s recommendations.</w:t>
      </w:r>
    </w:p>
    <w:p w14:paraId="22794DD2" w14:textId="77777777" w:rsidR="00B13F70" w:rsidRDefault="00B13F70" w:rsidP="00B13F70"/>
    <w:p w14:paraId="20F8F9F4" w14:textId="77777777" w:rsidR="00F3482D" w:rsidRPr="00F3482D" w:rsidRDefault="00F3482D" w:rsidP="00F3482D">
      <w:pPr>
        <w:sectPr w:rsidR="00F3482D" w:rsidRPr="00F3482D" w:rsidSect="00D600CC">
          <w:headerReference w:type="default" r:id="rId12"/>
          <w:footerReference w:type="default" r:id="rId13"/>
          <w:type w:val="oddPage"/>
          <w:pgSz w:w="11906" w:h="16838" w:code="9"/>
          <w:pgMar w:top="1843" w:right="1418" w:bottom="1418" w:left="1418" w:header="709" w:footer="709" w:gutter="0"/>
          <w:pgNumType w:start="1"/>
          <w:cols w:space="708"/>
          <w:docGrid w:linePitch="360"/>
        </w:sectPr>
      </w:pPr>
    </w:p>
    <w:p w14:paraId="7F5EA73C" w14:textId="3812291F" w:rsidR="00BF14F2" w:rsidRDefault="00BF14F2" w:rsidP="00B85BF0">
      <w:pPr>
        <w:pStyle w:val="Heading1"/>
        <w:spacing w:before="0"/>
      </w:pPr>
      <w:bookmarkStart w:id="7" w:name="_Toc224814222"/>
      <w:r>
        <w:lastRenderedPageBreak/>
        <w:t>Response to the recommendations</w:t>
      </w:r>
      <w:bookmarkEnd w:id="7"/>
    </w:p>
    <w:p w14:paraId="49F0EF5E" w14:textId="0ED25FA3" w:rsidR="003074FE" w:rsidRPr="00BF14F2" w:rsidRDefault="00BF14F2" w:rsidP="000141EB">
      <w:pPr>
        <w:pStyle w:val="Heading2"/>
      </w:pPr>
      <w:bookmarkStart w:id="8" w:name="_Toc224814223"/>
      <w:bookmarkStart w:id="9" w:name="_Hlk221625042"/>
      <w:r w:rsidRPr="00BF14F2">
        <w:t>Recommendation 1</w:t>
      </w:r>
      <w:bookmarkEnd w:id="8"/>
    </w:p>
    <w:tbl>
      <w:tblPr>
        <w:tblStyle w:val="BoxStyle"/>
        <w:tblW w:w="5000" w:type="pct"/>
        <w:shd w:val="clear" w:color="auto" w:fill="DFDFDF" w:themeFill="background2" w:themeFillShade="E6"/>
        <w:tblLook w:val="0620" w:firstRow="1" w:lastRow="0" w:firstColumn="0" w:lastColumn="0" w:noHBand="1" w:noVBand="1"/>
      </w:tblPr>
      <w:tblGrid>
        <w:gridCol w:w="9070"/>
      </w:tblGrid>
      <w:tr w:rsidR="00611F76" w14:paraId="3A331C6C" w14:textId="77777777" w:rsidTr="00D600CC">
        <w:tc>
          <w:tcPr>
            <w:tcW w:w="5000" w:type="pct"/>
            <w:shd w:val="clear" w:color="auto" w:fill="F2F2F2" w:themeFill="background1" w:themeFillShade="F2"/>
            <w:hideMark/>
          </w:tcPr>
          <w:p w14:paraId="6A6B8751" w14:textId="50977DBD" w:rsidR="00611F76" w:rsidRPr="000A5A4C" w:rsidRDefault="00E53140" w:rsidP="00FF489D">
            <w:pPr>
              <w:pStyle w:val="BoxText"/>
              <w:rPr>
                <w:sz w:val="22"/>
              </w:rPr>
            </w:pPr>
            <w:r w:rsidRPr="000A5A4C">
              <w:rPr>
                <w:sz w:val="22"/>
              </w:rPr>
              <w:t>The Committee recommends that the Australian Registrars’ National Electronic Conveyancing Council (ARNECC) invite the Australian Competition and Consumer Commission (ACCC) to have a permanent presence on the Council and attend its meetings regularly.</w:t>
            </w:r>
          </w:p>
        </w:tc>
      </w:tr>
    </w:tbl>
    <w:bookmarkEnd w:id="9"/>
    <w:p w14:paraId="4377A8CD" w14:textId="77777777" w:rsidR="00BC3AA7" w:rsidRDefault="00BC3AA7" w:rsidP="000141EB">
      <w:pPr>
        <w:pStyle w:val="Heading3"/>
      </w:pPr>
      <w:r w:rsidRPr="00BC3AA7">
        <w:t>Australian Government Response</w:t>
      </w:r>
    </w:p>
    <w:p w14:paraId="383539F7" w14:textId="3E6DBE82" w:rsidR="00BC3AA7" w:rsidRDefault="00BC3AA7" w:rsidP="00BC3AA7">
      <w:r>
        <w:t xml:space="preserve">The Government </w:t>
      </w:r>
      <w:r w:rsidR="00E53140">
        <w:rPr>
          <w:rStyle w:val="Strong"/>
        </w:rPr>
        <w:t>notes</w:t>
      </w:r>
      <w:r>
        <w:t xml:space="preserve"> this recommendation.</w:t>
      </w:r>
    </w:p>
    <w:p w14:paraId="18A77586" w14:textId="77777777" w:rsidR="00E53140" w:rsidRDefault="00E53140" w:rsidP="00E53140">
      <w:r>
        <w:t>While it is a matter for ARNECC to invite participation from individuals and agencies as it sees fit, the Government does not consider that making the ACCC a permanent member would materially improve ARNECC’s regulatory effectiveness or enhance the development of eConveyancing policy.</w:t>
      </w:r>
    </w:p>
    <w:p w14:paraId="2813C0BE" w14:textId="2469C457" w:rsidR="00BC3AA7" w:rsidRPr="00BC3AA7" w:rsidRDefault="00E53140" w:rsidP="00E53140">
      <w:r>
        <w:t xml:space="preserve">The ACCC has no formal role in relation to Conveyancing beyond its normal functions administering the </w:t>
      </w:r>
      <w:r w:rsidRPr="00804717">
        <w:rPr>
          <w:rStyle w:val="Emphasis"/>
        </w:rPr>
        <w:t>Competition and Consumer Act 2010</w:t>
      </w:r>
      <w:r>
        <w:t xml:space="preserve"> (CCA). The ACCC, alongside Council of Financial Regulators (CFR) member agencies, engages with ARNECC through regular cross agency meetings, as well as through ad-hoc senior engagement. Through these engagement mechanisms, the ACCC can continue to provide advice to promote effective competition and regulation in eConveyancing, as appropriate, and consider potential breaches of the CCA. Permanent ACCC membership within ARNECC would likely increase resourcing requirements for the ACCC without materially improving its ability to provide advice or undertake its statutory </w:t>
      </w:r>
      <w:r w:rsidR="00804717">
        <w:t>functions.</w:t>
      </w:r>
    </w:p>
    <w:p w14:paraId="6E65B396" w14:textId="77777777" w:rsidR="00804717" w:rsidRPr="00804717" w:rsidRDefault="00804717" w:rsidP="00804717">
      <w:bookmarkStart w:id="10" w:name="_Hlk221625289"/>
      <w:r>
        <w:br w:type="page"/>
      </w:r>
    </w:p>
    <w:p w14:paraId="052B3873" w14:textId="7F189DAB" w:rsidR="00BC3AA7" w:rsidRPr="00BC3AA7" w:rsidRDefault="00BC3AA7" w:rsidP="000141EB">
      <w:pPr>
        <w:pStyle w:val="Heading2"/>
      </w:pPr>
      <w:bookmarkStart w:id="11" w:name="_Toc224814224"/>
      <w:r w:rsidRPr="00BC3AA7">
        <w:lastRenderedPageBreak/>
        <w:t xml:space="preserve">Recommendation </w:t>
      </w:r>
      <w:r>
        <w:t>2</w:t>
      </w:r>
      <w:bookmarkEnd w:id="11"/>
    </w:p>
    <w:tbl>
      <w:tblPr>
        <w:tblStyle w:val="BoxStyle"/>
        <w:tblW w:w="5000" w:type="pct"/>
        <w:shd w:val="clear" w:color="auto" w:fill="DFDFDF" w:themeFill="background2" w:themeFillShade="E6"/>
        <w:tblLook w:val="0620" w:firstRow="1" w:lastRow="0" w:firstColumn="0" w:lastColumn="0" w:noHBand="1" w:noVBand="1"/>
      </w:tblPr>
      <w:tblGrid>
        <w:gridCol w:w="9070"/>
      </w:tblGrid>
      <w:tr w:rsidR="00BC3AA7" w:rsidRPr="00BC3AA7" w14:paraId="24E86399" w14:textId="77777777" w:rsidTr="00D600CC">
        <w:tc>
          <w:tcPr>
            <w:tcW w:w="5000" w:type="pct"/>
            <w:shd w:val="clear" w:color="auto" w:fill="F2F2F2" w:themeFill="background1" w:themeFillShade="F2"/>
            <w:hideMark/>
          </w:tcPr>
          <w:p w14:paraId="14FA15BD" w14:textId="7828BFBE" w:rsidR="00804717" w:rsidRPr="001247AA" w:rsidRDefault="00804717" w:rsidP="001247AA">
            <w:pPr>
              <w:pStyle w:val="BoxText"/>
              <w:rPr>
                <w:sz w:val="22"/>
              </w:rPr>
            </w:pPr>
            <w:r w:rsidRPr="001247AA">
              <w:rPr>
                <w:sz w:val="22"/>
              </w:rPr>
              <w:t>The Committee recommends that following the release of the Australian Registrars’ National Electronic Conveyancing Council reviews:</w:t>
            </w:r>
          </w:p>
          <w:p w14:paraId="5920C182" w14:textId="7DDC57C2" w:rsidR="00804717" w:rsidRPr="00162FC8" w:rsidRDefault="00804717" w:rsidP="00162FC8">
            <w:pPr>
              <w:pStyle w:val="Boxbullet"/>
              <w:rPr>
                <w:sz w:val="22"/>
              </w:rPr>
            </w:pPr>
            <w:r w:rsidRPr="00162FC8">
              <w:rPr>
                <w:sz w:val="22"/>
              </w:rPr>
              <w:t>the Australian Competition and Consumer Commission investigate the e-conveyancing market and report on its findings to both the Treasurer and the Assistant Minister for Competition, Charities and Treasury within six months as to whether further action is required in the e-conveyancing sector; and</w:t>
            </w:r>
          </w:p>
          <w:p w14:paraId="662141DB" w14:textId="6A62AEC3" w:rsidR="00BC3AA7" w:rsidRPr="00BC3AA7" w:rsidRDefault="00804717" w:rsidP="00162FC8">
            <w:pPr>
              <w:pStyle w:val="Boxbullet"/>
            </w:pPr>
            <w:r w:rsidRPr="00162FC8">
              <w:rPr>
                <w:sz w:val="22"/>
              </w:rPr>
              <w:t>the Australian Competition and Consumer Commission publish the report of its findings, to be tabled in the Senate within fifteen sitting days.</w:t>
            </w:r>
          </w:p>
        </w:tc>
      </w:tr>
    </w:tbl>
    <w:bookmarkEnd w:id="10"/>
    <w:p w14:paraId="79D09F5C" w14:textId="77777777" w:rsidR="00BC3AA7" w:rsidRPr="00BC3AA7" w:rsidRDefault="00BC3AA7" w:rsidP="000141EB">
      <w:pPr>
        <w:pStyle w:val="Heading3"/>
      </w:pPr>
      <w:r w:rsidRPr="00BC3AA7">
        <w:t>Australian Government Response</w:t>
      </w:r>
    </w:p>
    <w:p w14:paraId="537E7792" w14:textId="77777777" w:rsidR="00BC3AA7" w:rsidRPr="0058437F" w:rsidRDefault="00BC3AA7" w:rsidP="0058437F">
      <w:r w:rsidRPr="0058437F">
        <w:t xml:space="preserve">The Government </w:t>
      </w:r>
      <w:r w:rsidRPr="0058437F">
        <w:rPr>
          <w:rStyle w:val="Strong"/>
        </w:rPr>
        <w:t>does not support</w:t>
      </w:r>
      <w:r w:rsidRPr="0058437F">
        <w:t xml:space="preserve"> this recommendation.</w:t>
      </w:r>
    </w:p>
    <w:p w14:paraId="43C48FAA" w14:textId="4C562EC9" w:rsidR="00804717" w:rsidRDefault="00804717" w:rsidP="00804717">
      <w:r>
        <w:t>The Government recognises that section 95H of the CCA allows the relevant Minister to direct the ACCC to hold an inquiry into a specified matter or specified matters.</w:t>
      </w:r>
    </w:p>
    <w:p w14:paraId="38FF9D29" w14:textId="4D5AF63B" w:rsidR="00BC3AA7" w:rsidRDefault="00804717" w:rsidP="00804717">
      <w:r>
        <w:t xml:space="preserve">The Government notes that substantial work is already underway to address competition and interoperability issues in eConveyancing. ARNECC has recently finalised and published reports for two of its three strategic reviews on interoperability. ARNECC is also working to finalise its third review, which focuses on the eConveyancing regulatory framework. Relevant Commonwealth regulators are actively contributing to this work. </w:t>
      </w:r>
      <w:proofErr w:type="gramStart"/>
      <w:r>
        <w:t>A</w:t>
      </w:r>
      <w:proofErr w:type="gramEnd"/>
      <w:r>
        <w:t xml:space="preserve"> NSW Select Committee inquiry into competition reforms in eConveyancing is currently examining many of the same issues.</w:t>
      </w:r>
    </w:p>
    <w:p w14:paraId="29582C3A" w14:textId="77777777" w:rsidR="008F1BAE" w:rsidRDefault="008F1BAE" w:rsidP="008F1BAE">
      <w:r>
        <w:t xml:space="preserve">Collectively, these and other related processes have identified and explored the key competition and market structure concerns in the </w:t>
      </w:r>
      <w:proofErr w:type="gramStart"/>
      <w:r>
        <w:t>sector, and</w:t>
      </w:r>
      <w:proofErr w:type="gramEnd"/>
      <w:r>
        <w:t xml:space="preserve"> have provided a detailed and well developed evidence base of where the major frictions arise.</w:t>
      </w:r>
    </w:p>
    <w:p w14:paraId="7ED9955A" w14:textId="36A585F0" w:rsidR="008F1BAE" w:rsidRPr="0058437F" w:rsidRDefault="008F1BAE" w:rsidP="008F1BAE">
      <w:r>
        <w:t>Considering the extensive work underway and already completed, the Government does not consider that directing the ACCC to undertake an inquiry at this time would materially advance understanding of the issues or deliver additional practical benefits. It is not clear that a further inquiry would provide new insights beyond those already being examined through existing regulatory, policy and parliamentary processes.</w:t>
      </w:r>
    </w:p>
    <w:p w14:paraId="489F1865" w14:textId="77777777" w:rsidR="00027C8A" w:rsidRDefault="00027C8A">
      <w:pPr>
        <w:spacing w:before="0" w:after="160" w:line="259" w:lineRule="auto"/>
        <w:rPr>
          <w:rFonts w:asciiTheme="majorHAnsi" w:hAnsiTheme="majorHAnsi" w:cs="Arial"/>
          <w:color w:val="5F5F5F" w:themeColor="accent5"/>
          <w:kern w:val="32"/>
          <w:sz w:val="36"/>
          <w:szCs w:val="26"/>
        </w:rPr>
      </w:pPr>
      <w:bookmarkStart w:id="12" w:name="_Hlk221625538"/>
      <w:r>
        <w:br w:type="page"/>
      </w:r>
    </w:p>
    <w:p w14:paraId="059C0C74" w14:textId="0603534B" w:rsidR="0058437F" w:rsidRPr="00BC3AA7" w:rsidRDefault="0058437F" w:rsidP="000141EB">
      <w:pPr>
        <w:pStyle w:val="Heading2"/>
      </w:pPr>
      <w:bookmarkStart w:id="13" w:name="_Toc224814225"/>
      <w:r w:rsidRPr="00BC3AA7">
        <w:lastRenderedPageBreak/>
        <w:t xml:space="preserve">Recommendation </w:t>
      </w:r>
      <w:r w:rsidR="008F1BAE">
        <w:t>3</w:t>
      </w:r>
      <w:bookmarkEnd w:id="13"/>
    </w:p>
    <w:tbl>
      <w:tblPr>
        <w:tblStyle w:val="BoxStyle"/>
        <w:tblW w:w="5000" w:type="pct"/>
        <w:shd w:val="clear" w:color="auto" w:fill="DFDFDF" w:themeFill="background2" w:themeFillShade="E6"/>
        <w:tblLook w:val="0620" w:firstRow="1" w:lastRow="0" w:firstColumn="0" w:lastColumn="0" w:noHBand="1" w:noVBand="1"/>
      </w:tblPr>
      <w:tblGrid>
        <w:gridCol w:w="9070"/>
      </w:tblGrid>
      <w:tr w:rsidR="0058437F" w:rsidRPr="00BC3AA7" w14:paraId="7A89437A" w14:textId="77777777" w:rsidTr="00D600CC">
        <w:tc>
          <w:tcPr>
            <w:tcW w:w="5000" w:type="pct"/>
            <w:shd w:val="clear" w:color="auto" w:fill="F2F2F2" w:themeFill="background1" w:themeFillShade="F2"/>
            <w:hideMark/>
          </w:tcPr>
          <w:p w14:paraId="13665275" w14:textId="6298199C" w:rsidR="00027C8A" w:rsidRPr="00FF489D" w:rsidRDefault="0058437F" w:rsidP="00FF489D">
            <w:pPr>
              <w:pStyle w:val="BoxText"/>
              <w:rPr>
                <w:sz w:val="22"/>
              </w:rPr>
            </w:pPr>
            <w:r w:rsidRPr="00FF489D">
              <w:rPr>
                <w:sz w:val="22"/>
              </w:rPr>
              <w:t>The</w:t>
            </w:r>
            <w:r w:rsidR="00027C8A" w:rsidRPr="00FF489D">
              <w:rPr>
                <w:sz w:val="22"/>
              </w:rPr>
              <w:t xml:space="preserve"> Committee recommends that:</w:t>
            </w:r>
          </w:p>
          <w:p w14:paraId="57760694" w14:textId="2509606F" w:rsidR="00027C8A" w:rsidRPr="00162FC8" w:rsidRDefault="00027C8A" w:rsidP="00162FC8">
            <w:pPr>
              <w:pStyle w:val="Boxbullet"/>
              <w:rPr>
                <w:sz w:val="22"/>
              </w:rPr>
            </w:pPr>
            <w:r w:rsidRPr="00162FC8">
              <w:rPr>
                <w:sz w:val="22"/>
              </w:rPr>
              <w:t>the Australian Registrar’s National Electronic Conveyancing Council make the Financial Requirements Review and the Cost Benefit Analysis publicly available; and</w:t>
            </w:r>
          </w:p>
          <w:p w14:paraId="4E96640E" w14:textId="4B7EF3B5" w:rsidR="00BC3AA7" w:rsidRPr="00BC3AA7" w:rsidRDefault="00027C8A" w:rsidP="00162FC8">
            <w:pPr>
              <w:pStyle w:val="Boxbullet"/>
            </w:pPr>
            <w:r w:rsidRPr="00162FC8">
              <w:rPr>
                <w:sz w:val="22"/>
              </w:rPr>
              <w:t>if public release is not possible, then a summary of key findings and recommendations be provided to the Australian Competition and Consumer Commission, the Treasurer, the Assistant Minister for Competition, Charities and Treasury and tabled in the Senate fifteen sitting days from receipt</w:t>
            </w:r>
            <w:r w:rsidR="0058437F" w:rsidRPr="00162FC8">
              <w:rPr>
                <w:sz w:val="22"/>
              </w:rPr>
              <w:t>.</w:t>
            </w:r>
          </w:p>
        </w:tc>
      </w:tr>
    </w:tbl>
    <w:bookmarkEnd w:id="12"/>
    <w:p w14:paraId="0C8B6BDE" w14:textId="70CE79F4" w:rsidR="00BC3AA7" w:rsidRDefault="0058437F" w:rsidP="000141EB">
      <w:pPr>
        <w:pStyle w:val="Heading3"/>
      </w:pPr>
      <w:r w:rsidRPr="0058437F">
        <w:t>Australian Government Response</w:t>
      </w:r>
    </w:p>
    <w:p w14:paraId="201C300C" w14:textId="64FC7855" w:rsidR="0058437F" w:rsidRDefault="0058437F" w:rsidP="0058437F">
      <w:r>
        <w:t xml:space="preserve">The Government </w:t>
      </w:r>
      <w:r w:rsidRPr="00FE23D5">
        <w:rPr>
          <w:rStyle w:val="Strong"/>
        </w:rPr>
        <w:t>supports</w:t>
      </w:r>
      <w:r>
        <w:t xml:space="preserve"> this recommendation.</w:t>
      </w:r>
    </w:p>
    <w:p w14:paraId="2D644B5D" w14:textId="3B45A1B7" w:rsidR="000141EB" w:rsidRDefault="000141EB" w:rsidP="0058437F">
      <w:r w:rsidRPr="006B0443">
        <w:t xml:space="preserve">The Government notes </w:t>
      </w:r>
      <w:r>
        <w:t>ARNECC published these</w:t>
      </w:r>
      <w:r w:rsidRPr="006B0443">
        <w:t xml:space="preserve"> reports on 23</w:t>
      </w:r>
      <w:r w:rsidR="00556C44">
        <w:t> </w:t>
      </w:r>
      <w:r w:rsidRPr="006B0443">
        <w:t>December</w:t>
      </w:r>
      <w:r w:rsidR="00556C44">
        <w:t> </w:t>
      </w:r>
      <w:r w:rsidRPr="006B0443">
        <w:t>2025</w:t>
      </w:r>
    </w:p>
    <w:p w14:paraId="1C8E6DB7" w14:textId="2C2C3C58" w:rsidR="00371FF8" w:rsidRPr="00BC3AA7" w:rsidRDefault="00371FF8" w:rsidP="000141EB">
      <w:pPr>
        <w:pStyle w:val="Heading2"/>
      </w:pPr>
      <w:bookmarkStart w:id="14" w:name="_Toc224814226"/>
      <w:bookmarkStart w:id="15" w:name="_Hlk221625690"/>
      <w:r w:rsidRPr="00BC3AA7">
        <w:t xml:space="preserve">Recommendation </w:t>
      </w:r>
      <w:r w:rsidR="008E2D5A">
        <w:t>4</w:t>
      </w:r>
      <w:bookmarkEnd w:id="14"/>
    </w:p>
    <w:tbl>
      <w:tblPr>
        <w:tblStyle w:val="BoxStyle"/>
        <w:tblW w:w="5000" w:type="pct"/>
        <w:shd w:val="clear" w:color="auto" w:fill="DFDFDF" w:themeFill="background2" w:themeFillShade="E6"/>
        <w:tblLook w:val="0620" w:firstRow="1" w:lastRow="0" w:firstColumn="0" w:lastColumn="0" w:noHBand="1" w:noVBand="1"/>
      </w:tblPr>
      <w:tblGrid>
        <w:gridCol w:w="9070"/>
      </w:tblGrid>
      <w:tr w:rsidR="00371FF8" w:rsidRPr="00BC3AA7" w14:paraId="555781E5" w14:textId="77777777" w:rsidTr="00D600CC">
        <w:tc>
          <w:tcPr>
            <w:tcW w:w="5000" w:type="pct"/>
            <w:shd w:val="clear" w:color="auto" w:fill="F2F2F2" w:themeFill="background1" w:themeFillShade="F2"/>
            <w:hideMark/>
          </w:tcPr>
          <w:p w14:paraId="1F13CACB" w14:textId="1BC046A3" w:rsidR="00371FF8" w:rsidRPr="000A5A4C" w:rsidRDefault="00371FF8" w:rsidP="00FF489D">
            <w:pPr>
              <w:pStyle w:val="BoxText"/>
              <w:rPr>
                <w:sz w:val="22"/>
              </w:rPr>
            </w:pPr>
            <w:r w:rsidRPr="000A5A4C">
              <w:rPr>
                <w:sz w:val="22"/>
              </w:rPr>
              <w:t>The</w:t>
            </w:r>
            <w:r w:rsidR="008E2D5A" w:rsidRPr="000A5A4C">
              <w:rPr>
                <w:sz w:val="22"/>
              </w:rPr>
              <w:t xml:space="preserve"> Committee recommends that, </w:t>
            </w:r>
            <w:proofErr w:type="gramStart"/>
            <w:r w:rsidR="008E2D5A" w:rsidRPr="000A5A4C">
              <w:rPr>
                <w:sz w:val="22"/>
              </w:rPr>
              <w:t>in the event that</w:t>
            </w:r>
            <w:proofErr w:type="gramEnd"/>
            <w:r w:rsidR="008E2D5A" w:rsidRPr="000A5A4C">
              <w:rPr>
                <w:sz w:val="22"/>
              </w:rPr>
              <w:t xml:space="preserve"> interoperability is not pursued after reviews by the Australian Registrars’ National Electronic Conveyancing Council are completed, the Australian Government should review what other initiatives might be taken to ensure the reliability and resilience of the e-conveyancing sector</w:t>
            </w:r>
            <w:r w:rsidRPr="000A5A4C">
              <w:rPr>
                <w:sz w:val="22"/>
              </w:rPr>
              <w:t>.</w:t>
            </w:r>
          </w:p>
        </w:tc>
      </w:tr>
    </w:tbl>
    <w:bookmarkEnd w:id="15"/>
    <w:p w14:paraId="1658F29E" w14:textId="5EB340E8" w:rsidR="00371FF8" w:rsidRDefault="002E05A6" w:rsidP="008E2D5A">
      <w:pPr>
        <w:pStyle w:val="Heading3"/>
      </w:pPr>
      <w:r w:rsidRPr="002E05A6">
        <w:t>Australian Government Response</w:t>
      </w:r>
    </w:p>
    <w:p w14:paraId="64B0F54E" w14:textId="29E72952" w:rsidR="002E05A6" w:rsidRDefault="002E05A6" w:rsidP="002E05A6">
      <w:r>
        <w:t xml:space="preserve">The Government </w:t>
      </w:r>
      <w:r w:rsidR="008E2D5A" w:rsidRPr="008E2D5A">
        <w:rPr>
          <w:rStyle w:val="Strong"/>
        </w:rPr>
        <w:t xml:space="preserve">supports in principle </w:t>
      </w:r>
      <w:r>
        <w:t>this recommendation.</w:t>
      </w:r>
    </w:p>
    <w:p w14:paraId="172E24CE" w14:textId="37C1D845" w:rsidR="002E05A6" w:rsidRDefault="002E05A6" w:rsidP="00D53342">
      <w:r>
        <w:t>The</w:t>
      </w:r>
      <w:r w:rsidR="00D53342" w:rsidRPr="00D53342">
        <w:t xml:space="preserve"> Government will continue to work with state and territory governments through ARNECC and relevant ministerial forums to support the development of regulatory and market models that address key risks and maximise net public benefits. This includes engaging with ARNECC as it progresses its current review and follow on actions, and considering how Commonwealth expertise, particularly in competition law and policy, payments regulation, financial services, and consumer protection can constructively complement state and territory regulatory responsibilities.</w:t>
      </w:r>
      <w:r>
        <w:t xml:space="preserve"> </w:t>
      </w:r>
    </w:p>
    <w:p w14:paraId="68DEABB1" w14:textId="3F94557C" w:rsidR="00556C44" w:rsidRDefault="00D53342" w:rsidP="00A01CE4">
      <w:r w:rsidRPr="00D53342">
        <w:t>The findings of ARNECC’s regulatory governance review, due later this year, will provide a clearer picture of the coverage and gaps in eConveyancing regulation. The Government remains open to considering appropriate regulatory and non-regulatory roles for the Commonwealth, where such</w:t>
      </w:r>
      <w:r w:rsidR="0016687B">
        <w:t xml:space="preserve"> </w:t>
      </w:r>
      <w:r w:rsidR="0016687B" w:rsidRPr="00FA20B0">
        <w:t xml:space="preserve">involvement would </w:t>
      </w:r>
      <w:r w:rsidR="0016687B">
        <w:t>be in the public interest</w:t>
      </w:r>
      <w:r w:rsidR="0016687B" w:rsidRPr="00FA20B0">
        <w:t xml:space="preserve"> </w:t>
      </w:r>
      <w:r w:rsidR="0016687B">
        <w:t xml:space="preserve">and </w:t>
      </w:r>
      <w:r w:rsidR="0016687B" w:rsidRPr="00FA20B0">
        <w:t xml:space="preserve">enhance system resilience, support effective competition, </w:t>
      </w:r>
      <w:r w:rsidR="0016687B">
        <w:t>and</w:t>
      </w:r>
      <w:r w:rsidR="0016687B" w:rsidRPr="00FA20B0">
        <w:t xml:space="preserve"> address issues that states and territories cannot practically resolve alone</w:t>
      </w:r>
      <w:r w:rsidR="0016687B">
        <w:t>.</w:t>
      </w:r>
    </w:p>
    <w:p w14:paraId="1294F4CB" w14:textId="0A3330AA" w:rsidR="00DF09CA" w:rsidRDefault="00DF09CA" w:rsidP="00DF09CA">
      <w:r>
        <w:lastRenderedPageBreak/>
        <w:t>ARNECC has an existing framework for overseeing the performance levels of Electronic Lodgment Network Operators (ELNO) under its Model Operating Requirements (MOR), which set minimum standards of service availability and reliability, system performance (including resilience) and incident management. State and territory registrars determine Operating Requirements for their respective jurisdiction based on the MOR developed by ARNECC. ARNECC regularly monitors ELNOs’ performance with these requirements.</w:t>
      </w:r>
    </w:p>
    <w:p w14:paraId="6C815906" w14:textId="777FBCA0" w:rsidR="00DF09CA" w:rsidRDefault="00DF09CA" w:rsidP="00DF09CA">
      <w:r>
        <w:t>The Government supports ARNECC conducting a review of how it can uplift existing data and reporting practices through its MOR to improve transparency and thereby strengthen reliability and resilience of ELNO systems.</w:t>
      </w:r>
    </w:p>
    <w:p w14:paraId="45A7DDE3" w14:textId="16D3FA7B" w:rsidR="00B66D8C" w:rsidRPr="00BC3AA7" w:rsidRDefault="00B66D8C" w:rsidP="00CF6B46">
      <w:pPr>
        <w:pStyle w:val="Heading2"/>
      </w:pPr>
      <w:bookmarkStart w:id="16" w:name="_Toc224814227"/>
      <w:r w:rsidRPr="00BC3AA7">
        <w:t xml:space="preserve">Recommendation </w:t>
      </w:r>
      <w:r w:rsidR="00CF6B46">
        <w:t>5</w:t>
      </w:r>
      <w:bookmarkEnd w:id="16"/>
    </w:p>
    <w:tbl>
      <w:tblPr>
        <w:tblStyle w:val="BoxStyle"/>
        <w:tblW w:w="5000" w:type="pct"/>
        <w:shd w:val="clear" w:color="auto" w:fill="DFDFDF" w:themeFill="background2" w:themeFillShade="E6"/>
        <w:tblLook w:val="0620" w:firstRow="1" w:lastRow="0" w:firstColumn="0" w:lastColumn="0" w:noHBand="1" w:noVBand="1"/>
      </w:tblPr>
      <w:tblGrid>
        <w:gridCol w:w="9070"/>
      </w:tblGrid>
      <w:tr w:rsidR="00B66D8C" w:rsidRPr="00BC3AA7" w14:paraId="736D1CF8" w14:textId="77777777" w:rsidTr="00D600CC">
        <w:tc>
          <w:tcPr>
            <w:tcW w:w="5000" w:type="pct"/>
            <w:shd w:val="clear" w:color="auto" w:fill="F2F2F2" w:themeFill="background1" w:themeFillShade="F2"/>
            <w:hideMark/>
          </w:tcPr>
          <w:p w14:paraId="53F83098" w14:textId="42FBED4A" w:rsidR="00B66D8C" w:rsidRPr="00121AC5" w:rsidRDefault="00B66D8C" w:rsidP="00121AC5">
            <w:pPr>
              <w:pStyle w:val="BoxText"/>
              <w:rPr>
                <w:sz w:val="22"/>
              </w:rPr>
            </w:pPr>
            <w:r w:rsidRPr="00121AC5">
              <w:rPr>
                <w:sz w:val="22"/>
              </w:rPr>
              <w:t>The</w:t>
            </w:r>
            <w:r w:rsidR="00CF6B46" w:rsidRPr="00121AC5">
              <w:rPr>
                <w:sz w:val="22"/>
              </w:rPr>
              <w:t xml:space="preserve"> Committee recommends, regardless of the finding of the Australian Competition and Consumer Commission on whether any further action is required, that national competition policy (NCP) reforms by the Australian Government consider e-conveyancing in a future</w:t>
            </w:r>
            <w:r w:rsidR="000A5A4C" w:rsidRPr="00121AC5">
              <w:rPr>
                <w:sz w:val="22"/>
              </w:rPr>
              <w:t> </w:t>
            </w:r>
            <w:r w:rsidR="00CF6B46" w:rsidRPr="00121AC5">
              <w:rPr>
                <w:sz w:val="22"/>
              </w:rPr>
              <w:t>tranche</w:t>
            </w:r>
            <w:r w:rsidRPr="00121AC5">
              <w:rPr>
                <w:sz w:val="22"/>
              </w:rPr>
              <w:t>.</w:t>
            </w:r>
          </w:p>
        </w:tc>
      </w:tr>
    </w:tbl>
    <w:p w14:paraId="477317C1" w14:textId="2E420543" w:rsidR="00B66D8C" w:rsidRDefault="00B66D8C" w:rsidP="0000792E">
      <w:pPr>
        <w:pStyle w:val="Heading3"/>
      </w:pPr>
      <w:r w:rsidRPr="00B66D8C">
        <w:t>Australian Government Response</w:t>
      </w:r>
    </w:p>
    <w:p w14:paraId="1E4B07FD" w14:textId="3E5EB37E" w:rsidR="00B66D8C" w:rsidRDefault="00B66D8C" w:rsidP="00B66D8C">
      <w:r>
        <w:t xml:space="preserve">The Government </w:t>
      </w:r>
      <w:r w:rsidR="00CF6B46">
        <w:rPr>
          <w:rStyle w:val="Strong"/>
        </w:rPr>
        <w:t>notes</w:t>
      </w:r>
      <w:r>
        <w:t xml:space="preserve"> this recommendation.</w:t>
      </w:r>
    </w:p>
    <w:p w14:paraId="52EF8655" w14:textId="15BC7992" w:rsidR="00CF6B46" w:rsidRDefault="00CF6B46" w:rsidP="00CF6B46">
      <w:r>
        <w:t>The Government works collaboratively with states and territories to scope and develop reform proposals that can progress under the NCP framework. Governments, via the Council on Federal Financial Relations (CFFR) agree to NCP reforms under a Federation Funding Agreement (FFA) Schedule.</w:t>
      </w:r>
    </w:p>
    <w:p w14:paraId="3342FB3D" w14:textId="4A01543A" w:rsidR="00B66D8C" w:rsidRDefault="00CF6B46" w:rsidP="00CF6B46">
      <w:r>
        <w:t xml:space="preserve">NCP aims to progress reforms that reflect national priorities and will facilitate effective competition across Australia’s economy to promote efficiency and productivity growth to sustainably improve living standards and opportunities for Australians. Reforms must align with one or more of the objectives outlined in the NCP FFA schedule, which </w:t>
      </w:r>
      <w:r w:rsidRPr="00CF6B46">
        <w:rPr>
          <w:rStyle w:val="Emphasis"/>
        </w:rPr>
        <w:t>include promoting a more dynamic business environment and leveraging the economic opportunities of data and digital technology.</w:t>
      </w:r>
      <w:r>
        <w:t xml:space="preserve"> The Government will work with state and territory Governments through the NCP governance framework to consider whether there are eConveyancing reforms suitable to progress through NCP.</w:t>
      </w:r>
    </w:p>
    <w:p w14:paraId="279420C3" w14:textId="77777777" w:rsidR="008D0FE5" w:rsidRPr="003579F5" w:rsidRDefault="008D0FE5" w:rsidP="003579F5">
      <w:r>
        <w:br w:type="page"/>
      </w:r>
    </w:p>
    <w:p w14:paraId="0B1CF4D5" w14:textId="143275A1" w:rsidR="008D0FE5" w:rsidRPr="00BC3AA7" w:rsidRDefault="008D0FE5" w:rsidP="008D0FE5">
      <w:pPr>
        <w:pStyle w:val="Heading2"/>
      </w:pPr>
      <w:bookmarkStart w:id="17" w:name="_Toc224814228"/>
      <w:r w:rsidRPr="00BC3AA7">
        <w:lastRenderedPageBreak/>
        <w:t xml:space="preserve">Recommendation </w:t>
      </w:r>
      <w:r>
        <w:t>6</w:t>
      </w:r>
      <w:bookmarkEnd w:id="17"/>
    </w:p>
    <w:tbl>
      <w:tblPr>
        <w:tblStyle w:val="BoxStyle"/>
        <w:tblW w:w="5000" w:type="pct"/>
        <w:shd w:val="clear" w:color="auto" w:fill="DFDFDF" w:themeFill="background2" w:themeFillShade="E6"/>
        <w:tblLook w:val="0620" w:firstRow="1" w:lastRow="0" w:firstColumn="0" w:lastColumn="0" w:noHBand="1" w:noVBand="1"/>
      </w:tblPr>
      <w:tblGrid>
        <w:gridCol w:w="9070"/>
      </w:tblGrid>
      <w:tr w:rsidR="008D0FE5" w:rsidRPr="00BC3AA7" w14:paraId="3E664C5D" w14:textId="77777777" w:rsidTr="00124BA7">
        <w:tc>
          <w:tcPr>
            <w:tcW w:w="5000" w:type="pct"/>
            <w:shd w:val="clear" w:color="auto" w:fill="F2F2F2" w:themeFill="background1" w:themeFillShade="F2"/>
            <w:hideMark/>
          </w:tcPr>
          <w:p w14:paraId="70E93A16" w14:textId="36352DB5" w:rsidR="008D0FE5" w:rsidRPr="000A5A4C" w:rsidRDefault="008D0FE5" w:rsidP="00FF489D">
            <w:pPr>
              <w:pStyle w:val="BoxText"/>
              <w:rPr>
                <w:sz w:val="22"/>
              </w:rPr>
            </w:pPr>
            <w:r w:rsidRPr="000A5A4C">
              <w:rPr>
                <w:sz w:val="22"/>
              </w:rPr>
              <w:t>The Committee recommends that the Australian Prudential Regulation Authority prioritise the auditing of banking institutions compliance with Prudential Standard Cross-industry Prudential Standard 230 and to publish a report of its findings in an e-conveyancing context by 30</w:t>
            </w:r>
            <w:r w:rsidR="000A5A4C">
              <w:rPr>
                <w:sz w:val="22"/>
              </w:rPr>
              <w:t> </w:t>
            </w:r>
            <w:r w:rsidRPr="000A5A4C">
              <w:rPr>
                <w:sz w:val="22"/>
              </w:rPr>
              <w:t>June</w:t>
            </w:r>
            <w:r w:rsidR="000A5A4C">
              <w:rPr>
                <w:sz w:val="22"/>
              </w:rPr>
              <w:t> </w:t>
            </w:r>
            <w:r w:rsidRPr="000A5A4C">
              <w:rPr>
                <w:sz w:val="22"/>
              </w:rPr>
              <w:t>2026.</w:t>
            </w:r>
          </w:p>
        </w:tc>
      </w:tr>
    </w:tbl>
    <w:p w14:paraId="758C54B0" w14:textId="77777777" w:rsidR="008D0FE5" w:rsidRDefault="008D0FE5" w:rsidP="0000792E">
      <w:pPr>
        <w:pStyle w:val="Heading3"/>
      </w:pPr>
      <w:r w:rsidRPr="00B66D8C">
        <w:t>Australian Government Response</w:t>
      </w:r>
    </w:p>
    <w:p w14:paraId="2399DA07" w14:textId="77777777" w:rsidR="008D0FE5" w:rsidRDefault="008D0FE5" w:rsidP="008D0FE5">
      <w:r>
        <w:t xml:space="preserve">The Government </w:t>
      </w:r>
      <w:r>
        <w:rPr>
          <w:rStyle w:val="Strong"/>
        </w:rPr>
        <w:t>notes</w:t>
      </w:r>
      <w:r>
        <w:t xml:space="preserve"> this recommendation.</w:t>
      </w:r>
    </w:p>
    <w:p w14:paraId="198878CA" w14:textId="2D5128D4" w:rsidR="00DA4572" w:rsidRDefault="008D0FE5" w:rsidP="00DA4572">
      <w:r>
        <w:t>The</w:t>
      </w:r>
      <w:r w:rsidR="00DA4572">
        <w:t xml:space="preserve"> Government recognises the importance of operational resilience across the financial system.</w:t>
      </w:r>
      <w:r w:rsidR="00F378CB">
        <w:t xml:space="preserve"> </w:t>
      </w:r>
      <w:r w:rsidR="00DA4572">
        <w:t xml:space="preserve">The Australian Prudential Regulation Authority’s (APRA) mandate under the </w:t>
      </w:r>
      <w:r w:rsidR="00DA4572" w:rsidRPr="00407DC5">
        <w:rPr>
          <w:rStyle w:val="Emphasis"/>
        </w:rPr>
        <w:t>Australian Prudential Regulation Authority Act 1998</w:t>
      </w:r>
      <w:r w:rsidR="00DA4572">
        <w:t xml:space="preserve"> and the </w:t>
      </w:r>
      <w:r w:rsidR="00DA4572" w:rsidRPr="00407DC5">
        <w:rPr>
          <w:rStyle w:val="Emphasis"/>
        </w:rPr>
        <w:t>Banking Act 1959</w:t>
      </w:r>
      <w:r w:rsidR="00DA4572">
        <w:t xml:space="preserve"> is to promote the safety and stability of regulated entities through a risk-based, system-wide prudential framework.</w:t>
      </w:r>
    </w:p>
    <w:p w14:paraId="238E9E59" w14:textId="77777777" w:rsidR="00DA4572" w:rsidRDefault="00DA4572" w:rsidP="00DA4572">
      <w:r>
        <w:t>APRA is an independent statutory authority. APRA’s existing statement of expectations issued by Government also recognises APRA’s regulatory independence. Consistent with its expectations of APRA’s role, the Government will not seek to influence how APRA undertakes specific compliance activities within its area of regulatory responsibility.</w:t>
      </w:r>
    </w:p>
    <w:p w14:paraId="315D8251" w14:textId="77777777" w:rsidR="00DA4572" w:rsidRDefault="00DA4572" w:rsidP="00DA4572">
      <w:r>
        <w:t>APRA’s standard requires that regulated entities are responsible for identifying and managing risks associated with any material service providers supporting their critical operations, including ensuring appropriate contractual and contingency arrangements are in place. Material service providers are those on which the entity relies to undertake a critical operation or that expose it to material operational risk.</w:t>
      </w:r>
    </w:p>
    <w:p w14:paraId="5941076B" w14:textId="2682363D" w:rsidR="008D0FE5" w:rsidRPr="00B66D8C" w:rsidRDefault="00DA4572" w:rsidP="005141AB">
      <w:r>
        <w:t>APRA will continue to supervise CPS 230 compliance through its established supervision programme (2025</w:t>
      </w:r>
      <w:r w:rsidR="009E5214">
        <w:t>–</w:t>
      </w:r>
      <w:r>
        <w:t>2028) and provide prudential insights to Government where appropriate</w:t>
      </w:r>
      <w:r w:rsidR="008D0FE5">
        <w:t>.</w:t>
      </w:r>
    </w:p>
    <w:sectPr w:rsidR="008D0FE5" w:rsidRPr="00B66D8C" w:rsidSect="00B66783">
      <w:headerReference w:type="even" r:id="rId14"/>
      <w:headerReference w:type="default" r:id="rId15"/>
      <w:footerReference w:type="even" r:id="rId16"/>
      <w:footerReference w:type="default" r:id="rId17"/>
      <w:headerReference w:type="first" r:id="rId18"/>
      <w:footerReference w:type="first" r:id="rId19"/>
      <w:pgSz w:w="11906" w:h="16838" w:code="9"/>
      <w:pgMar w:top="1843"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A84534" w14:textId="77777777" w:rsidR="000B1C05" w:rsidRDefault="000B1C05">
      <w:pPr>
        <w:spacing w:before="0" w:after="0"/>
      </w:pPr>
      <w:r>
        <w:separator/>
      </w:r>
    </w:p>
  </w:endnote>
  <w:endnote w:type="continuationSeparator" w:id="0">
    <w:p w14:paraId="7EB4764A" w14:textId="77777777" w:rsidR="000B1C05" w:rsidRDefault="000B1C0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ontserrat Light">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7AC2B" w14:textId="6D54F28E" w:rsidR="00B77CEA" w:rsidRPr="00577281" w:rsidRDefault="00B77CEA" w:rsidP="00577281">
    <w:pPr>
      <w:pStyle w:val="FooterEven"/>
    </w:pPr>
    <w:r w:rsidRPr="00577281">
      <w:fldChar w:fldCharType="begin"/>
    </w:r>
    <w:r w:rsidRPr="00577281">
      <w:instrText xml:space="preserve"> PAGE   \* MERGEFORMAT </w:instrText>
    </w:r>
    <w:r w:rsidRPr="00577281">
      <w:fldChar w:fldCharType="separate"/>
    </w:r>
    <w:r w:rsidRPr="00577281">
      <w:t>2</w:t>
    </w:r>
    <w:r w:rsidRPr="00577281">
      <w:fldChar w:fldCharType="end"/>
    </w:r>
    <w:r w:rsidRPr="00577281">
      <w:t xml:space="preserve"> | </w:t>
    </w:r>
    <w:fldSimple w:instr=" STYLEREF  &quot;Heading 1&quot;  \* MERGEFORMAT ">
      <w:r w:rsidR="00AE4B3C">
        <w:t>Contents</w:t>
      </w:r>
    </w:fldSimple>
    <w:r w:rsidRPr="00577281">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A87485" w14:textId="7935138F" w:rsidR="00D329F1" w:rsidRPr="00D902AF" w:rsidRDefault="00D329F1" w:rsidP="00D902AF">
    <w:pPr>
      <w:pStyle w:val="Footer"/>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C3F0E9" w14:textId="1D1F446B" w:rsidR="002C1433" w:rsidRPr="001515FD" w:rsidRDefault="00675066" w:rsidP="00191CFE">
    <w:pPr>
      <w:pStyle w:val="FooterOdd"/>
    </w:pPr>
    <w:fldSimple w:instr=" STYLEREF  &quot;Heading 1&quot;  \* MERGEFORMAT ">
      <w:r w:rsidR="00C948C3">
        <w:rPr>
          <w:noProof/>
        </w:rPr>
        <w:t>Introduction</w:t>
      </w:r>
    </w:fldSimple>
    <w:r w:rsidR="002C1433">
      <w:t xml:space="preserve"> | </w:t>
    </w:r>
    <w:r w:rsidR="002C1433">
      <w:fldChar w:fldCharType="begin"/>
    </w:r>
    <w:r w:rsidR="002C1433">
      <w:instrText xml:space="preserve"> PAGE   \* MERGEFORMAT </w:instrText>
    </w:r>
    <w:r w:rsidR="002C1433">
      <w:fldChar w:fldCharType="separate"/>
    </w:r>
    <w:r w:rsidR="002C1433">
      <w:t>1</w:t>
    </w:r>
    <w:r w:rsidR="002C1433">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182139" w14:textId="01EF57B2" w:rsidR="00C60B0F" w:rsidRPr="00C60B0F" w:rsidRDefault="00C60B0F" w:rsidP="00C60B0F">
    <w:pPr>
      <w:pStyle w:val="FooterEven"/>
    </w:pPr>
    <w:r w:rsidRPr="00C60B0F">
      <w:fldChar w:fldCharType="begin"/>
    </w:r>
    <w:r w:rsidRPr="00C60B0F">
      <w:instrText xml:space="preserve"> PAGE   \* MERGEFORMAT </w:instrText>
    </w:r>
    <w:r w:rsidRPr="00C60B0F">
      <w:fldChar w:fldCharType="separate"/>
    </w:r>
    <w:r w:rsidRPr="00C60B0F">
      <w:t>2</w:t>
    </w:r>
    <w:r w:rsidRPr="00C60B0F">
      <w:fldChar w:fldCharType="end"/>
    </w:r>
    <w:r w:rsidRPr="00C60B0F">
      <w:t xml:space="preserve"> | </w:t>
    </w:r>
    <w:fldSimple w:instr=" STYLEREF  &quot;Heading 1&quot;  \* MERGEFORMAT ">
      <w:r w:rsidR="00C948C3">
        <w:t>Response to the recommendations</w:t>
      </w:r>
    </w:fldSimple>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8F0CB1" w14:textId="2215602D" w:rsidR="00C60B0F" w:rsidRPr="001515FD" w:rsidRDefault="00675066" w:rsidP="00AB738A">
    <w:pPr>
      <w:pStyle w:val="FooterOdd"/>
    </w:pPr>
    <w:fldSimple w:instr=" STYLEREF  &quot;Heading 1&quot;  \* MERGEFORMAT ">
      <w:r w:rsidR="00C948C3">
        <w:rPr>
          <w:noProof/>
        </w:rPr>
        <w:t>Response to the recommendations</w:t>
      </w:r>
    </w:fldSimple>
    <w:r w:rsidR="00C60B0F">
      <w:t xml:space="preserve"> | </w:t>
    </w:r>
    <w:r w:rsidR="00C60B0F">
      <w:fldChar w:fldCharType="begin"/>
    </w:r>
    <w:r w:rsidR="00C60B0F">
      <w:instrText xml:space="preserve"> PAGE   \* MERGEFORMAT </w:instrText>
    </w:r>
    <w:r w:rsidR="00C60B0F">
      <w:fldChar w:fldCharType="separate"/>
    </w:r>
    <w:r w:rsidR="00C60B0F">
      <w:t>1</w:t>
    </w:r>
    <w:r w:rsidR="00C60B0F">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4AC07" w14:textId="77777777" w:rsidR="00C60B0F" w:rsidRDefault="00C60B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001B63" w14:textId="77777777" w:rsidR="000B1C05" w:rsidRPr="00ED5A20" w:rsidRDefault="000B1C05" w:rsidP="000F6233">
      <w:pPr>
        <w:rPr>
          <w:color w:val="B2B2B2" w:themeColor="accent2"/>
        </w:rPr>
      </w:pPr>
      <w:r w:rsidRPr="00ED5A20">
        <w:rPr>
          <w:color w:val="B2B2B2" w:themeColor="accent2"/>
        </w:rPr>
        <w:separator/>
      </w:r>
    </w:p>
  </w:footnote>
  <w:footnote w:type="continuationSeparator" w:id="0">
    <w:p w14:paraId="0B4FA0FD" w14:textId="77777777" w:rsidR="000B1C05" w:rsidRPr="00B737EB" w:rsidRDefault="000B1C05">
      <w:pPr>
        <w:spacing w:before="0" w:after="0"/>
        <w:rPr>
          <w:color w:val="E6E6E6" w:themeColor="accent1"/>
        </w:rPr>
      </w:pPr>
      <w:r w:rsidRPr="00B737EB">
        <w:rPr>
          <w:color w:val="E6E6E6" w:themeColor="accent1"/>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C1F35" w14:textId="129727ED" w:rsidR="00B77CEA" w:rsidRPr="005C5571" w:rsidRDefault="005141AB" w:rsidP="005C5571">
    <w:pPr>
      <w:pStyle w:val="HeaderEven"/>
    </w:pPr>
    <w:r>
      <w:fldChar w:fldCharType="begin"/>
    </w:r>
    <w:r>
      <w:instrText xml:space="preserve"> STYLEREF  Title  \* MERGEFORMAT </w:instrText>
    </w:r>
    <w:r>
      <w:fldChar w:fldCharType="separate"/>
    </w:r>
    <w:r w:rsidR="00AE4B3C">
      <w:rPr>
        <w:b/>
        <w:bCs/>
        <w:noProof/>
        <w:lang w:val="en-US"/>
      </w:rPr>
      <w:t>Error! No text of specified style in document.</w:t>
    </w:r>
    <w:r>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75A2A2" w14:textId="77777777" w:rsidR="00B55B04" w:rsidRPr="00AB738A" w:rsidRDefault="00B55B04" w:rsidP="00AB738A">
    <w:pPr>
      <w:pStyle w:val="HeaderOd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80CE80" w14:textId="25C28C7F" w:rsidR="002C1433" w:rsidRPr="00150A9D" w:rsidRDefault="002C1433" w:rsidP="002C1433">
    <w:pPr>
      <w:pStyle w:val="HeaderOdd"/>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785659" w14:textId="514EB88E" w:rsidR="00C60B0F" w:rsidRPr="00150A9D" w:rsidRDefault="00C60B0F" w:rsidP="00420CD3">
    <w:pPr>
      <w:pStyle w:val="HeaderEven"/>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BC0AA6" w14:textId="565B19AF" w:rsidR="00C60B0F" w:rsidRPr="00150A9D" w:rsidRDefault="00C60B0F" w:rsidP="00420CD3">
    <w:pPr>
      <w:pStyle w:val="HeaderOdd"/>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00406B" w14:textId="77777777" w:rsidR="00C60B0F" w:rsidRDefault="00C60B0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Logo&#10;&#10;Description automatically generated with medium confidence" style="width:102.75pt;height:16.5pt;visibility:visible;mso-wrap-style:square" o:bullet="t">
        <v:imagedata r:id="rId1" o:title="Logo&#10;&#10;Description automatically generated with medium confidence"/>
      </v:shape>
    </w:pict>
  </w:numPicBullet>
  <w:abstractNum w:abstractNumId="0" w15:restartNumberingAfterBreak="0">
    <w:nsid w:val="07ED3FC7"/>
    <w:multiLevelType w:val="multilevel"/>
    <w:tmpl w:val="79E48CD8"/>
    <w:styleLink w:val="BoxBulletedList"/>
    <w:lvl w:ilvl="0">
      <w:start w:val="1"/>
      <w:numFmt w:val="bullet"/>
      <w:lvlRestart w:val="0"/>
      <w:lvlText w:val="•"/>
      <w:lvlJc w:val="left"/>
      <w:pPr>
        <w:tabs>
          <w:tab w:val="num" w:pos="283"/>
        </w:tabs>
        <w:ind w:left="283" w:hanging="283"/>
      </w:pPr>
      <w:rPr>
        <w:rFonts w:ascii="Times New Roman" w:hAnsi="Times New Roman" w:cs="Times New Roman" w:hint="default"/>
        <w:b w:val="0"/>
        <w:i w:val="0"/>
        <w:sz w:val="20"/>
      </w:rPr>
    </w:lvl>
    <w:lvl w:ilvl="1">
      <w:start w:val="1"/>
      <w:numFmt w:val="bullet"/>
      <w:lvlText w:val="–"/>
      <w:lvlJc w:val="left"/>
      <w:pPr>
        <w:tabs>
          <w:tab w:val="num" w:pos="567"/>
        </w:tabs>
        <w:ind w:left="567" w:hanging="284"/>
      </w:pPr>
      <w:rPr>
        <w:rFonts w:hint="default"/>
        <w:b w:val="0"/>
        <w:i w:val="0"/>
      </w:rPr>
    </w:lvl>
    <w:lvl w:ilvl="2">
      <w:start w:val="1"/>
      <w:numFmt w:val="bullet"/>
      <w:lvlText w:val=":"/>
      <w:lvlJc w:val="left"/>
      <w:pPr>
        <w:tabs>
          <w:tab w:val="num" w:pos="850"/>
        </w:tabs>
        <w:ind w:left="850" w:hanging="283"/>
      </w:pPr>
      <w:rPr>
        <w:rFonts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1" w15:restartNumberingAfterBreak="0">
    <w:nsid w:val="0B8F13AF"/>
    <w:multiLevelType w:val="multilevel"/>
    <w:tmpl w:val="0C7091F8"/>
    <w:lvl w:ilvl="0">
      <w:start w:val="1"/>
      <w:numFmt w:val="lowerLetter"/>
      <w:lvlText w:val="%1."/>
      <w:lvlJc w:val="left"/>
      <w:pPr>
        <w:tabs>
          <w:tab w:val="num" w:pos="425"/>
        </w:tabs>
        <w:ind w:left="425" w:hanging="425"/>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10653560"/>
    <w:multiLevelType w:val="multilevel"/>
    <w:tmpl w:val="72F8140E"/>
    <w:styleLink w:val="OutlineList"/>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418"/>
        </w:tabs>
        <w:ind w:left="1418" w:hanging="1418"/>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16CC4E5D"/>
    <w:multiLevelType w:val="multilevel"/>
    <w:tmpl w:val="D10E9CF6"/>
    <w:numStyleLink w:val="OneLevelList"/>
  </w:abstractNum>
  <w:abstractNum w:abstractNumId="4" w15:restartNumberingAfterBreak="0">
    <w:nsid w:val="17DF7717"/>
    <w:multiLevelType w:val="multilevel"/>
    <w:tmpl w:val="B91AC3AC"/>
    <w:lvl w:ilvl="0">
      <w:start w:val="1"/>
      <w:numFmt w:val="decimal"/>
      <w:pStyle w:val="Heading1Numbered"/>
      <w:lvlText w:val="%1."/>
      <w:lvlJc w:val="left"/>
      <w:pPr>
        <w:ind w:left="360" w:hanging="360"/>
      </w:pPr>
      <w:rPr>
        <w:rFonts w:hint="default"/>
      </w:rPr>
    </w:lvl>
    <w:lvl w:ilvl="1">
      <w:start w:val="1"/>
      <w:numFmt w:val="decimal"/>
      <w:pStyle w:val="Heading2Numbered"/>
      <w:lvlText w:val="%1.%2"/>
      <w:lvlJc w:val="left"/>
      <w:pPr>
        <w:ind w:left="720" w:hanging="360"/>
      </w:pPr>
      <w:rPr>
        <w:rFonts w:hint="default"/>
      </w:rPr>
    </w:lvl>
    <w:lvl w:ilvl="2">
      <w:start w:val="1"/>
      <w:numFmt w:val="decimal"/>
      <w:pStyle w:val="Heading3Numbered"/>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27440C8B"/>
    <w:multiLevelType w:val="multilevel"/>
    <w:tmpl w:val="9AFC5FD2"/>
    <w:lvl w:ilvl="0">
      <w:start w:val="1"/>
      <w:numFmt w:val="bullet"/>
      <w:lvlRestart w:val="0"/>
      <w:lvlText w:val="•"/>
      <w:lvlJc w:val="left"/>
      <w:pPr>
        <w:tabs>
          <w:tab w:val="num" w:pos="283"/>
        </w:tabs>
        <w:ind w:left="283" w:hanging="283"/>
      </w:pPr>
      <w:rPr>
        <w:rFonts w:ascii="Times New Roman" w:hAnsi="Times New Roman" w:cs="Times New Roman"/>
        <w:b w:val="0"/>
        <w:i w:val="0"/>
      </w:rPr>
    </w:lvl>
    <w:lvl w:ilvl="1">
      <w:start w:val="1"/>
      <w:numFmt w:val="bullet"/>
      <w:lvlText w:val="–"/>
      <w:lvlJc w:val="left"/>
      <w:pPr>
        <w:tabs>
          <w:tab w:val="num" w:pos="567"/>
        </w:tabs>
        <w:ind w:left="567" w:hanging="284"/>
      </w:pPr>
      <w:rPr>
        <w:rFonts w:ascii="Times New Roman" w:hAnsi="Times New Roman" w:cs="Times New Roman"/>
        <w:b w:val="0"/>
        <w:i w:val="0"/>
      </w:rPr>
    </w:lvl>
    <w:lvl w:ilvl="2">
      <w:start w:val="1"/>
      <w:numFmt w:val="bullet"/>
      <w:lvlText w:val=":"/>
      <w:lvlJc w:val="left"/>
      <w:pPr>
        <w:tabs>
          <w:tab w:val="num" w:pos="850"/>
        </w:tabs>
        <w:ind w:left="850" w:hanging="283"/>
      </w:pPr>
      <w:rPr>
        <w:rFonts w:ascii="Times New Roman" w:hAnsi="Times New Roman" w:cs="Times New Roman"/>
        <w:b w:val="0"/>
        <w:i w:val="0"/>
      </w:rPr>
    </w:lvl>
    <w:lvl w:ilvl="3">
      <w:start w:val="1"/>
      <w:numFmt w:val="decimal"/>
      <w:lvlText w:val="(%4)"/>
      <w:lvlJc w:val="left"/>
      <w:pPr>
        <w:tabs>
          <w:tab w:val="num" w:pos="1440"/>
        </w:tabs>
        <w:ind w:left="1440" w:hanging="360"/>
      </w:pPr>
      <w:rPr>
        <w:b w:val="0"/>
        <w:i w:val="0"/>
      </w:rPr>
    </w:lvl>
    <w:lvl w:ilvl="4">
      <w:start w:val="1"/>
      <w:numFmt w:val="lowerLetter"/>
      <w:lvlText w:val="(%5)"/>
      <w:lvlJc w:val="left"/>
      <w:pPr>
        <w:tabs>
          <w:tab w:val="num" w:pos="1800"/>
        </w:tabs>
        <w:ind w:left="1800" w:hanging="360"/>
      </w:pPr>
      <w:rPr>
        <w:b w:val="0"/>
        <w:i w:val="0"/>
      </w:rPr>
    </w:lvl>
    <w:lvl w:ilvl="5">
      <w:start w:val="1"/>
      <w:numFmt w:val="lowerRoman"/>
      <w:lvlText w:val="(%6)"/>
      <w:lvlJc w:val="left"/>
      <w:pPr>
        <w:tabs>
          <w:tab w:val="num" w:pos="2160"/>
        </w:tabs>
        <w:ind w:left="2160" w:hanging="360"/>
      </w:pPr>
      <w:rPr>
        <w:b w:val="0"/>
        <w:i w:val="0"/>
      </w:rPr>
    </w:lvl>
    <w:lvl w:ilvl="6">
      <w:start w:val="1"/>
      <w:numFmt w:val="decimal"/>
      <w:lvlText w:val="%7."/>
      <w:lvlJc w:val="left"/>
      <w:pPr>
        <w:tabs>
          <w:tab w:val="num" w:pos="2520"/>
        </w:tabs>
        <w:ind w:left="2520" w:hanging="360"/>
      </w:pPr>
      <w:rPr>
        <w:b w:val="0"/>
        <w:i w:val="0"/>
      </w:rPr>
    </w:lvl>
    <w:lvl w:ilvl="7">
      <w:start w:val="1"/>
      <w:numFmt w:val="lowerLetter"/>
      <w:lvlText w:val="%8."/>
      <w:lvlJc w:val="left"/>
      <w:pPr>
        <w:tabs>
          <w:tab w:val="num" w:pos="2880"/>
        </w:tabs>
        <w:ind w:left="2880" w:hanging="360"/>
      </w:pPr>
      <w:rPr>
        <w:b w:val="0"/>
        <w:i w:val="0"/>
      </w:rPr>
    </w:lvl>
    <w:lvl w:ilvl="8">
      <w:start w:val="1"/>
      <w:numFmt w:val="lowerRoman"/>
      <w:lvlText w:val="%9."/>
      <w:lvlJc w:val="left"/>
      <w:pPr>
        <w:tabs>
          <w:tab w:val="num" w:pos="3240"/>
        </w:tabs>
        <w:ind w:left="3240" w:hanging="360"/>
      </w:pPr>
      <w:rPr>
        <w:b w:val="0"/>
        <w:i w:val="0"/>
      </w:rPr>
    </w:lvl>
  </w:abstractNum>
  <w:abstractNum w:abstractNumId="6" w15:restartNumberingAfterBreak="0">
    <w:nsid w:val="27826BF0"/>
    <w:multiLevelType w:val="multilevel"/>
    <w:tmpl w:val="6D0AA75C"/>
    <w:lvl w:ilvl="0">
      <w:start w:val="1"/>
      <w:numFmt w:val="lowerRoman"/>
      <w:lvlText w:val="%1."/>
      <w:lvlJc w:val="left"/>
      <w:pPr>
        <w:tabs>
          <w:tab w:val="num" w:pos="720"/>
        </w:tabs>
        <w:ind w:left="720" w:hanging="720"/>
      </w:pPr>
      <w:rPr>
        <w:rFonts w:hint="default"/>
      </w:rPr>
    </w:lvl>
    <w:lvl w:ilvl="1">
      <w:start w:val="1"/>
      <w:numFmt w:val="lowerLetter"/>
      <w:pStyle w:val="AlphaParagraph"/>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308C2710"/>
    <w:multiLevelType w:val="multilevel"/>
    <w:tmpl w:val="7F402170"/>
    <w:styleLink w:val="BulletedList"/>
    <w:lvl w:ilvl="0">
      <w:start w:val="1"/>
      <w:numFmt w:val="bullet"/>
      <w:lvlRestart w:val="0"/>
      <w:lvlText w:val="•"/>
      <w:lvlJc w:val="left"/>
      <w:pPr>
        <w:tabs>
          <w:tab w:val="num" w:pos="283"/>
        </w:tabs>
        <w:ind w:left="284" w:hanging="284"/>
      </w:pPr>
      <w:rPr>
        <w:rFonts w:ascii="Times New Roman" w:hAnsi="Times New Roman" w:cs="Times New Roman" w:hint="default"/>
        <w:b w:val="0"/>
        <w:i w:val="0"/>
      </w:rPr>
    </w:lvl>
    <w:lvl w:ilvl="1">
      <w:start w:val="1"/>
      <w:numFmt w:val="bullet"/>
      <w:lvlText w:val="–"/>
      <w:lvlJc w:val="left"/>
      <w:pPr>
        <w:tabs>
          <w:tab w:val="num" w:pos="567"/>
        </w:tabs>
        <w:ind w:left="568" w:hanging="284"/>
      </w:pPr>
      <w:rPr>
        <w:rFonts w:ascii="Times New Roman" w:hAnsi="Times New Roman" w:cs="Times New Roman" w:hint="default"/>
        <w:b w:val="0"/>
        <w:i w:val="0"/>
      </w:rPr>
    </w:lvl>
    <w:lvl w:ilvl="2">
      <w:start w:val="1"/>
      <w:numFmt w:val="bullet"/>
      <w:lvlText w:val=":"/>
      <w:lvlJc w:val="left"/>
      <w:pPr>
        <w:tabs>
          <w:tab w:val="num" w:pos="851"/>
        </w:tabs>
        <w:ind w:left="852" w:hanging="284"/>
      </w:pPr>
      <w:rPr>
        <w:rFonts w:ascii="Times New Roman" w:hAnsi="Times New Roman" w:cs="Times New Roman" w:hint="default"/>
        <w:b w:val="0"/>
        <w:i w:val="0"/>
      </w:rPr>
    </w:lvl>
    <w:lvl w:ilvl="3">
      <w:start w:val="1"/>
      <w:numFmt w:val="decimal"/>
      <w:lvlText w:val="(%4)"/>
      <w:lvlJc w:val="left"/>
      <w:pPr>
        <w:tabs>
          <w:tab w:val="num" w:pos="1135"/>
        </w:tabs>
        <w:ind w:left="1136" w:hanging="284"/>
      </w:pPr>
      <w:rPr>
        <w:rFonts w:hint="default"/>
        <w:b w:val="0"/>
        <w:i w:val="0"/>
      </w:rPr>
    </w:lvl>
    <w:lvl w:ilvl="4">
      <w:start w:val="1"/>
      <w:numFmt w:val="lowerLetter"/>
      <w:lvlText w:val="(%5)"/>
      <w:lvlJc w:val="left"/>
      <w:pPr>
        <w:tabs>
          <w:tab w:val="num" w:pos="1419"/>
        </w:tabs>
        <w:ind w:left="1420" w:hanging="284"/>
      </w:pPr>
      <w:rPr>
        <w:rFonts w:hint="default"/>
        <w:b w:val="0"/>
        <w:i w:val="0"/>
      </w:rPr>
    </w:lvl>
    <w:lvl w:ilvl="5">
      <w:start w:val="1"/>
      <w:numFmt w:val="lowerRoman"/>
      <w:lvlText w:val="(%6)"/>
      <w:lvlJc w:val="left"/>
      <w:pPr>
        <w:tabs>
          <w:tab w:val="num" w:pos="1703"/>
        </w:tabs>
        <w:ind w:left="1704" w:hanging="284"/>
      </w:pPr>
      <w:rPr>
        <w:rFonts w:hint="default"/>
        <w:b w:val="0"/>
        <w:i w:val="0"/>
      </w:rPr>
    </w:lvl>
    <w:lvl w:ilvl="6">
      <w:start w:val="1"/>
      <w:numFmt w:val="decimal"/>
      <w:lvlText w:val="%7."/>
      <w:lvlJc w:val="left"/>
      <w:pPr>
        <w:tabs>
          <w:tab w:val="num" w:pos="1987"/>
        </w:tabs>
        <w:ind w:left="1988" w:hanging="284"/>
      </w:pPr>
      <w:rPr>
        <w:rFonts w:hint="default"/>
        <w:b w:val="0"/>
        <w:i w:val="0"/>
      </w:rPr>
    </w:lvl>
    <w:lvl w:ilvl="7">
      <w:start w:val="1"/>
      <w:numFmt w:val="lowerLetter"/>
      <w:lvlText w:val="%8."/>
      <w:lvlJc w:val="left"/>
      <w:pPr>
        <w:tabs>
          <w:tab w:val="num" w:pos="2271"/>
        </w:tabs>
        <w:ind w:left="2272" w:hanging="284"/>
      </w:pPr>
      <w:rPr>
        <w:rFonts w:hint="default"/>
        <w:b w:val="0"/>
        <w:i w:val="0"/>
      </w:rPr>
    </w:lvl>
    <w:lvl w:ilvl="8">
      <w:start w:val="1"/>
      <w:numFmt w:val="lowerRoman"/>
      <w:lvlText w:val="%9."/>
      <w:lvlJc w:val="left"/>
      <w:pPr>
        <w:tabs>
          <w:tab w:val="num" w:pos="2555"/>
        </w:tabs>
        <w:ind w:left="2556" w:hanging="284"/>
      </w:pPr>
      <w:rPr>
        <w:rFonts w:hint="default"/>
        <w:b w:val="0"/>
        <w:i w:val="0"/>
      </w:rPr>
    </w:lvl>
  </w:abstractNum>
  <w:abstractNum w:abstractNumId="8" w15:restartNumberingAfterBreak="0">
    <w:nsid w:val="31EF577D"/>
    <w:multiLevelType w:val="hybridMultilevel"/>
    <w:tmpl w:val="49CA1762"/>
    <w:lvl w:ilvl="0" w:tplc="73E6BD10">
      <w:start w:val="1"/>
      <w:numFmt w:val="bullet"/>
      <w:lvlText w:val=""/>
      <w:lvlPicBulletId w:val="0"/>
      <w:lvlJc w:val="left"/>
      <w:pPr>
        <w:tabs>
          <w:tab w:val="num" w:pos="720"/>
        </w:tabs>
        <w:ind w:left="720" w:hanging="360"/>
      </w:pPr>
      <w:rPr>
        <w:rFonts w:ascii="Symbol" w:hAnsi="Symbol" w:hint="default"/>
      </w:rPr>
    </w:lvl>
    <w:lvl w:ilvl="1" w:tplc="9470300E" w:tentative="1">
      <w:start w:val="1"/>
      <w:numFmt w:val="bullet"/>
      <w:lvlText w:val=""/>
      <w:lvlJc w:val="left"/>
      <w:pPr>
        <w:tabs>
          <w:tab w:val="num" w:pos="1440"/>
        </w:tabs>
        <w:ind w:left="1440" w:hanging="360"/>
      </w:pPr>
      <w:rPr>
        <w:rFonts w:ascii="Symbol" w:hAnsi="Symbol" w:hint="default"/>
      </w:rPr>
    </w:lvl>
    <w:lvl w:ilvl="2" w:tplc="E56C24D0" w:tentative="1">
      <w:start w:val="1"/>
      <w:numFmt w:val="bullet"/>
      <w:lvlText w:val=""/>
      <w:lvlJc w:val="left"/>
      <w:pPr>
        <w:tabs>
          <w:tab w:val="num" w:pos="2160"/>
        </w:tabs>
        <w:ind w:left="2160" w:hanging="360"/>
      </w:pPr>
      <w:rPr>
        <w:rFonts w:ascii="Symbol" w:hAnsi="Symbol" w:hint="default"/>
      </w:rPr>
    </w:lvl>
    <w:lvl w:ilvl="3" w:tplc="9354613A" w:tentative="1">
      <w:start w:val="1"/>
      <w:numFmt w:val="bullet"/>
      <w:lvlText w:val=""/>
      <w:lvlJc w:val="left"/>
      <w:pPr>
        <w:tabs>
          <w:tab w:val="num" w:pos="2880"/>
        </w:tabs>
        <w:ind w:left="2880" w:hanging="360"/>
      </w:pPr>
      <w:rPr>
        <w:rFonts w:ascii="Symbol" w:hAnsi="Symbol" w:hint="default"/>
      </w:rPr>
    </w:lvl>
    <w:lvl w:ilvl="4" w:tplc="49326306" w:tentative="1">
      <w:start w:val="1"/>
      <w:numFmt w:val="bullet"/>
      <w:lvlText w:val=""/>
      <w:lvlJc w:val="left"/>
      <w:pPr>
        <w:tabs>
          <w:tab w:val="num" w:pos="3600"/>
        </w:tabs>
        <w:ind w:left="3600" w:hanging="360"/>
      </w:pPr>
      <w:rPr>
        <w:rFonts w:ascii="Symbol" w:hAnsi="Symbol" w:hint="default"/>
      </w:rPr>
    </w:lvl>
    <w:lvl w:ilvl="5" w:tplc="34667A02" w:tentative="1">
      <w:start w:val="1"/>
      <w:numFmt w:val="bullet"/>
      <w:lvlText w:val=""/>
      <w:lvlJc w:val="left"/>
      <w:pPr>
        <w:tabs>
          <w:tab w:val="num" w:pos="4320"/>
        </w:tabs>
        <w:ind w:left="4320" w:hanging="360"/>
      </w:pPr>
      <w:rPr>
        <w:rFonts w:ascii="Symbol" w:hAnsi="Symbol" w:hint="default"/>
      </w:rPr>
    </w:lvl>
    <w:lvl w:ilvl="6" w:tplc="03369734" w:tentative="1">
      <w:start w:val="1"/>
      <w:numFmt w:val="bullet"/>
      <w:lvlText w:val=""/>
      <w:lvlJc w:val="left"/>
      <w:pPr>
        <w:tabs>
          <w:tab w:val="num" w:pos="5040"/>
        </w:tabs>
        <w:ind w:left="5040" w:hanging="360"/>
      </w:pPr>
      <w:rPr>
        <w:rFonts w:ascii="Symbol" w:hAnsi="Symbol" w:hint="default"/>
      </w:rPr>
    </w:lvl>
    <w:lvl w:ilvl="7" w:tplc="282A4DD4" w:tentative="1">
      <w:start w:val="1"/>
      <w:numFmt w:val="bullet"/>
      <w:lvlText w:val=""/>
      <w:lvlJc w:val="left"/>
      <w:pPr>
        <w:tabs>
          <w:tab w:val="num" w:pos="5760"/>
        </w:tabs>
        <w:ind w:left="5760" w:hanging="360"/>
      </w:pPr>
      <w:rPr>
        <w:rFonts w:ascii="Symbol" w:hAnsi="Symbol" w:hint="default"/>
      </w:rPr>
    </w:lvl>
    <w:lvl w:ilvl="8" w:tplc="4D565DBE" w:tentative="1">
      <w:start w:val="1"/>
      <w:numFmt w:val="bullet"/>
      <w:lvlText w:val=""/>
      <w:lvlJc w:val="left"/>
      <w:pPr>
        <w:tabs>
          <w:tab w:val="num" w:pos="6480"/>
        </w:tabs>
        <w:ind w:left="6480" w:hanging="360"/>
      </w:pPr>
      <w:rPr>
        <w:rFonts w:ascii="Symbol" w:hAnsi="Symbol" w:hint="default"/>
      </w:rPr>
    </w:lvl>
  </w:abstractNum>
  <w:abstractNum w:abstractNumId="9" w15:restartNumberingAfterBreak="0">
    <w:nsid w:val="3238442C"/>
    <w:multiLevelType w:val="multilevel"/>
    <w:tmpl w:val="20C6D62C"/>
    <w:styleLink w:val="ChartandTableFootnoteAlphaList"/>
    <w:lvl w:ilvl="0">
      <w:start w:val="1"/>
      <w:numFmt w:val="lowerLetter"/>
      <w:pStyle w:val="ChartandTableFootnoteAlpha"/>
      <w:lvlText w:val="(%1)"/>
      <w:lvlJc w:val="left"/>
      <w:pPr>
        <w:tabs>
          <w:tab w:val="num" w:pos="284"/>
        </w:tabs>
        <w:ind w:left="284" w:hanging="284"/>
      </w:pPr>
      <w:rPr>
        <w:rFonts w:ascii="Arial" w:hAnsi="Arial" w:hint="default"/>
        <w:b w:val="0"/>
        <w:i w:val="0"/>
        <w:sz w:val="16"/>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330C16AD"/>
    <w:multiLevelType w:val="multilevel"/>
    <w:tmpl w:val="D10E9CF6"/>
    <w:styleLink w:val="OneLevelList"/>
    <w:lvl w:ilvl="0">
      <w:start w:val="1"/>
      <w:numFmt w:val="decimal"/>
      <w:lvlText w:val="%1."/>
      <w:lvlJc w:val="left"/>
      <w:pPr>
        <w:tabs>
          <w:tab w:val="num" w:pos="284"/>
        </w:tabs>
        <w:ind w:left="284" w:hanging="284"/>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4CE06931"/>
    <w:multiLevelType w:val="singleLevel"/>
    <w:tmpl w:val="36E09474"/>
    <w:lvl w:ilvl="0">
      <w:start w:val="1"/>
      <w:numFmt w:val="lowerLetter"/>
      <w:lvlText w:val="(%1)"/>
      <w:lvlJc w:val="left"/>
      <w:pPr>
        <w:ind w:left="360" w:hanging="360"/>
      </w:pPr>
      <w:rPr>
        <w:rFonts w:ascii="Arial" w:hAnsi="Arial" w:cs="Arial" w:hint="default"/>
        <w:b w:val="0"/>
        <w:i w:val="0"/>
        <w:sz w:val="16"/>
      </w:rPr>
    </w:lvl>
  </w:abstractNum>
  <w:abstractNum w:abstractNumId="12" w15:restartNumberingAfterBreak="0">
    <w:nsid w:val="510D2021"/>
    <w:multiLevelType w:val="multilevel"/>
    <w:tmpl w:val="3A1A713E"/>
    <w:lvl w:ilvl="0">
      <w:start w:val="1"/>
      <w:numFmt w:val="decimal"/>
      <w:pStyle w:val="OutlineNumbered1"/>
      <w:lvlText w:val="%1."/>
      <w:lvlJc w:val="left"/>
      <w:pPr>
        <w:tabs>
          <w:tab w:val="num" w:pos="851"/>
        </w:tabs>
        <w:ind w:left="851" w:hanging="851"/>
      </w:pPr>
      <w:rPr>
        <w:rFonts w:hint="default"/>
      </w:rPr>
    </w:lvl>
    <w:lvl w:ilvl="1">
      <w:start w:val="1"/>
      <w:numFmt w:val="decimal"/>
      <w:pStyle w:val="OutlineNumbered2"/>
      <w:lvlText w:val="%1.%2"/>
      <w:lvlJc w:val="left"/>
      <w:pPr>
        <w:tabs>
          <w:tab w:val="num" w:pos="1134"/>
        </w:tabs>
        <w:ind w:left="1134" w:hanging="1134"/>
      </w:pPr>
      <w:rPr>
        <w:rFonts w:hint="default"/>
      </w:rPr>
    </w:lvl>
    <w:lvl w:ilvl="2">
      <w:start w:val="1"/>
      <w:numFmt w:val="decimal"/>
      <w:pStyle w:val="OutlineNumbered3"/>
      <w:lvlText w:val="%1.%2.%3"/>
      <w:lvlJc w:val="left"/>
      <w:pPr>
        <w:tabs>
          <w:tab w:val="num" w:pos="1418"/>
        </w:tabs>
        <w:ind w:left="1418" w:hanging="1418"/>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524F7347"/>
    <w:multiLevelType w:val="hybridMultilevel"/>
    <w:tmpl w:val="53CE8FB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4" w15:restartNumberingAfterBreak="0">
    <w:nsid w:val="59BD7DFF"/>
    <w:multiLevelType w:val="multilevel"/>
    <w:tmpl w:val="55D42826"/>
    <w:name w:val="StandardBulletedList2"/>
    <w:lvl w:ilvl="0">
      <w:start w:val="1"/>
      <w:numFmt w:val="bullet"/>
      <w:pStyle w:val="Boxbullet"/>
      <w:lvlText w:val="•"/>
      <w:lvlJc w:val="left"/>
      <w:pPr>
        <w:ind w:left="284" w:hanging="284"/>
      </w:pPr>
      <w:rPr>
        <w:rFonts w:ascii="Times New Roman" w:hAnsi="Times New Roman" w:cs="Times New Roman" w:hint="default"/>
        <w:color w:val="auto"/>
      </w:rPr>
    </w:lvl>
    <w:lvl w:ilvl="1">
      <w:start w:val="1"/>
      <w:numFmt w:val="bullet"/>
      <w:pStyle w:val="Boxdash"/>
      <w:lvlText w:val="–"/>
      <w:lvlJc w:val="left"/>
      <w:pPr>
        <w:ind w:left="568" w:hanging="284"/>
      </w:pPr>
      <w:rPr>
        <w:rFonts w:ascii="Times New Roman" w:hAnsi="Times New Roman" w:cs="Times New Roman" w:hint="default"/>
      </w:rPr>
    </w:lvl>
    <w:lvl w:ilvl="2">
      <w:start w:val="1"/>
      <w:numFmt w:val="bullet"/>
      <w:pStyle w:val="Boxdoubledot"/>
      <w:lvlText w:val=":"/>
      <w:lvlJc w:val="left"/>
      <w:pPr>
        <w:ind w:left="852" w:hanging="284"/>
      </w:pPr>
      <w:rPr>
        <w:rFonts w:ascii="Times New Roman" w:hAnsi="Times New Roman" w:cs="Times New Roman" w:hint="default"/>
      </w:rPr>
    </w:lvl>
    <w:lvl w:ilvl="3">
      <w:start w:val="1"/>
      <w:numFmt w:val="decimal"/>
      <w:lvlText w:val="(%4)"/>
      <w:lvlJc w:val="left"/>
      <w:pPr>
        <w:tabs>
          <w:tab w:val="num" w:pos="1372"/>
        </w:tabs>
        <w:ind w:left="1136" w:hanging="284"/>
      </w:pPr>
      <w:rPr>
        <w:rFonts w:hint="default"/>
      </w:rPr>
    </w:lvl>
    <w:lvl w:ilvl="4">
      <w:start w:val="1"/>
      <w:numFmt w:val="lowerLetter"/>
      <w:lvlText w:val="(%5)"/>
      <w:lvlJc w:val="left"/>
      <w:pPr>
        <w:tabs>
          <w:tab w:val="num" w:pos="1656"/>
        </w:tabs>
        <w:ind w:left="1420" w:hanging="284"/>
      </w:pPr>
      <w:rPr>
        <w:rFonts w:hint="default"/>
      </w:rPr>
    </w:lvl>
    <w:lvl w:ilvl="5">
      <w:start w:val="1"/>
      <w:numFmt w:val="lowerRoman"/>
      <w:lvlText w:val="(%6)"/>
      <w:lvlJc w:val="left"/>
      <w:pPr>
        <w:tabs>
          <w:tab w:val="num" w:pos="1940"/>
        </w:tabs>
        <w:ind w:left="1704" w:hanging="284"/>
      </w:pPr>
      <w:rPr>
        <w:rFonts w:hint="default"/>
      </w:rPr>
    </w:lvl>
    <w:lvl w:ilvl="6">
      <w:start w:val="1"/>
      <w:numFmt w:val="decimal"/>
      <w:lvlText w:val="%7."/>
      <w:lvlJc w:val="left"/>
      <w:pPr>
        <w:tabs>
          <w:tab w:val="num" w:pos="2224"/>
        </w:tabs>
        <w:ind w:left="1988" w:hanging="284"/>
      </w:pPr>
      <w:rPr>
        <w:rFonts w:hint="default"/>
      </w:rPr>
    </w:lvl>
    <w:lvl w:ilvl="7">
      <w:start w:val="1"/>
      <w:numFmt w:val="lowerLetter"/>
      <w:lvlText w:val="%8."/>
      <w:lvlJc w:val="left"/>
      <w:pPr>
        <w:tabs>
          <w:tab w:val="num" w:pos="2508"/>
        </w:tabs>
        <w:ind w:left="2272" w:hanging="284"/>
      </w:pPr>
      <w:rPr>
        <w:rFonts w:hint="default"/>
      </w:rPr>
    </w:lvl>
    <w:lvl w:ilvl="8">
      <w:start w:val="1"/>
      <w:numFmt w:val="lowerRoman"/>
      <w:lvlText w:val="%9."/>
      <w:lvlJc w:val="left"/>
      <w:pPr>
        <w:tabs>
          <w:tab w:val="num" w:pos="2792"/>
        </w:tabs>
        <w:ind w:left="2556" w:hanging="284"/>
      </w:pPr>
      <w:rPr>
        <w:rFonts w:hint="default"/>
      </w:rPr>
    </w:lvl>
  </w:abstractNum>
  <w:abstractNum w:abstractNumId="15" w15:restartNumberingAfterBreak="0">
    <w:nsid w:val="5EFF1E76"/>
    <w:multiLevelType w:val="multilevel"/>
    <w:tmpl w:val="D9FE9894"/>
    <w:lvl w:ilvl="0">
      <w:start w:val="1"/>
      <w:numFmt w:val="lowerRoman"/>
      <w:lvlText w:val="%1."/>
      <w:lvlJc w:val="right"/>
      <w:pPr>
        <w:tabs>
          <w:tab w:val="num" w:pos="567"/>
        </w:tabs>
        <w:ind w:left="567" w:hanging="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77A70C5A"/>
    <w:multiLevelType w:val="multilevel"/>
    <w:tmpl w:val="34C489A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 w15:restartNumberingAfterBreak="0">
    <w:nsid w:val="7D6B5224"/>
    <w:multiLevelType w:val="multilevel"/>
    <w:tmpl w:val="D0025D30"/>
    <w:name w:val="StandardBulletedList"/>
    <w:lvl w:ilvl="0">
      <w:start w:val="1"/>
      <w:numFmt w:val="bullet"/>
      <w:pStyle w:val="Bullet"/>
      <w:lvlText w:val="•"/>
      <w:lvlJc w:val="left"/>
      <w:pPr>
        <w:tabs>
          <w:tab w:val="num" w:pos="520"/>
        </w:tabs>
        <w:ind w:left="284" w:hanging="284"/>
      </w:pPr>
      <w:rPr>
        <w:rFonts w:ascii="Times New Roman" w:hAnsi="Times New Roman" w:cs="Times New Roman" w:hint="default"/>
        <w:color w:val="auto"/>
      </w:rPr>
    </w:lvl>
    <w:lvl w:ilvl="1">
      <w:start w:val="1"/>
      <w:numFmt w:val="bullet"/>
      <w:pStyle w:val="Dash"/>
      <w:lvlText w:val="–"/>
      <w:lvlJc w:val="left"/>
      <w:pPr>
        <w:tabs>
          <w:tab w:val="num" w:pos="804"/>
        </w:tabs>
        <w:ind w:left="568" w:hanging="284"/>
      </w:pPr>
      <w:rPr>
        <w:rFonts w:ascii="Times New Roman" w:hAnsi="Times New Roman" w:cs="Times New Roman" w:hint="default"/>
      </w:rPr>
    </w:lvl>
    <w:lvl w:ilvl="2">
      <w:start w:val="1"/>
      <w:numFmt w:val="bullet"/>
      <w:pStyle w:val="DoubleDot"/>
      <w:lvlText w:val=":"/>
      <w:lvlJc w:val="left"/>
      <w:pPr>
        <w:tabs>
          <w:tab w:val="num" w:pos="1088"/>
        </w:tabs>
        <w:ind w:left="852" w:hanging="284"/>
      </w:pPr>
      <w:rPr>
        <w:rFonts w:ascii="Times New Roman" w:hAnsi="Times New Roman" w:cs="Times New Roman" w:hint="default"/>
      </w:rPr>
    </w:lvl>
    <w:lvl w:ilvl="3">
      <w:start w:val="1"/>
      <w:numFmt w:val="decimal"/>
      <w:lvlText w:val="(%4)"/>
      <w:lvlJc w:val="left"/>
      <w:pPr>
        <w:tabs>
          <w:tab w:val="num" w:pos="1372"/>
        </w:tabs>
        <w:ind w:left="1136" w:hanging="284"/>
      </w:pPr>
      <w:rPr>
        <w:rFonts w:hint="default"/>
      </w:rPr>
    </w:lvl>
    <w:lvl w:ilvl="4">
      <w:start w:val="1"/>
      <w:numFmt w:val="lowerLetter"/>
      <w:lvlText w:val="(%5)"/>
      <w:lvlJc w:val="left"/>
      <w:pPr>
        <w:tabs>
          <w:tab w:val="num" w:pos="1656"/>
        </w:tabs>
        <w:ind w:left="1420" w:hanging="284"/>
      </w:pPr>
      <w:rPr>
        <w:rFonts w:hint="default"/>
      </w:rPr>
    </w:lvl>
    <w:lvl w:ilvl="5">
      <w:start w:val="1"/>
      <w:numFmt w:val="lowerRoman"/>
      <w:lvlText w:val="(%6)"/>
      <w:lvlJc w:val="left"/>
      <w:pPr>
        <w:tabs>
          <w:tab w:val="num" w:pos="1940"/>
        </w:tabs>
        <w:ind w:left="1704" w:hanging="284"/>
      </w:pPr>
      <w:rPr>
        <w:rFonts w:hint="default"/>
      </w:rPr>
    </w:lvl>
    <w:lvl w:ilvl="6">
      <w:start w:val="1"/>
      <w:numFmt w:val="decimal"/>
      <w:lvlText w:val="%7."/>
      <w:lvlJc w:val="left"/>
      <w:pPr>
        <w:tabs>
          <w:tab w:val="num" w:pos="2224"/>
        </w:tabs>
        <w:ind w:left="1988" w:hanging="284"/>
      </w:pPr>
      <w:rPr>
        <w:rFonts w:hint="default"/>
      </w:rPr>
    </w:lvl>
    <w:lvl w:ilvl="7">
      <w:start w:val="1"/>
      <w:numFmt w:val="lowerLetter"/>
      <w:lvlText w:val="%8."/>
      <w:lvlJc w:val="left"/>
      <w:pPr>
        <w:tabs>
          <w:tab w:val="num" w:pos="2508"/>
        </w:tabs>
        <w:ind w:left="2272" w:hanging="284"/>
      </w:pPr>
      <w:rPr>
        <w:rFonts w:hint="default"/>
      </w:rPr>
    </w:lvl>
    <w:lvl w:ilvl="8">
      <w:start w:val="1"/>
      <w:numFmt w:val="lowerRoman"/>
      <w:lvlText w:val="%9."/>
      <w:lvlJc w:val="left"/>
      <w:pPr>
        <w:tabs>
          <w:tab w:val="num" w:pos="2792"/>
        </w:tabs>
        <w:ind w:left="2556" w:hanging="284"/>
      </w:pPr>
      <w:rPr>
        <w:rFonts w:hint="default"/>
      </w:rPr>
    </w:lvl>
  </w:abstractNum>
  <w:abstractNum w:abstractNumId="18" w15:restartNumberingAfterBreak="0">
    <w:nsid w:val="7EBF275E"/>
    <w:multiLevelType w:val="multilevel"/>
    <w:tmpl w:val="A6800B9E"/>
    <w:lvl w:ilvl="0">
      <w:start w:val="1"/>
      <w:numFmt w:val="decimal"/>
      <w:lvlRestart w:val="0"/>
      <w:lvlText w:val="%1."/>
      <w:lvlJc w:val="left"/>
      <w:pPr>
        <w:tabs>
          <w:tab w:val="num" w:pos="567"/>
        </w:tabs>
        <w:ind w:left="567" w:hanging="567"/>
      </w:pPr>
      <w:rPr>
        <w:rFonts w:hint="default"/>
        <w:b w:val="0"/>
        <w:i w:val="0"/>
      </w:rPr>
    </w:lvl>
    <w:lvl w:ilvl="1">
      <w:start w:val="1"/>
      <w:numFmt w:val="decimal"/>
      <w:lvlText w:val="%1.%2."/>
      <w:lvlJc w:val="left"/>
      <w:pPr>
        <w:tabs>
          <w:tab w:val="num" w:pos="1134"/>
        </w:tabs>
        <w:ind w:left="1134" w:hanging="567"/>
      </w:pPr>
      <w:rPr>
        <w:rFonts w:hint="default"/>
        <w:b w:val="0"/>
        <w:i w:val="0"/>
      </w:rPr>
    </w:lvl>
    <w:lvl w:ilvl="2">
      <w:start w:val="1"/>
      <w:numFmt w:val="decimal"/>
      <w:lvlText w:val="%1.%2.%3."/>
      <w:lvlJc w:val="left"/>
      <w:pPr>
        <w:tabs>
          <w:tab w:val="num" w:pos="1984"/>
        </w:tabs>
        <w:ind w:left="1984" w:hanging="850"/>
      </w:pPr>
      <w:rPr>
        <w:rFonts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19" w15:restartNumberingAfterBreak="0">
    <w:nsid w:val="7F2E57A2"/>
    <w:multiLevelType w:val="multilevel"/>
    <w:tmpl w:val="D1ECFDF4"/>
    <w:lvl w:ilvl="0">
      <w:start w:val="1"/>
      <w:numFmt w:val="decimal"/>
      <w:lvlRestart w:val="0"/>
      <w:suff w:val="nothing"/>
      <w:lvlText w:val=""/>
      <w:lvlJc w:val="left"/>
      <w:pPr>
        <w:ind w:left="0" w:firstLine="0"/>
      </w:pPr>
      <w:rPr>
        <w:rFonts w:ascii="Arial" w:hAnsi="Arial" w:cs="Arial"/>
        <w:b/>
        <w:i w:val="0"/>
        <w:color w:val="000080"/>
        <w:sz w:val="24"/>
      </w:rPr>
    </w:lvl>
    <w:lvl w:ilvl="1">
      <w:start w:val="1"/>
      <w:numFmt w:val="lowerLetter"/>
      <w:lvlText w:val="(%2)"/>
      <w:lvlJc w:val="left"/>
      <w:pPr>
        <w:tabs>
          <w:tab w:val="num" w:pos="992"/>
        </w:tabs>
        <w:ind w:left="992" w:hanging="425"/>
      </w:pPr>
      <w:rPr>
        <w:rFonts w:ascii="Arial" w:hAnsi="Arial" w:cs="Arial"/>
        <w:b/>
        <w:i w:val="0"/>
        <w:color w:val="235292"/>
        <w:sz w:val="22"/>
      </w:rPr>
    </w:lvl>
    <w:lvl w:ilvl="2">
      <w:start w:val="1"/>
      <w:numFmt w:val="decimal"/>
      <w:lvlText w:val="%3"/>
      <w:lvlJc w:val="left"/>
      <w:pPr>
        <w:tabs>
          <w:tab w:val="num" w:pos="1418"/>
        </w:tabs>
        <w:ind w:left="1418" w:hanging="426"/>
      </w:pPr>
      <w:rPr>
        <w:rFonts w:ascii="Times New Roman" w:hAnsi="Times New Roman" w:cs="Times New Roman"/>
        <w:b w:val="0"/>
        <w:i w:val="0"/>
        <w:color w:val="000000"/>
      </w:rPr>
    </w:lvl>
    <w:lvl w:ilvl="3">
      <w:start w:val="1"/>
      <w:numFmt w:val="decimal"/>
      <w:lvlText w:val="%4"/>
      <w:lvlJc w:val="left"/>
      <w:pPr>
        <w:tabs>
          <w:tab w:val="num" w:pos="2268"/>
        </w:tabs>
        <w:ind w:left="2268" w:hanging="567"/>
      </w:pPr>
      <w:rPr>
        <w:rFonts w:ascii="Times New Roman" w:hAnsi="Times New Roman" w:cs="Times New Roman"/>
        <w:b w:val="0"/>
        <w:i w:val="0"/>
        <w:color w:val="000000"/>
      </w:rPr>
    </w:lvl>
    <w:lvl w:ilvl="4">
      <w:start w:val="1"/>
      <w:numFmt w:val="decimal"/>
      <w:lvlText w:val="%5"/>
      <w:lvlJc w:val="left"/>
      <w:pPr>
        <w:tabs>
          <w:tab w:val="num" w:pos="2835"/>
        </w:tabs>
        <w:ind w:left="2835" w:hanging="567"/>
      </w:pPr>
      <w:rPr>
        <w:rFonts w:ascii="Times New Roman" w:hAnsi="Times New Roman" w:cs="Times New Roman"/>
        <w:b w:val="0"/>
        <w:i w:val="0"/>
        <w:color w:val="000000"/>
      </w:rPr>
    </w:lvl>
    <w:lvl w:ilvl="5">
      <w:start w:val="1"/>
      <w:numFmt w:val="decimal"/>
      <w:lvlText w:val="%6"/>
      <w:lvlJc w:val="left"/>
      <w:pPr>
        <w:tabs>
          <w:tab w:val="num" w:pos="3402"/>
        </w:tabs>
        <w:ind w:left="3402" w:hanging="567"/>
      </w:pPr>
      <w:rPr>
        <w:rFonts w:ascii="Times New Roman" w:hAnsi="Times New Roman" w:cs="Times New Roman"/>
        <w:b w:val="0"/>
        <w:i w:val="0"/>
        <w:color w:val="000000"/>
      </w:rPr>
    </w:lvl>
    <w:lvl w:ilvl="6">
      <w:start w:val="1"/>
      <w:numFmt w:val="decimal"/>
      <w:lvlText w:val="%7"/>
      <w:lvlJc w:val="left"/>
      <w:pPr>
        <w:tabs>
          <w:tab w:val="num" w:pos="3969"/>
        </w:tabs>
        <w:ind w:left="3969" w:hanging="567"/>
      </w:pPr>
      <w:rPr>
        <w:rFonts w:ascii="Times New Roman" w:hAnsi="Times New Roman" w:cs="Times New Roman"/>
        <w:b w:val="0"/>
        <w:i w:val="0"/>
        <w:color w:val="000000"/>
      </w:rPr>
    </w:lvl>
    <w:lvl w:ilvl="7">
      <w:start w:val="1"/>
      <w:numFmt w:val="decimal"/>
      <w:lvlText w:val="%8"/>
      <w:lvlJc w:val="left"/>
      <w:pPr>
        <w:tabs>
          <w:tab w:val="num" w:pos="4536"/>
        </w:tabs>
        <w:ind w:left="4536" w:hanging="567"/>
      </w:pPr>
      <w:rPr>
        <w:rFonts w:ascii="Times New Roman" w:hAnsi="Times New Roman" w:cs="Times New Roman"/>
        <w:b w:val="0"/>
        <w:i w:val="0"/>
        <w:color w:val="000000"/>
      </w:rPr>
    </w:lvl>
    <w:lvl w:ilvl="8">
      <w:start w:val="1"/>
      <w:numFmt w:val="decimal"/>
      <w:lvlText w:val="%9"/>
      <w:lvlJc w:val="left"/>
      <w:pPr>
        <w:tabs>
          <w:tab w:val="num" w:pos="5103"/>
        </w:tabs>
        <w:ind w:left="5103" w:hanging="567"/>
      </w:pPr>
      <w:rPr>
        <w:rFonts w:ascii="Times New Roman" w:hAnsi="Times New Roman" w:cs="Times New Roman"/>
        <w:b w:val="0"/>
        <w:i w:val="0"/>
        <w:color w:val="000000"/>
      </w:rPr>
    </w:lvl>
  </w:abstractNum>
  <w:num w:numId="1" w16cid:durableId="747112092">
    <w:abstractNumId w:val="7"/>
  </w:num>
  <w:num w:numId="2" w16cid:durableId="125392115">
    <w:abstractNumId w:val="0"/>
  </w:num>
  <w:num w:numId="3" w16cid:durableId="1138493796">
    <w:abstractNumId w:val="10"/>
  </w:num>
  <w:num w:numId="4" w16cid:durableId="697198535">
    <w:abstractNumId w:val="2"/>
  </w:num>
  <w:num w:numId="5" w16cid:durableId="402218185">
    <w:abstractNumId w:val="3"/>
  </w:num>
  <w:num w:numId="6" w16cid:durableId="1530605932">
    <w:abstractNumId w:val="12"/>
  </w:num>
  <w:num w:numId="7" w16cid:durableId="1077706018">
    <w:abstractNumId w:val="9"/>
    <w:lvlOverride w:ilvl="0">
      <w:lvl w:ilvl="0">
        <w:start w:val="1"/>
        <w:numFmt w:val="lowerLetter"/>
        <w:pStyle w:val="ChartandTableFootnoteAlpha"/>
        <w:lvlText w:val="(%1)"/>
        <w:lvlJc w:val="left"/>
        <w:pPr>
          <w:ind w:left="360" w:hanging="360"/>
        </w:pPr>
        <w:rPr>
          <w:rFonts w:ascii="Calibri" w:hAnsi="Calibri" w:hint="default"/>
          <w:b w:val="0"/>
          <w:i w:val="0"/>
          <w:caps w:val="0"/>
          <w:strike w:val="0"/>
          <w:dstrike w:val="0"/>
          <w:vanish w:val="0"/>
          <w:sz w:val="18"/>
          <w:vertAlign w:val="baseline"/>
        </w:rPr>
      </w:lvl>
    </w:lvlOverride>
    <w:lvlOverride w:ilvl="1">
      <w:lvl w:ilvl="1" w:tentative="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8" w16cid:durableId="1334606905">
    <w:abstractNumId w:val="4"/>
  </w:num>
  <w:num w:numId="9" w16cid:durableId="571887099">
    <w:abstractNumId w:val="1"/>
  </w:num>
  <w:num w:numId="10" w16cid:durableId="732696603">
    <w:abstractNumId w:val="6"/>
  </w:num>
  <w:num w:numId="11" w16cid:durableId="981886855">
    <w:abstractNumId w:val="18"/>
  </w:num>
  <w:num w:numId="12" w16cid:durableId="1542596121">
    <w:abstractNumId w:val="12"/>
  </w:num>
  <w:num w:numId="13" w16cid:durableId="920913257">
    <w:abstractNumId w:val="19"/>
  </w:num>
  <w:num w:numId="14" w16cid:durableId="1906601709">
    <w:abstractNumId w:val="11"/>
  </w:num>
  <w:num w:numId="15" w16cid:durableId="1810710942">
    <w:abstractNumId w:val="5"/>
  </w:num>
  <w:num w:numId="16" w16cid:durableId="289938751">
    <w:abstractNumId w:val="15"/>
  </w:num>
  <w:num w:numId="17" w16cid:durableId="157624863">
    <w:abstractNumId w:val="9"/>
  </w:num>
  <w:num w:numId="18" w16cid:durableId="4479367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455251550">
    <w:abstractNumId w:val="17"/>
  </w:num>
  <w:num w:numId="20" w16cid:durableId="1948073332">
    <w:abstractNumId w:val="8"/>
  </w:num>
  <w:num w:numId="21" w16cid:durableId="207180920">
    <w:abstractNumId w:val="13"/>
  </w:num>
  <w:num w:numId="22" w16cid:durableId="106529797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evenAndOddHeaders/>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56B1"/>
    <w:rsid w:val="00006005"/>
    <w:rsid w:val="0000792E"/>
    <w:rsid w:val="00011725"/>
    <w:rsid w:val="00012937"/>
    <w:rsid w:val="00012C62"/>
    <w:rsid w:val="0001396A"/>
    <w:rsid w:val="000141EB"/>
    <w:rsid w:val="0002544D"/>
    <w:rsid w:val="00027C8A"/>
    <w:rsid w:val="000339EF"/>
    <w:rsid w:val="00033C83"/>
    <w:rsid w:val="0003540B"/>
    <w:rsid w:val="0004274D"/>
    <w:rsid w:val="00043348"/>
    <w:rsid w:val="0004483F"/>
    <w:rsid w:val="00046CB4"/>
    <w:rsid w:val="0005138B"/>
    <w:rsid w:val="000522B7"/>
    <w:rsid w:val="00053717"/>
    <w:rsid w:val="00056880"/>
    <w:rsid w:val="000675D1"/>
    <w:rsid w:val="00073521"/>
    <w:rsid w:val="000775DE"/>
    <w:rsid w:val="00087FAF"/>
    <w:rsid w:val="000A3675"/>
    <w:rsid w:val="000A5A4C"/>
    <w:rsid w:val="000B093F"/>
    <w:rsid w:val="000B1C05"/>
    <w:rsid w:val="000B302A"/>
    <w:rsid w:val="000C571D"/>
    <w:rsid w:val="000C5F40"/>
    <w:rsid w:val="000E0B74"/>
    <w:rsid w:val="000E727D"/>
    <w:rsid w:val="000E7901"/>
    <w:rsid w:val="000F19AB"/>
    <w:rsid w:val="000F6233"/>
    <w:rsid w:val="00111910"/>
    <w:rsid w:val="00117EAA"/>
    <w:rsid w:val="00121AC5"/>
    <w:rsid w:val="00123AC0"/>
    <w:rsid w:val="001247AA"/>
    <w:rsid w:val="00131DC3"/>
    <w:rsid w:val="00135E4C"/>
    <w:rsid w:val="001373F5"/>
    <w:rsid w:val="00150A9D"/>
    <w:rsid w:val="001515FD"/>
    <w:rsid w:val="001574C0"/>
    <w:rsid w:val="001606CF"/>
    <w:rsid w:val="0016128D"/>
    <w:rsid w:val="00162FC8"/>
    <w:rsid w:val="00164599"/>
    <w:rsid w:val="00165C2A"/>
    <w:rsid w:val="0016687B"/>
    <w:rsid w:val="0017089D"/>
    <w:rsid w:val="001805A8"/>
    <w:rsid w:val="0019101A"/>
    <w:rsid w:val="00191CFE"/>
    <w:rsid w:val="00195C8E"/>
    <w:rsid w:val="00195CBF"/>
    <w:rsid w:val="001972D2"/>
    <w:rsid w:val="001A5383"/>
    <w:rsid w:val="001C358D"/>
    <w:rsid w:val="001C40A0"/>
    <w:rsid w:val="001C4EBD"/>
    <w:rsid w:val="001F1B27"/>
    <w:rsid w:val="00221EC0"/>
    <w:rsid w:val="00231049"/>
    <w:rsid w:val="002314D2"/>
    <w:rsid w:val="0023305C"/>
    <w:rsid w:val="0023361F"/>
    <w:rsid w:val="00241881"/>
    <w:rsid w:val="00241972"/>
    <w:rsid w:val="0024294C"/>
    <w:rsid w:val="002437D1"/>
    <w:rsid w:val="002461BA"/>
    <w:rsid w:val="00253878"/>
    <w:rsid w:val="002543D8"/>
    <w:rsid w:val="0025652F"/>
    <w:rsid w:val="002608F1"/>
    <w:rsid w:val="00263B6C"/>
    <w:rsid w:val="00270911"/>
    <w:rsid w:val="00272939"/>
    <w:rsid w:val="0027590B"/>
    <w:rsid w:val="00275AA1"/>
    <w:rsid w:val="00276EAD"/>
    <w:rsid w:val="002835F6"/>
    <w:rsid w:val="00285969"/>
    <w:rsid w:val="00294C57"/>
    <w:rsid w:val="00295B30"/>
    <w:rsid w:val="00296BB1"/>
    <w:rsid w:val="002A1735"/>
    <w:rsid w:val="002A251B"/>
    <w:rsid w:val="002A25B8"/>
    <w:rsid w:val="002A74EF"/>
    <w:rsid w:val="002A7A31"/>
    <w:rsid w:val="002B3829"/>
    <w:rsid w:val="002C1433"/>
    <w:rsid w:val="002C22EF"/>
    <w:rsid w:val="002E05A6"/>
    <w:rsid w:val="002E1FB6"/>
    <w:rsid w:val="002E454C"/>
    <w:rsid w:val="002F26A5"/>
    <w:rsid w:val="002F2DE5"/>
    <w:rsid w:val="002F617F"/>
    <w:rsid w:val="00300109"/>
    <w:rsid w:val="00301755"/>
    <w:rsid w:val="0030665E"/>
    <w:rsid w:val="00306894"/>
    <w:rsid w:val="003074FE"/>
    <w:rsid w:val="00311BD7"/>
    <w:rsid w:val="003122F4"/>
    <w:rsid w:val="003268D5"/>
    <w:rsid w:val="00334176"/>
    <w:rsid w:val="0033755F"/>
    <w:rsid w:val="003448F6"/>
    <w:rsid w:val="00350388"/>
    <w:rsid w:val="00350759"/>
    <w:rsid w:val="00354D27"/>
    <w:rsid w:val="0035738A"/>
    <w:rsid w:val="003579F5"/>
    <w:rsid w:val="00371FF8"/>
    <w:rsid w:val="00372D99"/>
    <w:rsid w:val="003744B0"/>
    <w:rsid w:val="00375655"/>
    <w:rsid w:val="003858A6"/>
    <w:rsid w:val="00386630"/>
    <w:rsid w:val="0039150C"/>
    <w:rsid w:val="00392DCC"/>
    <w:rsid w:val="003956B1"/>
    <w:rsid w:val="00397BB5"/>
    <w:rsid w:val="003A5B36"/>
    <w:rsid w:val="003C24B4"/>
    <w:rsid w:val="003C6534"/>
    <w:rsid w:val="003E20D6"/>
    <w:rsid w:val="003E4D87"/>
    <w:rsid w:val="003E4F12"/>
    <w:rsid w:val="00401082"/>
    <w:rsid w:val="00407DC5"/>
    <w:rsid w:val="00410819"/>
    <w:rsid w:val="00412369"/>
    <w:rsid w:val="00416762"/>
    <w:rsid w:val="00416E55"/>
    <w:rsid w:val="00420CD3"/>
    <w:rsid w:val="00421955"/>
    <w:rsid w:val="004233EB"/>
    <w:rsid w:val="0042518A"/>
    <w:rsid w:val="004276A0"/>
    <w:rsid w:val="004327A3"/>
    <w:rsid w:val="00437EE9"/>
    <w:rsid w:val="00444A63"/>
    <w:rsid w:val="00445265"/>
    <w:rsid w:val="004559CE"/>
    <w:rsid w:val="00460E1A"/>
    <w:rsid w:val="00463DF8"/>
    <w:rsid w:val="00471730"/>
    <w:rsid w:val="00471F60"/>
    <w:rsid w:val="00475085"/>
    <w:rsid w:val="00476CF6"/>
    <w:rsid w:val="00477AA8"/>
    <w:rsid w:val="00492FCB"/>
    <w:rsid w:val="00497F86"/>
    <w:rsid w:val="004A0F11"/>
    <w:rsid w:val="004A3EAA"/>
    <w:rsid w:val="004A7D97"/>
    <w:rsid w:val="004B5133"/>
    <w:rsid w:val="004C2902"/>
    <w:rsid w:val="004C41B6"/>
    <w:rsid w:val="004D1036"/>
    <w:rsid w:val="004D6E37"/>
    <w:rsid w:val="004E00EA"/>
    <w:rsid w:val="004E307D"/>
    <w:rsid w:val="004E6B14"/>
    <w:rsid w:val="004E7897"/>
    <w:rsid w:val="004F4B92"/>
    <w:rsid w:val="005005F5"/>
    <w:rsid w:val="00501B6C"/>
    <w:rsid w:val="00502A9D"/>
    <w:rsid w:val="005141AB"/>
    <w:rsid w:val="00516785"/>
    <w:rsid w:val="0052419D"/>
    <w:rsid w:val="005301F8"/>
    <w:rsid w:val="005312FC"/>
    <w:rsid w:val="00532C6D"/>
    <w:rsid w:val="0053569E"/>
    <w:rsid w:val="0053603D"/>
    <w:rsid w:val="0053742A"/>
    <w:rsid w:val="00537C85"/>
    <w:rsid w:val="00541D29"/>
    <w:rsid w:val="00543F23"/>
    <w:rsid w:val="00555FF8"/>
    <w:rsid w:val="00556C44"/>
    <w:rsid w:val="00562F17"/>
    <w:rsid w:val="00565232"/>
    <w:rsid w:val="0056582C"/>
    <w:rsid w:val="00577281"/>
    <w:rsid w:val="005776B2"/>
    <w:rsid w:val="0058437F"/>
    <w:rsid w:val="00586605"/>
    <w:rsid w:val="005868DE"/>
    <w:rsid w:val="005877AC"/>
    <w:rsid w:val="00591801"/>
    <w:rsid w:val="00594C70"/>
    <w:rsid w:val="005966B7"/>
    <w:rsid w:val="005A5C4A"/>
    <w:rsid w:val="005B5E2A"/>
    <w:rsid w:val="005C02A4"/>
    <w:rsid w:val="005C20D2"/>
    <w:rsid w:val="005C32FE"/>
    <w:rsid w:val="005C503A"/>
    <w:rsid w:val="005C5571"/>
    <w:rsid w:val="005D024A"/>
    <w:rsid w:val="005D4FD4"/>
    <w:rsid w:val="005D6D64"/>
    <w:rsid w:val="00601650"/>
    <w:rsid w:val="00604EEF"/>
    <w:rsid w:val="00605AFD"/>
    <w:rsid w:val="00611F76"/>
    <w:rsid w:val="006123D4"/>
    <w:rsid w:val="0061445B"/>
    <w:rsid w:val="00624C4B"/>
    <w:rsid w:val="00635A4B"/>
    <w:rsid w:val="00645462"/>
    <w:rsid w:val="006469CC"/>
    <w:rsid w:val="00647692"/>
    <w:rsid w:val="006579BB"/>
    <w:rsid w:val="00672B5D"/>
    <w:rsid w:val="00673B2F"/>
    <w:rsid w:val="00675066"/>
    <w:rsid w:val="0067622C"/>
    <w:rsid w:val="0067747C"/>
    <w:rsid w:val="00682249"/>
    <w:rsid w:val="00685CF7"/>
    <w:rsid w:val="00686165"/>
    <w:rsid w:val="00691CB5"/>
    <w:rsid w:val="006923DF"/>
    <w:rsid w:val="006A2831"/>
    <w:rsid w:val="006A3655"/>
    <w:rsid w:val="006A37F5"/>
    <w:rsid w:val="006B38FF"/>
    <w:rsid w:val="006C1892"/>
    <w:rsid w:val="006C5B73"/>
    <w:rsid w:val="006C645D"/>
    <w:rsid w:val="006E2D2A"/>
    <w:rsid w:val="006E3CC3"/>
    <w:rsid w:val="00706E8E"/>
    <w:rsid w:val="00713A4C"/>
    <w:rsid w:val="007169B7"/>
    <w:rsid w:val="00722B53"/>
    <w:rsid w:val="00723283"/>
    <w:rsid w:val="007341BE"/>
    <w:rsid w:val="00742366"/>
    <w:rsid w:val="00744484"/>
    <w:rsid w:val="007509DD"/>
    <w:rsid w:val="00763474"/>
    <w:rsid w:val="00766184"/>
    <w:rsid w:val="00767E27"/>
    <w:rsid w:val="0078257B"/>
    <w:rsid w:val="00783D75"/>
    <w:rsid w:val="00784C0A"/>
    <w:rsid w:val="00790447"/>
    <w:rsid w:val="00794B40"/>
    <w:rsid w:val="00796E26"/>
    <w:rsid w:val="007A1079"/>
    <w:rsid w:val="007B09CC"/>
    <w:rsid w:val="007B2677"/>
    <w:rsid w:val="007B76AB"/>
    <w:rsid w:val="007D592B"/>
    <w:rsid w:val="007D5AA6"/>
    <w:rsid w:val="007D7A91"/>
    <w:rsid w:val="007E0E65"/>
    <w:rsid w:val="007E6456"/>
    <w:rsid w:val="007E72FE"/>
    <w:rsid w:val="00804717"/>
    <w:rsid w:val="00811943"/>
    <w:rsid w:val="00815C81"/>
    <w:rsid w:val="008207F0"/>
    <w:rsid w:val="008311B8"/>
    <w:rsid w:val="00834243"/>
    <w:rsid w:val="008374C4"/>
    <w:rsid w:val="00857969"/>
    <w:rsid w:val="00866C1D"/>
    <w:rsid w:val="00871DE1"/>
    <w:rsid w:val="00877D72"/>
    <w:rsid w:val="00881554"/>
    <w:rsid w:val="00882CC4"/>
    <w:rsid w:val="00883B87"/>
    <w:rsid w:val="008844AC"/>
    <w:rsid w:val="00884926"/>
    <w:rsid w:val="0088666B"/>
    <w:rsid w:val="00897F46"/>
    <w:rsid w:val="008A1B2D"/>
    <w:rsid w:val="008C4B22"/>
    <w:rsid w:val="008C5EC0"/>
    <w:rsid w:val="008C7F71"/>
    <w:rsid w:val="008D0FE5"/>
    <w:rsid w:val="008D339F"/>
    <w:rsid w:val="008D43B4"/>
    <w:rsid w:val="008E2D5A"/>
    <w:rsid w:val="008E6292"/>
    <w:rsid w:val="008F1BAE"/>
    <w:rsid w:val="008F23EB"/>
    <w:rsid w:val="00906E61"/>
    <w:rsid w:val="00910BE3"/>
    <w:rsid w:val="00917E28"/>
    <w:rsid w:val="00920F03"/>
    <w:rsid w:val="009250E6"/>
    <w:rsid w:val="00925AA5"/>
    <w:rsid w:val="0093540D"/>
    <w:rsid w:val="00937AF5"/>
    <w:rsid w:val="0094019D"/>
    <w:rsid w:val="00942C11"/>
    <w:rsid w:val="0094351F"/>
    <w:rsid w:val="009547F8"/>
    <w:rsid w:val="009618E1"/>
    <w:rsid w:val="00962ACF"/>
    <w:rsid w:val="009729D4"/>
    <w:rsid w:val="00980759"/>
    <w:rsid w:val="009817B0"/>
    <w:rsid w:val="009821CE"/>
    <w:rsid w:val="00982E0F"/>
    <w:rsid w:val="00995F02"/>
    <w:rsid w:val="009A277C"/>
    <w:rsid w:val="009A3F13"/>
    <w:rsid w:val="009A658F"/>
    <w:rsid w:val="009A65CD"/>
    <w:rsid w:val="009B088F"/>
    <w:rsid w:val="009B2249"/>
    <w:rsid w:val="009C2707"/>
    <w:rsid w:val="009C4692"/>
    <w:rsid w:val="009D2CFF"/>
    <w:rsid w:val="009E04E4"/>
    <w:rsid w:val="009E0CA5"/>
    <w:rsid w:val="009E171B"/>
    <w:rsid w:val="009E5214"/>
    <w:rsid w:val="00A00436"/>
    <w:rsid w:val="00A015E8"/>
    <w:rsid w:val="00A01CE4"/>
    <w:rsid w:val="00A07D47"/>
    <w:rsid w:val="00A10593"/>
    <w:rsid w:val="00A12F62"/>
    <w:rsid w:val="00A14FE9"/>
    <w:rsid w:val="00A24911"/>
    <w:rsid w:val="00A3749B"/>
    <w:rsid w:val="00A37D87"/>
    <w:rsid w:val="00A50D88"/>
    <w:rsid w:val="00A54654"/>
    <w:rsid w:val="00A56923"/>
    <w:rsid w:val="00A62E42"/>
    <w:rsid w:val="00A631B1"/>
    <w:rsid w:val="00A64A71"/>
    <w:rsid w:val="00A65143"/>
    <w:rsid w:val="00A65CD3"/>
    <w:rsid w:val="00A7236C"/>
    <w:rsid w:val="00A72960"/>
    <w:rsid w:val="00A72D8F"/>
    <w:rsid w:val="00A74815"/>
    <w:rsid w:val="00A93401"/>
    <w:rsid w:val="00A97160"/>
    <w:rsid w:val="00A97A7C"/>
    <w:rsid w:val="00AA4285"/>
    <w:rsid w:val="00AA7D7E"/>
    <w:rsid w:val="00AB738A"/>
    <w:rsid w:val="00AC102B"/>
    <w:rsid w:val="00AC3196"/>
    <w:rsid w:val="00AC4065"/>
    <w:rsid w:val="00AE2F90"/>
    <w:rsid w:val="00AE4B3C"/>
    <w:rsid w:val="00B03DD6"/>
    <w:rsid w:val="00B13F70"/>
    <w:rsid w:val="00B214C6"/>
    <w:rsid w:val="00B3583B"/>
    <w:rsid w:val="00B37A8F"/>
    <w:rsid w:val="00B55B04"/>
    <w:rsid w:val="00B65347"/>
    <w:rsid w:val="00B65DE1"/>
    <w:rsid w:val="00B66783"/>
    <w:rsid w:val="00B66D8C"/>
    <w:rsid w:val="00B72AF0"/>
    <w:rsid w:val="00B737EB"/>
    <w:rsid w:val="00B775EE"/>
    <w:rsid w:val="00B77CEA"/>
    <w:rsid w:val="00B85BF0"/>
    <w:rsid w:val="00B87927"/>
    <w:rsid w:val="00B97308"/>
    <w:rsid w:val="00BB00F3"/>
    <w:rsid w:val="00BB0973"/>
    <w:rsid w:val="00BB39C9"/>
    <w:rsid w:val="00BC3AA7"/>
    <w:rsid w:val="00BC6E69"/>
    <w:rsid w:val="00BD26AA"/>
    <w:rsid w:val="00BD2B12"/>
    <w:rsid w:val="00BD454F"/>
    <w:rsid w:val="00BD659D"/>
    <w:rsid w:val="00BE7EA5"/>
    <w:rsid w:val="00BF14F2"/>
    <w:rsid w:val="00C01DCC"/>
    <w:rsid w:val="00C17787"/>
    <w:rsid w:val="00C202B3"/>
    <w:rsid w:val="00C21EE0"/>
    <w:rsid w:val="00C26EE8"/>
    <w:rsid w:val="00C30297"/>
    <w:rsid w:val="00C47437"/>
    <w:rsid w:val="00C50B48"/>
    <w:rsid w:val="00C555AC"/>
    <w:rsid w:val="00C57B81"/>
    <w:rsid w:val="00C60B0F"/>
    <w:rsid w:val="00C713ED"/>
    <w:rsid w:val="00C72318"/>
    <w:rsid w:val="00C723D6"/>
    <w:rsid w:val="00C724E6"/>
    <w:rsid w:val="00C738B4"/>
    <w:rsid w:val="00C747A5"/>
    <w:rsid w:val="00C825E1"/>
    <w:rsid w:val="00C85314"/>
    <w:rsid w:val="00C948C3"/>
    <w:rsid w:val="00C95637"/>
    <w:rsid w:val="00C964E0"/>
    <w:rsid w:val="00CA0116"/>
    <w:rsid w:val="00CA29E5"/>
    <w:rsid w:val="00CA4BC0"/>
    <w:rsid w:val="00CA5CA8"/>
    <w:rsid w:val="00CB0157"/>
    <w:rsid w:val="00CB28E9"/>
    <w:rsid w:val="00CB5205"/>
    <w:rsid w:val="00CC2F27"/>
    <w:rsid w:val="00CC38AC"/>
    <w:rsid w:val="00CC559D"/>
    <w:rsid w:val="00CD0C13"/>
    <w:rsid w:val="00CD654B"/>
    <w:rsid w:val="00CD6935"/>
    <w:rsid w:val="00CE223E"/>
    <w:rsid w:val="00CE7B45"/>
    <w:rsid w:val="00CF3F0D"/>
    <w:rsid w:val="00CF6B46"/>
    <w:rsid w:val="00D0497B"/>
    <w:rsid w:val="00D101F7"/>
    <w:rsid w:val="00D14408"/>
    <w:rsid w:val="00D145F5"/>
    <w:rsid w:val="00D20D8F"/>
    <w:rsid w:val="00D316A1"/>
    <w:rsid w:val="00D3285B"/>
    <w:rsid w:val="00D329F1"/>
    <w:rsid w:val="00D353D9"/>
    <w:rsid w:val="00D355F0"/>
    <w:rsid w:val="00D42011"/>
    <w:rsid w:val="00D43AC8"/>
    <w:rsid w:val="00D50879"/>
    <w:rsid w:val="00D51610"/>
    <w:rsid w:val="00D53342"/>
    <w:rsid w:val="00D54098"/>
    <w:rsid w:val="00D54F46"/>
    <w:rsid w:val="00D56113"/>
    <w:rsid w:val="00D600CC"/>
    <w:rsid w:val="00D643F4"/>
    <w:rsid w:val="00D752DB"/>
    <w:rsid w:val="00D833D9"/>
    <w:rsid w:val="00D83BD9"/>
    <w:rsid w:val="00D902AF"/>
    <w:rsid w:val="00D946A0"/>
    <w:rsid w:val="00D94DCF"/>
    <w:rsid w:val="00D94EAE"/>
    <w:rsid w:val="00D96092"/>
    <w:rsid w:val="00DA4572"/>
    <w:rsid w:val="00DA586F"/>
    <w:rsid w:val="00DB08DA"/>
    <w:rsid w:val="00DB5E34"/>
    <w:rsid w:val="00DB7F09"/>
    <w:rsid w:val="00DC00E8"/>
    <w:rsid w:val="00DC1C56"/>
    <w:rsid w:val="00DC3A91"/>
    <w:rsid w:val="00DC4756"/>
    <w:rsid w:val="00DC6379"/>
    <w:rsid w:val="00DC6AAD"/>
    <w:rsid w:val="00DC7A3B"/>
    <w:rsid w:val="00DD3646"/>
    <w:rsid w:val="00DE2763"/>
    <w:rsid w:val="00DE3A53"/>
    <w:rsid w:val="00DE3C77"/>
    <w:rsid w:val="00DE70F1"/>
    <w:rsid w:val="00DF09CA"/>
    <w:rsid w:val="00DF6F61"/>
    <w:rsid w:val="00E03934"/>
    <w:rsid w:val="00E101C6"/>
    <w:rsid w:val="00E14C06"/>
    <w:rsid w:val="00E21DA7"/>
    <w:rsid w:val="00E22D51"/>
    <w:rsid w:val="00E349A7"/>
    <w:rsid w:val="00E3508A"/>
    <w:rsid w:val="00E50E7C"/>
    <w:rsid w:val="00E51545"/>
    <w:rsid w:val="00E51D9E"/>
    <w:rsid w:val="00E53140"/>
    <w:rsid w:val="00E537D1"/>
    <w:rsid w:val="00E567E6"/>
    <w:rsid w:val="00E56971"/>
    <w:rsid w:val="00E61045"/>
    <w:rsid w:val="00E61484"/>
    <w:rsid w:val="00E65DDD"/>
    <w:rsid w:val="00E7017C"/>
    <w:rsid w:val="00E711D7"/>
    <w:rsid w:val="00E815E1"/>
    <w:rsid w:val="00E82290"/>
    <w:rsid w:val="00E902B0"/>
    <w:rsid w:val="00E902E8"/>
    <w:rsid w:val="00E9296B"/>
    <w:rsid w:val="00E97C19"/>
    <w:rsid w:val="00EA23AC"/>
    <w:rsid w:val="00EA398F"/>
    <w:rsid w:val="00EA7C3D"/>
    <w:rsid w:val="00EB4B0B"/>
    <w:rsid w:val="00EB6878"/>
    <w:rsid w:val="00EC1E0E"/>
    <w:rsid w:val="00EC236D"/>
    <w:rsid w:val="00EC6B16"/>
    <w:rsid w:val="00ED5A20"/>
    <w:rsid w:val="00EE0C14"/>
    <w:rsid w:val="00EE1447"/>
    <w:rsid w:val="00EE1BF1"/>
    <w:rsid w:val="00EE4864"/>
    <w:rsid w:val="00EE7744"/>
    <w:rsid w:val="00EF03E1"/>
    <w:rsid w:val="00EF145E"/>
    <w:rsid w:val="00EF2BBB"/>
    <w:rsid w:val="00F0082D"/>
    <w:rsid w:val="00F015AB"/>
    <w:rsid w:val="00F045E0"/>
    <w:rsid w:val="00F07C90"/>
    <w:rsid w:val="00F11922"/>
    <w:rsid w:val="00F20F8A"/>
    <w:rsid w:val="00F304A4"/>
    <w:rsid w:val="00F33DB8"/>
    <w:rsid w:val="00F3482D"/>
    <w:rsid w:val="00F378CB"/>
    <w:rsid w:val="00F453AF"/>
    <w:rsid w:val="00F46CBB"/>
    <w:rsid w:val="00F514B8"/>
    <w:rsid w:val="00F51D7F"/>
    <w:rsid w:val="00F52128"/>
    <w:rsid w:val="00F57BED"/>
    <w:rsid w:val="00F60198"/>
    <w:rsid w:val="00F65C25"/>
    <w:rsid w:val="00F669CD"/>
    <w:rsid w:val="00F730ED"/>
    <w:rsid w:val="00F737DB"/>
    <w:rsid w:val="00F73BCE"/>
    <w:rsid w:val="00F74E45"/>
    <w:rsid w:val="00F7613A"/>
    <w:rsid w:val="00F82746"/>
    <w:rsid w:val="00F836F9"/>
    <w:rsid w:val="00F845D7"/>
    <w:rsid w:val="00F916EA"/>
    <w:rsid w:val="00F92279"/>
    <w:rsid w:val="00FB4D21"/>
    <w:rsid w:val="00FB762B"/>
    <w:rsid w:val="00FC5C2B"/>
    <w:rsid w:val="00FC6ADA"/>
    <w:rsid w:val="00FC733A"/>
    <w:rsid w:val="00FE23D5"/>
    <w:rsid w:val="00FE5908"/>
    <w:rsid w:val="00FF489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2"/>
    </o:shapelayout>
  </w:shapeDefaults>
  <w:decimalSymbol w:val="."/>
  <w:listSeparator w:val=","/>
  <w14:docId w14:val="62A7B8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5462"/>
    <w:pPr>
      <w:spacing w:before="240" w:after="240" w:line="240" w:lineRule="auto"/>
    </w:pPr>
    <w:rPr>
      <w:rFonts w:eastAsia="Times New Roman" w:cs="Times New Roman"/>
      <w:color w:val="000000" w:themeColor="text1"/>
      <w:szCs w:val="20"/>
      <w:lang w:eastAsia="en-AU"/>
    </w:rPr>
  </w:style>
  <w:style w:type="paragraph" w:styleId="Heading1">
    <w:name w:val="heading 1"/>
    <w:basedOn w:val="HeadingBase"/>
    <w:next w:val="Normal"/>
    <w:link w:val="Heading1Char"/>
    <w:qFormat/>
    <w:rsid w:val="00645462"/>
    <w:pPr>
      <w:spacing w:before="600" w:line="460" w:lineRule="exact"/>
      <w:outlineLvl w:val="0"/>
    </w:pPr>
    <w:rPr>
      <w:b/>
      <w:bCs w:val="0"/>
      <w:sz w:val="56"/>
    </w:rPr>
  </w:style>
  <w:style w:type="paragraph" w:styleId="Heading2">
    <w:name w:val="heading 2"/>
    <w:basedOn w:val="HeadingBase"/>
    <w:next w:val="Normal"/>
    <w:link w:val="Heading2Char"/>
    <w:qFormat/>
    <w:rsid w:val="00645462"/>
    <w:pPr>
      <w:spacing w:before="360" w:line="460" w:lineRule="exact"/>
      <w:outlineLvl w:val="1"/>
    </w:pPr>
    <w:rPr>
      <w:bCs w:val="0"/>
      <w:iCs/>
      <w:color w:val="4D4D4D" w:themeColor="accent6"/>
      <w:szCs w:val="28"/>
    </w:rPr>
  </w:style>
  <w:style w:type="paragraph" w:styleId="Heading3">
    <w:name w:val="heading 3"/>
    <w:basedOn w:val="HeadingBase"/>
    <w:next w:val="Normal"/>
    <w:link w:val="Heading3Char"/>
    <w:qFormat/>
    <w:rsid w:val="00645462"/>
    <w:pPr>
      <w:spacing w:before="320" w:line="276" w:lineRule="auto"/>
      <w:outlineLvl w:val="2"/>
    </w:pPr>
    <w:rPr>
      <w:bCs w:val="0"/>
      <w:color w:val="5F5F5F" w:themeColor="accent5"/>
      <w:sz w:val="36"/>
      <w:szCs w:val="26"/>
    </w:rPr>
  </w:style>
  <w:style w:type="paragraph" w:styleId="Heading4">
    <w:name w:val="heading 4"/>
    <w:basedOn w:val="HeadingBase"/>
    <w:next w:val="Normal"/>
    <w:link w:val="Heading4Char"/>
    <w:qFormat/>
    <w:rsid w:val="00645462"/>
    <w:pPr>
      <w:spacing w:before="280" w:line="276" w:lineRule="auto"/>
      <w:outlineLvl w:val="3"/>
    </w:pPr>
    <w:rPr>
      <w:rFonts w:ascii="Calibri Light" w:hAnsi="Calibri Light"/>
      <w:b/>
      <w:bCs w:val="0"/>
      <w:sz w:val="28"/>
      <w:szCs w:val="26"/>
    </w:rPr>
  </w:style>
  <w:style w:type="paragraph" w:styleId="Heading5">
    <w:name w:val="heading 5"/>
    <w:basedOn w:val="HeadingBase"/>
    <w:next w:val="Normal"/>
    <w:link w:val="Heading5Char"/>
    <w:rsid w:val="00645462"/>
    <w:pPr>
      <w:spacing w:before="240" w:after="0" w:line="276" w:lineRule="auto"/>
      <w:outlineLvl w:val="4"/>
    </w:pPr>
    <w:rPr>
      <w:bCs w:val="0"/>
      <w:iCs/>
      <w:color w:val="4D4D4D" w:themeColor="accent6"/>
      <w:sz w:val="25"/>
    </w:rPr>
  </w:style>
  <w:style w:type="paragraph" w:styleId="Heading6">
    <w:name w:val="heading 6"/>
    <w:basedOn w:val="HeadingBase"/>
    <w:next w:val="Normal"/>
    <w:link w:val="Heading6Char"/>
    <w:rsid w:val="00645462"/>
    <w:pPr>
      <w:spacing w:before="240" w:after="0" w:line="276" w:lineRule="auto"/>
      <w:outlineLvl w:val="5"/>
    </w:pPr>
    <w:rPr>
      <w:rFonts w:ascii="Calibri Light" w:hAnsi="Calibri Light"/>
      <w:b/>
      <w:bCs w:val="0"/>
      <w:color w:val="5F5F5F" w:themeColor="accent5"/>
      <w:sz w:val="23"/>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45462"/>
    <w:rPr>
      <w:rFonts w:asciiTheme="majorHAnsi" w:eastAsia="Times New Roman" w:hAnsiTheme="majorHAnsi" w:cs="Arial"/>
      <w:b/>
      <w:color w:val="000000" w:themeColor="text1"/>
      <w:kern w:val="32"/>
      <w:sz w:val="56"/>
      <w:szCs w:val="36"/>
      <w:lang w:eastAsia="en-AU"/>
    </w:rPr>
  </w:style>
  <w:style w:type="character" w:customStyle="1" w:styleId="Heading2Char">
    <w:name w:val="Heading 2 Char"/>
    <w:basedOn w:val="DefaultParagraphFont"/>
    <w:link w:val="Heading2"/>
    <w:rsid w:val="00645462"/>
    <w:rPr>
      <w:rFonts w:asciiTheme="majorHAnsi" w:eastAsia="Times New Roman" w:hAnsiTheme="majorHAnsi" w:cs="Arial"/>
      <w:iCs/>
      <w:color w:val="4D4D4D" w:themeColor="accent6"/>
      <w:kern w:val="32"/>
      <w:sz w:val="48"/>
      <w:szCs w:val="28"/>
      <w:lang w:eastAsia="en-AU"/>
    </w:rPr>
  </w:style>
  <w:style w:type="character" w:customStyle="1" w:styleId="Heading3Char">
    <w:name w:val="Heading 3 Char"/>
    <w:basedOn w:val="DefaultParagraphFont"/>
    <w:link w:val="Heading3"/>
    <w:rsid w:val="00645462"/>
    <w:rPr>
      <w:rFonts w:asciiTheme="majorHAnsi" w:eastAsia="Times New Roman" w:hAnsiTheme="majorHAnsi" w:cs="Arial"/>
      <w:color w:val="5F5F5F" w:themeColor="accent5"/>
      <w:kern w:val="32"/>
      <w:sz w:val="36"/>
      <w:szCs w:val="26"/>
      <w:lang w:eastAsia="en-AU"/>
    </w:rPr>
  </w:style>
  <w:style w:type="character" w:customStyle="1" w:styleId="Heading4Char">
    <w:name w:val="Heading 4 Char"/>
    <w:basedOn w:val="DefaultParagraphFont"/>
    <w:link w:val="Heading4"/>
    <w:rsid w:val="00645462"/>
    <w:rPr>
      <w:rFonts w:ascii="Calibri Light" w:eastAsia="Times New Roman" w:hAnsi="Calibri Light" w:cs="Arial"/>
      <w:b/>
      <w:color w:val="000000" w:themeColor="text1"/>
      <w:kern w:val="32"/>
      <w:sz w:val="28"/>
      <w:szCs w:val="26"/>
      <w:lang w:eastAsia="en-AU"/>
    </w:rPr>
  </w:style>
  <w:style w:type="character" w:customStyle="1" w:styleId="Heading5Char">
    <w:name w:val="Heading 5 Char"/>
    <w:basedOn w:val="DefaultParagraphFont"/>
    <w:link w:val="Heading5"/>
    <w:rsid w:val="00645462"/>
    <w:rPr>
      <w:rFonts w:asciiTheme="majorHAnsi" w:eastAsia="Times New Roman" w:hAnsiTheme="majorHAnsi" w:cs="Arial"/>
      <w:iCs/>
      <w:color w:val="4D4D4D" w:themeColor="accent6"/>
      <w:kern w:val="32"/>
      <w:sz w:val="25"/>
      <w:szCs w:val="36"/>
      <w:lang w:eastAsia="en-AU"/>
    </w:rPr>
  </w:style>
  <w:style w:type="character" w:customStyle="1" w:styleId="Heading6Char">
    <w:name w:val="Heading 6 Char"/>
    <w:basedOn w:val="DefaultParagraphFont"/>
    <w:link w:val="Heading6"/>
    <w:rsid w:val="00645462"/>
    <w:rPr>
      <w:rFonts w:ascii="Calibri Light" w:eastAsia="Times New Roman" w:hAnsi="Calibri Light" w:cs="Arial"/>
      <w:b/>
      <w:color w:val="5F5F5F" w:themeColor="accent5"/>
      <w:kern w:val="32"/>
      <w:sz w:val="23"/>
      <w:lang w:eastAsia="en-AU"/>
    </w:rPr>
  </w:style>
  <w:style w:type="paragraph" w:customStyle="1" w:styleId="ChartGraphic">
    <w:name w:val="Chart Graphic"/>
    <w:basedOn w:val="Normal"/>
    <w:next w:val="Normal"/>
    <w:rsid w:val="00645462"/>
    <w:pPr>
      <w:keepNext/>
      <w:spacing w:before="0" w:after="0"/>
      <w:jc w:val="center"/>
    </w:pPr>
    <w:rPr>
      <w:color w:val="4D4D4D" w:themeColor="accent6"/>
      <w:sz w:val="20"/>
    </w:rPr>
  </w:style>
  <w:style w:type="paragraph" w:customStyle="1" w:styleId="AlphaParagraph">
    <w:name w:val="Alpha Paragraph"/>
    <w:basedOn w:val="Normal"/>
    <w:qFormat/>
    <w:rsid w:val="00645462"/>
    <w:pPr>
      <w:numPr>
        <w:ilvl w:val="1"/>
        <w:numId w:val="10"/>
      </w:numPr>
      <w:spacing w:before="0"/>
    </w:pPr>
  </w:style>
  <w:style w:type="character" w:customStyle="1" w:styleId="DashChar">
    <w:name w:val="Dash Char"/>
    <w:basedOn w:val="DefaultParagraphFont"/>
    <w:link w:val="Dash"/>
    <w:locked/>
    <w:rsid w:val="00645462"/>
    <w:rPr>
      <w:rFonts w:eastAsia="Times New Roman" w:cs="Times New Roman"/>
      <w:color w:val="000000" w:themeColor="text1"/>
      <w:szCs w:val="20"/>
      <w:lang w:eastAsia="en-AU"/>
    </w:rPr>
  </w:style>
  <w:style w:type="character" w:customStyle="1" w:styleId="DoubleDotChar">
    <w:name w:val="Double Dot Char"/>
    <w:basedOn w:val="DefaultParagraphFont"/>
    <w:link w:val="DoubleDot"/>
    <w:locked/>
    <w:rsid w:val="00645462"/>
    <w:rPr>
      <w:rFonts w:eastAsia="Times New Roman" w:cs="Times New Roman"/>
      <w:color w:val="000000" w:themeColor="text1"/>
      <w:szCs w:val="20"/>
      <w:lang w:eastAsia="en-AU"/>
    </w:rPr>
  </w:style>
  <w:style w:type="character" w:customStyle="1" w:styleId="BulletChar">
    <w:name w:val="Bullet Char"/>
    <w:basedOn w:val="DefaultParagraphFont"/>
    <w:link w:val="Bullet"/>
    <w:locked/>
    <w:rsid w:val="00645462"/>
    <w:rPr>
      <w:rFonts w:eastAsia="Times New Roman" w:cs="Times New Roman"/>
      <w:color w:val="000000" w:themeColor="text1"/>
      <w:szCs w:val="20"/>
      <w:lang w:eastAsia="en-AU"/>
    </w:rPr>
  </w:style>
  <w:style w:type="paragraph" w:customStyle="1" w:styleId="BoxHeading">
    <w:name w:val="Box Heading"/>
    <w:basedOn w:val="Normal"/>
    <w:next w:val="Normal"/>
    <w:rsid w:val="00645462"/>
    <w:pPr>
      <w:keepNext/>
      <w:spacing w:before="120"/>
    </w:pPr>
    <w:rPr>
      <w:b/>
      <w:sz w:val="26"/>
      <w:szCs w:val="26"/>
    </w:rPr>
  </w:style>
  <w:style w:type="paragraph" w:customStyle="1" w:styleId="BoxText">
    <w:name w:val="Box Text"/>
    <w:basedOn w:val="Normal"/>
    <w:link w:val="BoxTextChar"/>
    <w:rsid w:val="00645462"/>
    <w:pPr>
      <w:spacing w:before="120" w:after="120"/>
    </w:pPr>
    <w:rPr>
      <w:szCs w:val="22"/>
    </w:rPr>
  </w:style>
  <w:style w:type="paragraph" w:customStyle="1" w:styleId="Bullet">
    <w:name w:val="Bullet"/>
    <w:basedOn w:val="Normal"/>
    <w:link w:val="BulletChar"/>
    <w:qFormat/>
    <w:rsid w:val="00645462"/>
    <w:pPr>
      <w:numPr>
        <w:numId w:val="19"/>
      </w:numPr>
      <w:tabs>
        <w:tab w:val="clear" w:pos="520"/>
      </w:tabs>
      <w:spacing w:before="120" w:after="60" w:line="276" w:lineRule="auto"/>
    </w:pPr>
  </w:style>
  <w:style w:type="paragraph" w:customStyle="1" w:styleId="ChartandTableFootnoteAlpha">
    <w:name w:val="Chart and Table Footnote Alpha"/>
    <w:rsid w:val="00645462"/>
    <w:pPr>
      <w:numPr>
        <w:numId w:val="17"/>
      </w:numPr>
      <w:spacing w:before="40" w:after="40" w:line="240" w:lineRule="auto"/>
      <w:contextualSpacing/>
      <w:jc w:val="both"/>
    </w:pPr>
    <w:rPr>
      <w:rFonts w:ascii="Calibri" w:eastAsia="Times New Roman" w:hAnsi="Calibri" w:cs="Times New Roman"/>
      <w:color w:val="000000"/>
      <w:sz w:val="18"/>
      <w:szCs w:val="16"/>
      <w:lang w:eastAsia="en-AU"/>
    </w:rPr>
  </w:style>
  <w:style w:type="paragraph" w:customStyle="1" w:styleId="ChartMainHeading">
    <w:name w:val="Chart Main Heading"/>
    <w:basedOn w:val="TableMainHeading"/>
    <w:next w:val="ChartGraphic"/>
    <w:rsid w:val="00645462"/>
  </w:style>
  <w:style w:type="paragraph" w:customStyle="1" w:styleId="ChartorTableNote">
    <w:name w:val="Chart or Table Note"/>
    <w:next w:val="Normal"/>
    <w:rsid w:val="00645462"/>
    <w:pPr>
      <w:spacing w:before="60" w:after="40" w:line="240" w:lineRule="auto"/>
      <w:jc w:val="both"/>
    </w:pPr>
    <w:rPr>
      <w:rFonts w:ascii="Calibri" w:eastAsia="Times New Roman" w:hAnsi="Calibri" w:cs="Times New Roman"/>
      <w:color w:val="000000"/>
      <w:sz w:val="18"/>
      <w:szCs w:val="20"/>
      <w:lang w:eastAsia="en-AU"/>
    </w:rPr>
  </w:style>
  <w:style w:type="paragraph" w:customStyle="1" w:styleId="ChartSecondHeading">
    <w:name w:val="Chart Second Heading"/>
    <w:basedOn w:val="TableSecondHeading"/>
    <w:next w:val="ChartGraphic"/>
    <w:rsid w:val="00645462"/>
    <w:rPr>
      <w:bCs/>
    </w:rPr>
  </w:style>
  <w:style w:type="paragraph" w:customStyle="1" w:styleId="ReportDate">
    <w:name w:val="Report Date"/>
    <w:basedOn w:val="Normal"/>
    <w:link w:val="ReportDateChar"/>
    <w:rsid w:val="00645462"/>
    <w:pPr>
      <w:keepNext/>
      <w:spacing w:before="0" w:after="360"/>
    </w:pPr>
    <w:rPr>
      <w:color w:val="auto"/>
      <w:sz w:val="32"/>
    </w:rPr>
  </w:style>
  <w:style w:type="paragraph" w:customStyle="1" w:styleId="Dash">
    <w:name w:val="Dash"/>
    <w:basedOn w:val="Normal"/>
    <w:link w:val="DashChar"/>
    <w:qFormat/>
    <w:rsid w:val="00645462"/>
    <w:pPr>
      <w:numPr>
        <w:ilvl w:val="1"/>
        <w:numId w:val="19"/>
      </w:numPr>
      <w:tabs>
        <w:tab w:val="clear" w:pos="804"/>
      </w:tabs>
      <w:spacing w:before="120" w:after="120"/>
    </w:pPr>
  </w:style>
  <w:style w:type="paragraph" w:customStyle="1" w:styleId="DoubleDot">
    <w:name w:val="Double Dot"/>
    <w:basedOn w:val="Normal"/>
    <w:link w:val="DoubleDotChar"/>
    <w:qFormat/>
    <w:rsid w:val="00645462"/>
    <w:pPr>
      <w:numPr>
        <w:ilvl w:val="2"/>
        <w:numId w:val="19"/>
      </w:numPr>
      <w:tabs>
        <w:tab w:val="clear" w:pos="1088"/>
      </w:tabs>
      <w:spacing w:before="120" w:after="120"/>
    </w:pPr>
  </w:style>
  <w:style w:type="paragraph" w:customStyle="1" w:styleId="TableMainHeading">
    <w:name w:val="Table Main Heading"/>
    <w:basedOn w:val="Heading3"/>
    <w:next w:val="Normal"/>
    <w:rsid w:val="00645462"/>
    <w:pPr>
      <w:spacing w:before="240" w:after="60"/>
      <w:outlineLvl w:val="3"/>
    </w:pPr>
    <w:rPr>
      <w:b/>
      <w:color w:val="auto"/>
      <w:sz w:val="26"/>
    </w:rPr>
  </w:style>
  <w:style w:type="paragraph" w:customStyle="1" w:styleId="FooterEven">
    <w:name w:val="Footer Even"/>
    <w:basedOn w:val="Footer"/>
    <w:rsid w:val="00645462"/>
    <w:pPr>
      <w:keepNext/>
      <w:tabs>
        <w:tab w:val="clear" w:pos="4513"/>
        <w:tab w:val="clear" w:pos="9026"/>
      </w:tabs>
      <w:jc w:val="left"/>
    </w:pPr>
    <w:rPr>
      <w:noProof/>
      <w:color w:val="auto"/>
    </w:rPr>
  </w:style>
  <w:style w:type="paragraph" w:customStyle="1" w:styleId="FooterOdd">
    <w:name w:val="Footer Odd"/>
    <w:basedOn w:val="Footer"/>
    <w:rsid w:val="00645462"/>
    <w:pPr>
      <w:keepNext/>
      <w:tabs>
        <w:tab w:val="clear" w:pos="4513"/>
        <w:tab w:val="clear" w:pos="9026"/>
      </w:tabs>
      <w:jc w:val="right"/>
    </w:pPr>
    <w:rPr>
      <w:color w:val="auto"/>
    </w:rPr>
  </w:style>
  <w:style w:type="character" w:styleId="Hyperlink">
    <w:name w:val="Hyperlink"/>
    <w:basedOn w:val="DefaultParagraphFont"/>
    <w:uiPriority w:val="99"/>
    <w:rsid w:val="00645462"/>
    <w:rPr>
      <w:color w:val="3A6FAF"/>
      <w:u w:val="none"/>
    </w:rPr>
  </w:style>
  <w:style w:type="paragraph" w:customStyle="1" w:styleId="OutlineNumbered1">
    <w:name w:val="Outline Numbered 1"/>
    <w:basedOn w:val="Normal"/>
    <w:rsid w:val="00645462"/>
    <w:pPr>
      <w:numPr>
        <w:numId w:val="12"/>
      </w:numPr>
      <w:spacing w:before="0"/>
    </w:pPr>
  </w:style>
  <w:style w:type="paragraph" w:customStyle="1" w:styleId="OutlineNumbered2">
    <w:name w:val="Outline Numbered 2"/>
    <w:basedOn w:val="Normal"/>
    <w:rsid w:val="00645462"/>
    <w:pPr>
      <w:numPr>
        <w:ilvl w:val="1"/>
        <w:numId w:val="12"/>
      </w:numPr>
      <w:spacing w:before="0"/>
    </w:pPr>
  </w:style>
  <w:style w:type="paragraph" w:customStyle="1" w:styleId="OutlineNumbered3">
    <w:name w:val="Outline Numbered 3"/>
    <w:basedOn w:val="Normal"/>
    <w:rsid w:val="00645462"/>
    <w:pPr>
      <w:numPr>
        <w:ilvl w:val="2"/>
        <w:numId w:val="12"/>
      </w:numPr>
      <w:spacing w:before="0"/>
    </w:pPr>
  </w:style>
  <w:style w:type="paragraph" w:customStyle="1" w:styleId="SingleParagraph">
    <w:name w:val="Single Paragraph"/>
    <w:basedOn w:val="Normal"/>
    <w:link w:val="SingleParagraphChar"/>
    <w:rsid w:val="00645462"/>
    <w:pPr>
      <w:spacing w:before="0" w:after="0"/>
    </w:pPr>
  </w:style>
  <w:style w:type="paragraph" w:customStyle="1" w:styleId="TableSecondHeading">
    <w:name w:val="Table Second Heading"/>
    <w:basedOn w:val="Normal"/>
    <w:next w:val="Normal"/>
    <w:rsid w:val="00645462"/>
    <w:pPr>
      <w:keepNext/>
      <w:spacing w:before="60" w:after="60"/>
    </w:pPr>
    <w:rPr>
      <w:b/>
      <w:color w:val="5F5F5F" w:themeColor="accent5"/>
      <w:sz w:val="23"/>
    </w:rPr>
  </w:style>
  <w:style w:type="paragraph" w:customStyle="1" w:styleId="TableColumnHeadingCentred">
    <w:name w:val="Table Column Heading Centred"/>
    <w:basedOn w:val="TableTextLeft"/>
    <w:rsid w:val="00645462"/>
    <w:pPr>
      <w:jc w:val="center"/>
    </w:pPr>
    <w:rPr>
      <w:b/>
      <w:sz w:val="20"/>
    </w:rPr>
  </w:style>
  <w:style w:type="paragraph" w:customStyle="1" w:styleId="TableColumnHeadingLeft">
    <w:name w:val="Table Column Heading Left"/>
    <w:basedOn w:val="TableTextLeft"/>
    <w:rsid w:val="00645462"/>
    <w:rPr>
      <w:b/>
      <w:sz w:val="20"/>
    </w:rPr>
  </w:style>
  <w:style w:type="paragraph" w:customStyle="1" w:styleId="TableColumnHeadingRight">
    <w:name w:val="Table Column Heading Right"/>
    <w:basedOn w:val="TableTextLeft"/>
    <w:rsid w:val="00645462"/>
    <w:pPr>
      <w:jc w:val="right"/>
    </w:pPr>
    <w:rPr>
      <w:b/>
      <w:sz w:val="20"/>
    </w:rPr>
  </w:style>
  <w:style w:type="table" w:styleId="TableGrid">
    <w:name w:val="Table Grid"/>
    <w:basedOn w:val="TableNormal"/>
    <w:rsid w:val="00645462"/>
    <w:pPr>
      <w:spacing w:before="40" w:after="40" w:line="240" w:lineRule="auto"/>
    </w:pPr>
    <w:rPr>
      <w:rFonts w:ascii="Calibri Light" w:eastAsia="Times New Roman" w:hAnsi="Calibri Light" w:cs="Times New Roman"/>
      <w:sz w:val="18"/>
      <w:szCs w:val="20"/>
      <w:lang w:eastAsia="en-AU"/>
    </w:rPr>
    <w:tblPr/>
    <w:tcPr>
      <w:shd w:val="clear" w:color="auto" w:fill="auto"/>
    </w:tcPr>
    <w:tblStylePr w:type="firstRow">
      <w:pPr>
        <w:wordWrap/>
        <w:spacing w:beforeLines="0" w:before="40" w:beforeAutospacing="0" w:afterLines="0" w:after="40" w:afterAutospacing="0"/>
        <w:jc w:val="left"/>
      </w:pPr>
      <w:rPr>
        <w:rFonts w:ascii="Calibri Light" w:hAnsi="Calibri Light"/>
        <w:b/>
        <w:color w:val="E6E6E6" w:themeColor="accent1"/>
        <w:sz w:val="20"/>
      </w:rPr>
      <w:tblPr/>
      <w:tcPr>
        <w:shd w:val="clear" w:color="auto" w:fill="F8F8F8" w:themeFill="background2"/>
      </w:tcPr>
    </w:tblStylePr>
  </w:style>
  <w:style w:type="paragraph" w:customStyle="1" w:styleId="TableTextCentered">
    <w:name w:val="Table Text Centered"/>
    <w:basedOn w:val="TableTextRight"/>
    <w:rsid w:val="00645462"/>
    <w:pPr>
      <w:jc w:val="center"/>
    </w:pPr>
    <w:rPr>
      <w:color w:val="auto"/>
    </w:rPr>
  </w:style>
  <w:style w:type="paragraph" w:customStyle="1" w:styleId="TableTextLeft">
    <w:name w:val="Table Text Left"/>
    <w:basedOn w:val="TableTextRight"/>
    <w:rsid w:val="00645462"/>
    <w:pPr>
      <w:jc w:val="left"/>
    </w:pPr>
    <w:rPr>
      <w:color w:val="auto"/>
    </w:rPr>
  </w:style>
  <w:style w:type="paragraph" w:customStyle="1" w:styleId="TableTextRight">
    <w:name w:val="Table Text Right"/>
    <w:basedOn w:val="Normal"/>
    <w:rsid w:val="00645462"/>
    <w:pPr>
      <w:spacing w:before="40" w:after="40"/>
      <w:jc w:val="right"/>
    </w:pPr>
    <w:rPr>
      <w:sz w:val="18"/>
    </w:rPr>
  </w:style>
  <w:style w:type="paragraph" w:styleId="TOC1">
    <w:name w:val="toc 1"/>
    <w:basedOn w:val="Normal"/>
    <w:next w:val="Normal"/>
    <w:uiPriority w:val="39"/>
    <w:rsid w:val="00645462"/>
    <w:pPr>
      <w:keepNext/>
      <w:tabs>
        <w:tab w:val="right" w:leader="dot" w:pos="9072"/>
      </w:tabs>
      <w:spacing w:before="180" w:after="0"/>
      <w:ind w:right="-2"/>
    </w:pPr>
    <w:rPr>
      <w:b/>
      <w:noProof/>
      <w:sz w:val="24"/>
      <w:szCs w:val="22"/>
    </w:rPr>
  </w:style>
  <w:style w:type="paragraph" w:styleId="TOC2">
    <w:name w:val="toc 2"/>
    <w:basedOn w:val="Normal"/>
    <w:next w:val="Normal"/>
    <w:uiPriority w:val="39"/>
    <w:rsid w:val="00645462"/>
    <w:pPr>
      <w:keepNext/>
      <w:tabs>
        <w:tab w:val="right" w:leader="dot" w:pos="9072"/>
      </w:tabs>
      <w:spacing w:before="40" w:after="20"/>
      <w:ind w:right="-2"/>
    </w:pPr>
    <w:rPr>
      <w:noProof/>
      <w:color w:val="000000" w:themeColor="text2"/>
    </w:rPr>
  </w:style>
  <w:style w:type="paragraph" w:styleId="TOC3">
    <w:name w:val="toc 3"/>
    <w:basedOn w:val="Normal"/>
    <w:next w:val="Normal"/>
    <w:uiPriority w:val="39"/>
    <w:rsid w:val="00645462"/>
    <w:pPr>
      <w:tabs>
        <w:tab w:val="right" w:leader="dot" w:pos="9072"/>
      </w:tabs>
      <w:spacing w:before="20" w:after="0"/>
      <w:ind w:left="284" w:right="-2"/>
    </w:pPr>
    <w:rPr>
      <w:rFonts w:cs="Calibri"/>
      <w:noProof/>
    </w:rPr>
  </w:style>
  <w:style w:type="numbering" w:customStyle="1" w:styleId="OutlineList">
    <w:name w:val="OutlineList"/>
    <w:uiPriority w:val="99"/>
    <w:rsid w:val="00645462"/>
    <w:pPr>
      <w:numPr>
        <w:numId w:val="4"/>
      </w:numPr>
    </w:pPr>
  </w:style>
  <w:style w:type="numbering" w:customStyle="1" w:styleId="BulletedList">
    <w:name w:val="Bulleted List"/>
    <w:uiPriority w:val="99"/>
    <w:rsid w:val="00645462"/>
    <w:pPr>
      <w:numPr>
        <w:numId w:val="1"/>
      </w:numPr>
    </w:pPr>
  </w:style>
  <w:style w:type="numbering" w:customStyle="1" w:styleId="BoxBulletedList">
    <w:name w:val="Box Bulleted List"/>
    <w:uiPriority w:val="99"/>
    <w:rsid w:val="00645462"/>
    <w:pPr>
      <w:numPr>
        <w:numId w:val="2"/>
      </w:numPr>
    </w:pPr>
  </w:style>
  <w:style w:type="numbering" w:customStyle="1" w:styleId="OneLevelList">
    <w:name w:val="OneLevelList"/>
    <w:uiPriority w:val="99"/>
    <w:rsid w:val="00645462"/>
    <w:pPr>
      <w:numPr>
        <w:numId w:val="3"/>
      </w:numPr>
    </w:pPr>
  </w:style>
  <w:style w:type="numbering" w:customStyle="1" w:styleId="ChartandTableFootnoteAlphaList">
    <w:name w:val="ChartandTableFootnoteAlphaList"/>
    <w:uiPriority w:val="99"/>
    <w:rsid w:val="00645462"/>
    <w:pPr>
      <w:numPr>
        <w:numId w:val="17"/>
      </w:numPr>
    </w:pPr>
  </w:style>
  <w:style w:type="paragraph" w:customStyle="1" w:styleId="Heading1Numbered">
    <w:name w:val="Heading 1 Numbered"/>
    <w:basedOn w:val="Heading1"/>
    <w:next w:val="Normal"/>
    <w:rsid w:val="00645462"/>
    <w:pPr>
      <w:numPr>
        <w:numId w:val="8"/>
      </w:numPr>
    </w:pPr>
  </w:style>
  <w:style w:type="character" w:customStyle="1" w:styleId="SingleParagraphChar">
    <w:name w:val="Single Paragraph Char"/>
    <w:basedOn w:val="DefaultParagraphFont"/>
    <w:link w:val="SingleParagraph"/>
    <w:rsid w:val="00645462"/>
    <w:rPr>
      <w:rFonts w:eastAsia="Times New Roman" w:cs="Times New Roman"/>
      <w:color w:val="000000" w:themeColor="text1"/>
      <w:szCs w:val="20"/>
      <w:lang w:eastAsia="en-AU"/>
    </w:rPr>
  </w:style>
  <w:style w:type="paragraph" w:customStyle="1" w:styleId="Heading2Numbered">
    <w:name w:val="Heading 2 Numbered"/>
    <w:basedOn w:val="Heading2"/>
    <w:next w:val="Normal"/>
    <w:rsid w:val="00645462"/>
    <w:pPr>
      <w:numPr>
        <w:ilvl w:val="1"/>
        <w:numId w:val="8"/>
      </w:numPr>
      <w:ind w:left="284" w:hanging="284"/>
    </w:pPr>
  </w:style>
  <w:style w:type="paragraph" w:customStyle="1" w:styleId="Heading3Numbered">
    <w:name w:val="Heading 3 Numbered"/>
    <w:basedOn w:val="Heading3"/>
    <w:rsid w:val="00645462"/>
    <w:pPr>
      <w:numPr>
        <w:ilvl w:val="2"/>
        <w:numId w:val="8"/>
      </w:numPr>
      <w:ind w:left="284" w:hanging="284"/>
    </w:pPr>
  </w:style>
  <w:style w:type="paragraph" w:styleId="Title">
    <w:name w:val="Title"/>
    <w:basedOn w:val="Normal"/>
    <w:next w:val="Normal"/>
    <w:link w:val="TitleChar"/>
    <w:uiPriority w:val="10"/>
    <w:rsid w:val="00645462"/>
    <w:pPr>
      <w:spacing w:before="2400" w:after="300"/>
      <w:contextualSpacing/>
      <w:outlineLvl w:val="0"/>
    </w:pPr>
    <w:rPr>
      <w:rFonts w:asciiTheme="majorHAnsi" w:eastAsiaTheme="majorEastAsia" w:hAnsiTheme="majorHAnsi" w:cstheme="majorBidi"/>
      <w:b/>
      <w:color w:val="auto"/>
      <w:spacing w:val="5"/>
      <w:kern w:val="28"/>
      <w:sz w:val="72"/>
      <w:szCs w:val="52"/>
    </w:rPr>
  </w:style>
  <w:style w:type="character" w:customStyle="1" w:styleId="TitleChar">
    <w:name w:val="Title Char"/>
    <w:basedOn w:val="DefaultParagraphFont"/>
    <w:link w:val="Title"/>
    <w:uiPriority w:val="10"/>
    <w:rsid w:val="00645462"/>
    <w:rPr>
      <w:rFonts w:asciiTheme="majorHAnsi" w:eastAsiaTheme="majorEastAsia" w:hAnsiTheme="majorHAnsi" w:cstheme="majorBidi"/>
      <w:b/>
      <w:spacing w:val="5"/>
      <w:kern w:val="28"/>
      <w:sz w:val="72"/>
      <w:szCs w:val="52"/>
      <w:lang w:eastAsia="en-AU"/>
    </w:rPr>
  </w:style>
  <w:style w:type="paragraph" w:styleId="Subtitle">
    <w:name w:val="Subtitle"/>
    <w:basedOn w:val="Normal"/>
    <w:next w:val="Normal"/>
    <w:link w:val="SubtitleChar"/>
    <w:uiPriority w:val="11"/>
    <w:rsid w:val="00645462"/>
    <w:pPr>
      <w:numPr>
        <w:ilvl w:val="1"/>
      </w:numPr>
    </w:pPr>
    <w:rPr>
      <w:rFonts w:asciiTheme="majorHAnsi" w:eastAsiaTheme="majorEastAsia" w:hAnsiTheme="majorHAnsi" w:cstheme="majorBidi"/>
      <w:iCs/>
      <w:color w:val="auto"/>
      <w:sz w:val="44"/>
      <w:szCs w:val="44"/>
    </w:rPr>
  </w:style>
  <w:style w:type="character" w:customStyle="1" w:styleId="SubtitleChar">
    <w:name w:val="Subtitle Char"/>
    <w:basedOn w:val="DefaultParagraphFont"/>
    <w:link w:val="Subtitle"/>
    <w:uiPriority w:val="11"/>
    <w:rsid w:val="00645462"/>
    <w:rPr>
      <w:rFonts w:asciiTheme="majorHAnsi" w:eastAsiaTheme="majorEastAsia" w:hAnsiTheme="majorHAnsi" w:cstheme="majorBidi"/>
      <w:iCs/>
      <w:sz w:val="44"/>
      <w:szCs w:val="44"/>
      <w:lang w:eastAsia="en-AU"/>
    </w:rPr>
  </w:style>
  <w:style w:type="character" w:styleId="SubtleEmphasis">
    <w:name w:val="Subtle Emphasis"/>
    <w:basedOn w:val="DefaultParagraphFont"/>
    <w:uiPriority w:val="19"/>
    <w:rsid w:val="00645462"/>
    <w:rPr>
      <w:i/>
      <w:iCs/>
      <w:color w:val="808080" w:themeColor="text1" w:themeTint="7F"/>
    </w:rPr>
  </w:style>
  <w:style w:type="paragraph" w:styleId="Footer">
    <w:name w:val="footer"/>
    <w:basedOn w:val="Normal"/>
    <w:link w:val="FooterChar"/>
    <w:unhideWhenUsed/>
    <w:rsid w:val="00645462"/>
    <w:pPr>
      <w:tabs>
        <w:tab w:val="center" w:pos="4513"/>
        <w:tab w:val="right" w:pos="9026"/>
      </w:tabs>
      <w:spacing w:before="0" w:after="0"/>
      <w:jc w:val="center"/>
    </w:pPr>
    <w:rPr>
      <w:sz w:val="20"/>
    </w:rPr>
  </w:style>
  <w:style w:type="character" w:customStyle="1" w:styleId="FooterChar">
    <w:name w:val="Footer Char"/>
    <w:basedOn w:val="DefaultParagraphFont"/>
    <w:link w:val="Footer"/>
    <w:rsid w:val="00645462"/>
    <w:rPr>
      <w:rFonts w:eastAsia="Times New Roman" w:cs="Times New Roman"/>
      <w:color w:val="000000" w:themeColor="text1"/>
      <w:sz w:val="20"/>
      <w:szCs w:val="20"/>
      <w:lang w:eastAsia="en-AU"/>
    </w:rPr>
  </w:style>
  <w:style w:type="paragraph" w:styleId="Header">
    <w:name w:val="header"/>
    <w:basedOn w:val="Normal"/>
    <w:link w:val="HeaderChar"/>
    <w:uiPriority w:val="99"/>
    <w:unhideWhenUsed/>
    <w:rsid w:val="00645462"/>
    <w:pPr>
      <w:keepNext/>
      <w:spacing w:before="0" w:after="0"/>
    </w:pPr>
    <w:rPr>
      <w:color w:val="auto"/>
      <w:sz w:val="20"/>
    </w:rPr>
  </w:style>
  <w:style w:type="character" w:customStyle="1" w:styleId="HeaderChar">
    <w:name w:val="Header Char"/>
    <w:basedOn w:val="DefaultParagraphFont"/>
    <w:link w:val="Header"/>
    <w:uiPriority w:val="99"/>
    <w:rsid w:val="00645462"/>
    <w:rPr>
      <w:rFonts w:eastAsia="Times New Roman" w:cs="Times New Roman"/>
      <w:sz w:val="20"/>
      <w:szCs w:val="20"/>
      <w:lang w:eastAsia="en-AU"/>
    </w:rPr>
  </w:style>
  <w:style w:type="character" w:styleId="PlaceholderText">
    <w:name w:val="Placeholder Text"/>
    <w:basedOn w:val="DefaultParagraphFont"/>
    <w:uiPriority w:val="99"/>
    <w:semiHidden/>
    <w:rsid w:val="00645462"/>
    <w:rPr>
      <w:color w:val="808080"/>
    </w:rPr>
  </w:style>
  <w:style w:type="paragraph" w:customStyle="1" w:styleId="AppendixHeading">
    <w:name w:val="Appendix Heading"/>
    <w:basedOn w:val="Heading1"/>
    <w:next w:val="Normal"/>
    <w:rsid w:val="00645462"/>
  </w:style>
  <w:style w:type="paragraph" w:customStyle="1" w:styleId="HeadingBase">
    <w:name w:val="Heading Base"/>
    <w:rsid w:val="00645462"/>
    <w:pPr>
      <w:keepNext/>
      <w:spacing w:after="120" w:line="240" w:lineRule="auto"/>
    </w:pPr>
    <w:rPr>
      <w:rFonts w:asciiTheme="majorHAnsi" w:eastAsia="Times New Roman" w:hAnsiTheme="majorHAnsi" w:cs="Arial"/>
      <w:bCs/>
      <w:color w:val="000000" w:themeColor="text1"/>
      <w:kern w:val="32"/>
      <w:sz w:val="48"/>
      <w:szCs w:val="36"/>
      <w:lang w:eastAsia="en-AU"/>
    </w:rPr>
  </w:style>
  <w:style w:type="character" w:customStyle="1" w:styleId="ReportDateChar">
    <w:name w:val="Report Date Char"/>
    <w:basedOn w:val="DefaultParagraphFont"/>
    <w:link w:val="ReportDate"/>
    <w:rsid w:val="00645462"/>
    <w:rPr>
      <w:rFonts w:eastAsia="Times New Roman" w:cs="Times New Roman"/>
      <w:sz w:val="32"/>
      <w:szCs w:val="20"/>
      <w:lang w:eastAsia="en-AU"/>
    </w:rPr>
  </w:style>
  <w:style w:type="paragraph" w:customStyle="1" w:styleId="NotesHeading">
    <w:name w:val="Notes Heading"/>
    <w:basedOn w:val="Normal"/>
    <w:rsid w:val="00645462"/>
    <w:pPr>
      <w:keepNext/>
      <w:spacing w:after="360"/>
      <w:jc w:val="center"/>
    </w:pPr>
    <w:rPr>
      <w:rFonts w:ascii="Century Gothic" w:hAnsi="Century Gothic"/>
      <w:smallCaps/>
      <w:color w:val="000000" w:themeColor="text2"/>
      <w:sz w:val="36"/>
      <w:szCs w:val="36"/>
    </w:rPr>
  </w:style>
  <w:style w:type="paragraph" w:styleId="ListParagraph">
    <w:name w:val="List Paragraph"/>
    <w:basedOn w:val="Normal"/>
    <w:uiPriority w:val="34"/>
    <w:rsid w:val="00645462"/>
    <w:pPr>
      <w:ind w:left="720"/>
      <w:contextualSpacing/>
    </w:pPr>
  </w:style>
  <w:style w:type="paragraph" w:customStyle="1" w:styleId="TableTextIndented">
    <w:name w:val="Table Text Indented"/>
    <w:basedOn w:val="TableTextLeft"/>
    <w:rsid w:val="00645462"/>
    <w:pPr>
      <w:ind w:left="284"/>
    </w:pPr>
  </w:style>
  <w:style w:type="paragraph" w:customStyle="1" w:styleId="TableHeadingContinued">
    <w:name w:val="Table Heading Continued"/>
    <w:basedOn w:val="TableMainHeading"/>
    <w:next w:val="TableGraphic"/>
    <w:rsid w:val="00645462"/>
  </w:style>
  <w:style w:type="paragraph" w:customStyle="1" w:styleId="TableGraphic">
    <w:name w:val="Table Graphic"/>
    <w:basedOn w:val="HeadingBase"/>
    <w:next w:val="Normal"/>
    <w:rsid w:val="00645462"/>
    <w:pPr>
      <w:spacing w:after="0"/>
    </w:pPr>
  </w:style>
  <w:style w:type="paragraph" w:customStyle="1" w:styleId="HeaderEven">
    <w:name w:val="Header Even"/>
    <w:basedOn w:val="Header"/>
    <w:qFormat/>
    <w:rsid w:val="00645462"/>
  </w:style>
  <w:style w:type="paragraph" w:customStyle="1" w:styleId="HeaderOdd">
    <w:name w:val="Header Odd"/>
    <w:basedOn w:val="Header"/>
    <w:qFormat/>
    <w:rsid w:val="00645462"/>
    <w:pPr>
      <w:jc w:val="right"/>
    </w:pPr>
  </w:style>
  <w:style w:type="paragraph" w:styleId="FootnoteText">
    <w:name w:val="footnote text"/>
    <w:basedOn w:val="Normal"/>
    <w:link w:val="FootnoteTextChar"/>
    <w:uiPriority w:val="99"/>
    <w:rsid w:val="00645462"/>
    <w:pPr>
      <w:spacing w:before="0" w:after="0"/>
      <w:ind w:left="397" w:hanging="397"/>
    </w:pPr>
    <w:rPr>
      <w:sz w:val="20"/>
    </w:rPr>
  </w:style>
  <w:style w:type="character" w:customStyle="1" w:styleId="FootnoteTextChar">
    <w:name w:val="Footnote Text Char"/>
    <w:basedOn w:val="DefaultParagraphFont"/>
    <w:link w:val="FootnoteText"/>
    <w:uiPriority w:val="99"/>
    <w:rsid w:val="00645462"/>
    <w:rPr>
      <w:rFonts w:eastAsia="Times New Roman" w:cs="Times New Roman"/>
      <w:color w:val="000000" w:themeColor="text1"/>
      <w:sz w:val="20"/>
      <w:szCs w:val="20"/>
      <w:lang w:eastAsia="en-AU"/>
    </w:rPr>
  </w:style>
  <w:style w:type="character" w:styleId="FootnoteReference">
    <w:name w:val="footnote reference"/>
    <w:basedOn w:val="DefaultParagraphFont"/>
    <w:uiPriority w:val="99"/>
    <w:rsid w:val="00645462"/>
    <w:rPr>
      <w:sz w:val="18"/>
    </w:rPr>
  </w:style>
  <w:style w:type="paragraph" w:styleId="BalloonText">
    <w:name w:val="Balloon Text"/>
    <w:basedOn w:val="Normal"/>
    <w:link w:val="BalloonTextChar"/>
    <w:uiPriority w:val="99"/>
    <w:semiHidden/>
    <w:unhideWhenUsed/>
    <w:rsid w:val="00645462"/>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645462"/>
    <w:rPr>
      <w:rFonts w:ascii="Tahoma" w:eastAsia="Times New Roman" w:hAnsi="Tahoma" w:cs="Tahoma"/>
      <w:color w:val="000000" w:themeColor="text1"/>
      <w:sz w:val="16"/>
      <w:szCs w:val="16"/>
      <w:lang w:eastAsia="en-AU"/>
    </w:rPr>
  </w:style>
  <w:style w:type="character" w:customStyle="1" w:styleId="BoxTextChar">
    <w:name w:val="Box Text Char"/>
    <w:basedOn w:val="DefaultParagraphFont"/>
    <w:link w:val="BoxText"/>
    <w:locked/>
    <w:rsid w:val="00645462"/>
    <w:rPr>
      <w:rFonts w:eastAsia="Times New Roman" w:cs="Times New Roman"/>
      <w:color w:val="000000" w:themeColor="text1"/>
      <w:lang w:eastAsia="en-AU"/>
    </w:rPr>
  </w:style>
  <w:style w:type="paragraph" w:customStyle="1" w:styleId="Boxbullet">
    <w:name w:val="Box bullet"/>
    <w:basedOn w:val="BoxText"/>
    <w:rsid w:val="00645462"/>
    <w:pPr>
      <w:numPr>
        <w:numId w:val="22"/>
      </w:numPr>
    </w:pPr>
    <w:rPr>
      <w:lang w:eastAsia="en-US"/>
    </w:rPr>
  </w:style>
  <w:style w:type="paragraph" w:customStyle="1" w:styleId="Boxdash">
    <w:name w:val="Box dash"/>
    <w:basedOn w:val="Boxbullet"/>
    <w:rsid w:val="00645462"/>
    <w:pPr>
      <w:numPr>
        <w:ilvl w:val="1"/>
      </w:numPr>
      <w:tabs>
        <w:tab w:val="num" w:pos="1040"/>
      </w:tabs>
      <w:spacing w:before="60" w:after="60" w:line="276" w:lineRule="auto"/>
    </w:pPr>
    <w:rPr>
      <w:rFonts w:eastAsiaTheme="minorHAnsi"/>
      <w:color w:val="0D0D0D" w:themeColor="text1" w:themeTint="F2"/>
    </w:rPr>
  </w:style>
  <w:style w:type="paragraph" w:customStyle="1" w:styleId="Boxdoubledot">
    <w:name w:val="Box double dot"/>
    <w:basedOn w:val="Boxdash"/>
    <w:rsid w:val="00645462"/>
    <w:pPr>
      <w:numPr>
        <w:ilvl w:val="2"/>
      </w:numPr>
      <w:tabs>
        <w:tab w:val="left" w:pos="567"/>
        <w:tab w:val="num" w:pos="1560"/>
      </w:tabs>
    </w:pPr>
  </w:style>
  <w:style w:type="paragraph" w:customStyle="1" w:styleId="Instructions">
    <w:name w:val="Instructions"/>
    <w:basedOn w:val="Normal"/>
    <w:uiPriority w:val="1"/>
    <w:qFormat/>
    <w:rsid w:val="00645462"/>
    <w:pPr>
      <w:shd w:val="clear" w:color="auto" w:fill="FFFF00"/>
      <w:ind w:left="170" w:hanging="170"/>
    </w:pPr>
    <w:rPr>
      <w:sz w:val="20"/>
      <w:szCs w:val="24"/>
    </w:rPr>
  </w:style>
  <w:style w:type="character" w:styleId="CommentReference">
    <w:name w:val="annotation reference"/>
    <w:basedOn w:val="DefaultParagraphFont"/>
    <w:uiPriority w:val="99"/>
    <w:semiHidden/>
    <w:unhideWhenUsed/>
    <w:rsid w:val="00645462"/>
    <w:rPr>
      <w:sz w:val="16"/>
      <w:szCs w:val="16"/>
    </w:rPr>
  </w:style>
  <w:style w:type="paragraph" w:styleId="CommentText">
    <w:name w:val="annotation text"/>
    <w:basedOn w:val="Normal"/>
    <w:link w:val="CommentTextChar"/>
    <w:uiPriority w:val="99"/>
    <w:semiHidden/>
    <w:unhideWhenUsed/>
    <w:rsid w:val="00645462"/>
    <w:rPr>
      <w:rFonts w:ascii="Calibri" w:hAnsi="Calibri"/>
      <w:sz w:val="20"/>
    </w:rPr>
  </w:style>
  <w:style w:type="character" w:customStyle="1" w:styleId="CommentTextChar">
    <w:name w:val="Comment Text Char"/>
    <w:basedOn w:val="DefaultParagraphFont"/>
    <w:link w:val="CommentText"/>
    <w:uiPriority w:val="99"/>
    <w:semiHidden/>
    <w:rsid w:val="00645462"/>
    <w:rPr>
      <w:rFonts w:ascii="Calibri" w:eastAsia="Times New Roman" w:hAnsi="Calibri" w:cs="Times New Roman"/>
      <w:color w:val="000000" w:themeColor="text1"/>
      <w:sz w:val="20"/>
      <w:szCs w:val="20"/>
      <w:lang w:eastAsia="en-AU"/>
    </w:rPr>
  </w:style>
  <w:style w:type="paragraph" w:styleId="CommentSubject">
    <w:name w:val="annotation subject"/>
    <w:basedOn w:val="CommentText"/>
    <w:next w:val="CommentText"/>
    <w:link w:val="CommentSubjectChar"/>
    <w:uiPriority w:val="99"/>
    <w:semiHidden/>
    <w:unhideWhenUsed/>
    <w:rsid w:val="00645462"/>
    <w:rPr>
      <w:b/>
      <w:bCs/>
    </w:rPr>
  </w:style>
  <w:style w:type="character" w:customStyle="1" w:styleId="CommentSubjectChar">
    <w:name w:val="Comment Subject Char"/>
    <w:basedOn w:val="CommentTextChar"/>
    <w:link w:val="CommentSubject"/>
    <w:uiPriority w:val="99"/>
    <w:semiHidden/>
    <w:rsid w:val="00645462"/>
    <w:rPr>
      <w:rFonts w:ascii="Calibri" w:eastAsia="Times New Roman" w:hAnsi="Calibri" w:cs="Times New Roman"/>
      <w:b/>
      <w:bCs/>
      <w:color w:val="000000" w:themeColor="text1"/>
      <w:sz w:val="20"/>
      <w:szCs w:val="20"/>
      <w:lang w:eastAsia="en-AU"/>
    </w:rPr>
  </w:style>
  <w:style w:type="character" w:styleId="UnresolvedMention">
    <w:name w:val="Unresolved Mention"/>
    <w:basedOn w:val="DefaultParagraphFont"/>
    <w:uiPriority w:val="99"/>
    <w:semiHidden/>
    <w:unhideWhenUsed/>
    <w:rsid w:val="00645462"/>
    <w:rPr>
      <w:color w:val="605E5C"/>
      <w:shd w:val="clear" w:color="auto" w:fill="E1DFDD"/>
    </w:rPr>
  </w:style>
  <w:style w:type="character" w:styleId="Emphasis">
    <w:name w:val="Emphasis"/>
    <w:basedOn w:val="DefaultParagraphFont"/>
    <w:uiPriority w:val="20"/>
    <w:rsid w:val="00645462"/>
    <w:rPr>
      <w:i/>
      <w:iCs/>
    </w:rPr>
  </w:style>
  <w:style w:type="table" w:customStyle="1" w:styleId="SidebySideChartTable">
    <w:name w:val="Side by Side Chart Table"/>
    <w:basedOn w:val="TableNormal"/>
    <w:uiPriority w:val="99"/>
    <w:rsid w:val="00645462"/>
    <w:pPr>
      <w:spacing w:after="0" w:line="240" w:lineRule="auto"/>
    </w:pPr>
    <w:tblPr>
      <w:tblStyleRowBandSize w:val="1"/>
      <w:tblStyleColBandSize w:val="1"/>
      <w:tblCellMar>
        <w:left w:w="0" w:type="dxa"/>
        <w:right w:w="0" w:type="dxa"/>
      </w:tblCellMar>
    </w:tblPr>
    <w:trPr>
      <w:cantSplit/>
    </w:trPr>
    <w:tblStylePr w:type="firstRow">
      <w:tblPr/>
      <w:trPr>
        <w:cantSplit/>
        <w:tblHeader/>
      </w:trPr>
    </w:tblStylePr>
  </w:style>
  <w:style w:type="table" w:customStyle="1" w:styleId="BoxStyle">
    <w:name w:val="Box Style"/>
    <w:basedOn w:val="TableNormal"/>
    <w:uiPriority w:val="99"/>
    <w:rsid w:val="00645462"/>
    <w:pPr>
      <w:spacing w:after="0" w:line="240" w:lineRule="auto"/>
    </w:pPr>
    <w:rPr>
      <w:sz w:val="20"/>
    </w:rPr>
    <w:tblPr>
      <w:tblCellMar>
        <w:top w:w="284" w:type="dxa"/>
        <w:left w:w="284" w:type="dxa"/>
        <w:bottom w:w="284" w:type="dxa"/>
        <w:right w:w="284" w:type="dxa"/>
      </w:tblCellMar>
    </w:tblPr>
    <w:tcPr>
      <w:shd w:val="clear" w:color="auto" w:fill="F8F8F8" w:themeFill="background2"/>
    </w:tcPr>
  </w:style>
  <w:style w:type="character" w:styleId="Strong">
    <w:name w:val="Strong"/>
    <w:basedOn w:val="DefaultParagraphFont"/>
    <w:qFormat/>
    <w:rsid w:val="00645462"/>
    <w:rPr>
      <w:b/>
      <w:bCs/>
    </w:rPr>
  </w:style>
  <w:style w:type="paragraph" w:styleId="Revision">
    <w:name w:val="Revision"/>
    <w:hidden/>
    <w:uiPriority w:val="99"/>
    <w:semiHidden/>
    <w:rsid w:val="00241972"/>
    <w:pPr>
      <w:spacing w:after="0" w:line="240" w:lineRule="auto"/>
    </w:pPr>
    <w:rPr>
      <w:rFonts w:eastAsia="Times New Roman" w:cs="Times New Roman"/>
      <w:color w:val="000000" w:themeColor="text1"/>
      <w:szCs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1022649">
      <w:bodyDiv w:val="1"/>
      <w:marLeft w:val="0"/>
      <w:marRight w:val="0"/>
      <w:marTop w:val="0"/>
      <w:marBottom w:val="0"/>
      <w:divBdr>
        <w:top w:val="none" w:sz="0" w:space="0" w:color="auto"/>
        <w:left w:val="none" w:sz="0" w:space="0" w:color="auto"/>
        <w:bottom w:val="none" w:sz="0" w:space="0" w:color="auto"/>
        <w:right w:val="none" w:sz="0" w:space="0" w:color="auto"/>
      </w:divBdr>
    </w:div>
    <w:div w:id="810555610">
      <w:bodyDiv w:val="1"/>
      <w:marLeft w:val="0"/>
      <w:marRight w:val="0"/>
      <w:marTop w:val="0"/>
      <w:marBottom w:val="0"/>
      <w:divBdr>
        <w:top w:val="none" w:sz="0" w:space="0" w:color="auto"/>
        <w:left w:val="none" w:sz="0" w:space="0" w:color="auto"/>
        <w:bottom w:val="none" w:sz="0" w:space="0" w:color="auto"/>
        <w:right w:val="none" w:sz="0" w:space="0" w:color="auto"/>
      </w:divBdr>
    </w:div>
    <w:div w:id="883638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2.png"/><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SYBrand">
  <a:themeElements>
    <a:clrScheme name="Treasury Grayscale">
      <a:dk1>
        <a:sysClr val="windowText" lastClr="000000"/>
      </a:dk1>
      <a:lt1>
        <a:sysClr val="window" lastClr="FFFFFF"/>
      </a:lt1>
      <a:dk2>
        <a:srgbClr val="000000"/>
      </a:dk2>
      <a:lt2>
        <a:srgbClr val="F8F8F8"/>
      </a:lt2>
      <a:accent1>
        <a:srgbClr val="E6E6E6"/>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Custom 1">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1532</Words>
  <Characters>9792</Characters>
  <Application>Microsoft Office Word</Application>
  <DocSecurity>0</DocSecurity>
  <Lines>168</Lines>
  <Paragraphs>64</Paragraphs>
  <ScaleCrop>false</ScaleCrop>
  <HeadingPairs>
    <vt:vector size="2" baseType="variant">
      <vt:variant>
        <vt:lpstr>Title</vt:lpstr>
      </vt:variant>
      <vt:variant>
        <vt:i4>1</vt:i4>
      </vt:variant>
    </vt:vector>
  </HeadingPairs>
  <TitlesOfParts>
    <vt:vector size="1" baseType="lpstr">
      <vt:lpstr>Australian Government response to the Senate Economics References Committee report: Micro-competition opportunities in e-conveyancing</vt:lpstr>
    </vt:vector>
  </TitlesOfParts>
  <Company/>
  <LinksUpToDate>false</LinksUpToDate>
  <CharactersWithSpaces>11264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Australian Government response to the Senate Economics References Committee report: Micro-competition opportunities in e-conveyancing</dc:title>
  <dc:subject/>
  <dc:creator>Australian Government</dc:creator>
  <cp:keywords/>
  <cp:lastModifiedBy/>
  <cp:revision>1</cp:revision>
  <dcterms:created xsi:type="dcterms:W3CDTF">2026-03-25T04:58:00Z</dcterms:created>
  <dcterms:modified xsi:type="dcterms:W3CDTF">2026-03-25T04:59:00Z</dcterms:modified>
  <dc:language>English</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f932d64-9ab1-4d9b-81d2-a3a8b82dd47d_Enabled">
    <vt:lpwstr>true</vt:lpwstr>
  </property>
  <property fmtid="{D5CDD505-2E9C-101B-9397-08002B2CF9AE}" pid="3" name="MSIP_Label_4f932d64-9ab1-4d9b-81d2-a3a8b82dd47d_SetDate">
    <vt:lpwstr>2026-03-25T04:59:18Z</vt:lpwstr>
  </property>
  <property fmtid="{D5CDD505-2E9C-101B-9397-08002B2CF9AE}" pid="4" name="MSIP_Label_4f932d64-9ab1-4d9b-81d2-a3a8b82dd47d_Method">
    <vt:lpwstr>Privileged</vt:lpwstr>
  </property>
  <property fmtid="{D5CDD505-2E9C-101B-9397-08002B2CF9AE}" pid="5" name="MSIP_Label_4f932d64-9ab1-4d9b-81d2-a3a8b82dd47d_Name">
    <vt:lpwstr>OFFICIAL No Visual Marking</vt:lpwstr>
  </property>
  <property fmtid="{D5CDD505-2E9C-101B-9397-08002B2CF9AE}" pid="6" name="MSIP_Label_4f932d64-9ab1-4d9b-81d2-a3a8b82dd47d_SiteId">
    <vt:lpwstr>214f1646-2021-47cc-8397-e3d3a7ba7d9d</vt:lpwstr>
  </property>
  <property fmtid="{D5CDD505-2E9C-101B-9397-08002B2CF9AE}" pid="7" name="MSIP_Label_4f932d64-9ab1-4d9b-81d2-a3a8b82dd47d_ActionId">
    <vt:lpwstr>084b13a9-5a77-4e18-be2b-5c9456832fa9</vt:lpwstr>
  </property>
  <property fmtid="{D5CDD505-2E9C-101B-9397-08002B2CF9AE}" pid="8" name="MSIP_Label_4f932d64-9ab1-4d9b-81d2-a3a8b82dd47d_ContentBits">
    <vt:lpwstr>0</vt:lpwstr>
  </property>
  <property fmtid="{D5CDD505-2E9C-101B-9397-08002B2CF9AE}" pid="9" name="MSIP_Label_4f932d64-9ab1-4d9b-81d2-a3a8b82dd47d_Tag">
    <vt:lpwstr>10, 0, 1, 1</vt:lpwstr>
  </property>
</Properties>
</file>