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1AA3F" w14:textId="228BA3DF" w:rsidR="007611DB" w:rsidRPr="0081685C" w:rsidRDefault="007611DB" w:rsidP="00A817A6">
      <w:pPr>
        <w:pStyle w:val="NumberedParagraph"/>
        <w:numPr>
          <w:ilvl w:val="0"/>
          <w:numId w:val="0"/>
        </w:numPr>
        <w:ind w:left="709"/>
      </w:pPr>
      <w:bookmarkStart w:id="0" w:name="_Hlk120619894"/>
    </w:p>
    <w:bookmarkEnd w:id="0"/>
    <w:p w14:paraId="63968968" w14:textId="77777777" w:rsidR="00F836EC" w:rsidRPr="0081685C" w:rsidRDefault="00F836EC" w:rsidP="0066679A">
      <w:pPr>
        <w:pStyle w:val="CoverTitleMain"/>
        <w:rPr>
          <w:color w:val="auto"/>
        </w:rPr>
      </w:pPr>
    </w:p>
    <w:p w14:paraId="3D908CA7" w14:textId="77777777" w:rsidR="00F836EC" w:rsidRPr="0081685C" w:rsidRDefault="00F836EC" w:rsidP="0066679A">
      <w:pPr>
        <w:pStyle w:val="CoverTitleMain"/>
        <w:rPr>
          <w:color w:val="auto"/>
        </w:rPr>
      </w:pPr>
    </w:p>
    <w:p w14:paraId="161CBA02" w14:textId="77777777" w:rsidR="00F836EC" w:rsidRPr="0081685C" w:rsidRDefault="00F836EC" w:rsidP="0066679A">
      <w:pPr>
        <w:pStyle w:val="CoverTitleMain"/>
        <w:rPr>
          <w:color w:val="auto"/>
        </w:rPr>
      </w:pPr>
    </w:p>
    <w:p w14:paraId="378205F9" w14:textId="77777777" w:rsidR="00F836EC" w:rsidRPr="0081685C" w:rsidRDefault="00F836EC" w:rsidP="0066679A">
      <w:pPr>
        <w:pStyle w:val="CoverTitleMain"/>
        <w:rPr>
          <w:color w:val="auto"/>
        </w:rPr>
      </w:pPr>
    </w:p>
    <w:p w14:paraId="154D0828" w14:textId="122BF827" w:rsidR="007611DB" w:rsidRPr="00211BAA" w:rsidRDefault="007611DB" w:rsidP="0066679A">
      <w:pPr>
        <w:pStyle w:val="CoverTitleMain"/>
        <w:rPr>
          <w:color w:val="auto"/>
        </w:rPr>
      </w:pPr>
      <w:r w:rsidRPr="00211BAA">
        <w:rPr>
          <w:color w:val="auto"/>
        </w:rPr>
        <w:t>Treasury Submission to the Select Committee on Productivity in Australia</w:t>
      </w:r>
    </w:p>
    <w:p w14:paraId="473EB522" w14:textId="657883F6" w:rsidR="007611DB" w:rsidRPr="00211BAA" w:rsidRDefault="006223FC" w:rsidP="0066679A">
      <w:pPr>
        <w:pStyle w:val="CoverDate"/>
        <w:rPr>
          <w:color w:val="auto"/>
        </w:rPr>
      </w:pPr>
      <w:r w:rsidRPr="00211BAA">
        <w:rPr>
          <w:color w:val="auto"/>
        </w:rPr>
        <w:t>March</w:t>
      </w:r>
      <w:r w:rsidR="007611DB" w:rsidRPr="00211BAA">
        <w:rPr>
          <w:color w:val="auto"/>
        </w:rPr>
        <w:t xml:space="preserve"> 2026</w:t>
      </w:r>
    </w:p>
    <w:p w14:paraId="4BB7A195" w14:textId="77777777" w:rsidR="007611DB" w:rsidRPr="00211BAA" w:rsidRDefault="007611DB" w:rsidP="0066679A">
      <w:pPr>
        <w:pStyle w:val="CoverDate"/>
        <w:rPr>
          <w:color w:val="auto"/>
        </w:rPr>
      </w:pPr>
    </w:p>
    <w:p w14:paraId="5EBEAEDD" w14:textId="77777777" w:rsidR="007611DB" w:rsidRPr="00211BAA" w:rsidRDefault="007611DB" w:rsidP="00A817A6">
      <w:pPr>
        <w:pStyle w:val="NumberedParagraph"/>
        <w:sectPr w:rsidR="007611DB" w:rsidRPr="00211BAA" w:rsidSect="00157150">
          <w:headerReference w:type="default" r:id="rId7"/>
          <w:footerReference w:type="default" r:id="rId8"/>
          <w:headerReference w:type="first" r:id="rId9"/>
          <w:type w:val="oddPage"/>
          <w:pgSz w:w="11906" w:h="16838" w:code="9"/>
          <w:pgMar w:top="1843" w:right="1418" w:bottom="1418" w:left="1418" w:header="709" w:footer="709" w:gutter="0"/>
          <w:cols w:space="708"/>
          <w:titlePg/>
          <w:docGrid w:linePitch="360"/>
        </w:sectPr>
      </w:pPr>
    </w:p>
    <w:p w14:paraId="5447370A" w14:textId="77777777" w:rsidR="007611DB" w:rsidRPr="00211BAA" w:rsidRDefault="007611DB" w:rsidP="006323CF">
      <w:pPr>
        <w:pStyle w:val="ContentsHeading"/>
        <w:ind w:left="-6" w:firstLine="0"/>
        <w:rPr>
          <w:color w:val="auto"/>
        </w:rPr>
      </w:pPr>
      <w:r w:rsidRPr="00211BAA">
        <w:rPr>
          <w:color w:val="auto"/>
        </w:rPr>
        <w:lastRenderedPageBreak/>
        <w:t>Contents</w:t>
      </w:r>
    </w:p>
    <w:p w14:paraId="3A6471AA" w14:textId="37937EAE" w:rsidR="00310101" w:rsidRDefault="007611DB">
      <w:pPr>
        <w:pStyle w:val="TOC1"/>
        <w:rPr>
          <w:rFonts w:asciiTheme="minorHAnsi" w:eastAsiaTheme="minorEastAsia" w:hAnsiTheme="minorHAnsi" w:cstheme="minorBidi"/>
          <w:b w:val="0"/>
          <w:color w:val="auto"/>
          <w:kern w:val="2"/>
          <w:sz w:val="24"/>
          <w:szCs w:val="24"/>
          <w14:ligatures w14:val="standardContextual"/>
        </w:rPr>
      </w:pPr>
      <w:r w:rsidRPr="00211BAA">
        <w:rPr>
          <w:color w:val="auto"/>
          <w:szCs w:val="24"/>
        </w:rPr>
        <w:fldChar w:fldCharType="begin"/>
      </w:r>
      <w:r w:rsidRPr="00211BAA">
        <w:rPr>
          <w:color w:val="auto"/>
        </w:rPr>
        <w:instrText xml:space="preserve"> TOC \o "1-3" \t "Appendix Heading,1" </w:instrText>
      </w:r>
      <w:r w:rsidRPr="00211BAA">
        <w:rPr>
          <w:color w:val="auto"/>
          <w:szCs w:val="24"/>
        </w:rPr>
        <w:fldChar w:fldCharType="separate"/>
      </w:r>
      <w:r w:rsidR="00310101" w:rsidRPr="00F16076">
        <w:rPr>
          <w:color w:val="auto"/>
        </w:rPr>
        <w:t>Executive Summary</w:t>
      </w:r>
      <w:r w:rsidR="00310101">
        <w:tab/>
      </w:r>
      <w:r w:rsidR="00310101">
        <w:fldChar w:fldCharType="begin"/>
      </w:r>
      <w:r w:rsidR="00310101">
        <w:instrText xml:space="preserve"> PAGEREF _Toc224893959 \h </w:instrText>
      </w:r>
      <w:r w:rsidR="00310101">
        <w:fldChar w:fldCharType="separate"/>
      </w:r>
      <w:r w:rsidR="00310101">
        <w:t>1</w:t>
      </w:r>
      <w:r w:rsidR="00310101">
        <w:fldChar w:fldCharType="end"/>
      </w:r>
    </w:p>
    <w:p w14:paraId="3A694F4A" w14:textId="44E36D1D" w:rsidR="00310101" w:rsidRDefault="00310101">
      <w:pPr>
        <w:pStyle w:val="TOC1"/>
        <w:tabs>
          <w:tab w:val="left" w:pos="426"/>
        </w:tabs>
        <w:rPr>
          <w:rFonts w:asciiTheme="minorHAnsi" w:eastAsiaTheme="minorEastAsia" w:hAnsiTheme="minorHAnsi" w:cstheme="minorBidi"/>
          <w:b w:val="0"/>
          <w:color w:val="auto"/>
          <w:kern w:val="2"/>
          <w:sz w:val="24"/>
          <w:szCs w:val="24"/>
          <w14:ligatures w14:val="standardContextual"/>
        </w:rPr>
      </w:pPr>
      <w:r w:rsidRPr="00F16076">
        <w:rPr>
          <w:color w:val="auto"/>
        </w:rPr>
        <w:t>1.</w:t>
      </w:r>
      <w:r>
        <w:rPr>
          <w:rFonts w:asciiTheme="minorHAnsi" w:eastAsiaTheme="minorEastAsia" w:hAnsiTheme="minorHAnsi" w:cstheme="minorBidi"/>
          <w:b w:val="0"/>
          <w:color w:val="auto"/>
          <w:kern w:val="2"/>
          <w:sz w:val="24"/>
          <w:szCs w:val="24"/>
          <w14:ligatures w14:val="standardContextual"/>
        </w:rPr>
        <w:tab/>
      </w:r>
      <w:r w:rsidRPr="00F16076">
        <w:rPr>
          <w:color w:val="auto"/>
        </w:rPr>
        <w:t>About this submission</w:t>
      </w:r>
      <w:r>
        <w:tab/>
      </w:r>
      <w:r>
        <w:fldChar w:fldCharType="begin"/>
      </w:r>
      <w:r>
        <w:instrText xml:space="preserve"> PAGEREF _Toc224893960 \h </w:instrText>
      </w:r>
      <w:r>
        <w:fldChar w:fldCharType="separate"/>
      </w:r>
      <w:r>
        <w:t>2</w:t>
      </w:r>
      <w:r>
        <w:fldChar w:fldCharType="end"/>
      </w:r>
    </w:p>
    <w:p w14:paraId="75139D20" w14:textId="4C96CD27" w:rsidR="00310101" w:rsidRDefault="00310101">
      <w:pPr>
        <w:pStyle w:val="TOC1"/>
        <w:tabs>
          <w:tab w:val="left" w:pos="426"/>
        </w:tabs>
        <w:rPr>
          <w:rFonts w:asciiTheme="minorHAnsi" w:eastAsiaTheme="minorEastAsia" w:hAnsiTheme="minorHAnsi" w:cstheme="minorBidi"/>
          <w:b w:val="0"/>
          <w:color w:val="auto"/>
          <w:kern w:val="2"/>
          <w:sz w:val="24"/>
          <w:szCs w:val="24"/>
          <w14:ligatures w14:val="standardContextual"/>
        </w:rPr>
      </w:pPr>
      <w:r w:rsidRPr="00F16076">
        <w:rPr>
          <w:color w:val="auto"/>
        </w:rPr>
        <w:t>2.</w:t>
      </w:r>
      <w:r>
        <w:rPr>
          <w:rFonts w:asciiTheme="minorHAnsi" w:eastAsiaTheme="minorEastAsia" w:hAnsiTheme="minorHAnsi" w:cstheme="minorBidi"/>
          <w:b w:val="0"/>
          <w:color w:val="auto"/>
          <w:kern w:val="2"/>
          <w:sz w:val="24"/>
          <w:szCs w:val="24"/>
          <w14:ligatures w14:val="standardContextual"/>
        </w:rPr>
        <w:tab/>
      </w:r>
      <w:r w:rsidRPr="00F16076">
        <w:rPr>
          <w:color w:val="auto"/>
        </w:rPr>
        <w:t>Defining productivity</w:t>
      </w:r>
      <w:r>
        <w:tab/>
      </w:r>
      <w:r>
        <w:fldChar w:fldCharType="begin"/>
      </w:r>
      <w:r>
        <w:instrText xml:space="preserve"> PAGEREF _Toc224893961 \h </w:instrText>
      </w:r>
      <w:r>
        <w:fldChar w:fldCharType="separate"/>
      </w:r>
      <w:r>
        <w:t>2</w:t>
      </w:r>
      <w:r>
        <w:fldChar w:fldCharType="end"/>
      </w:r>
    </w:p>
    <w:p w14:paraId="0C7FCD43" w14:textId="237F2C54" w:rsidR="00310101" w:rsidRDefault="00310101">
      <w:pPr>
        <w:pStyle w:val="TOC2"/>
        <w:rPr>
          <w:rFonts w:asciiTheme="minorHAnsi" w:eastAsiaTheme="minorEastAsia" w:hAnsiTheme="minorHAnsi" w:cstheme="minorBidi"/>
          <w:kern w:val="2"/>
          <w:sz w:val="24"/>
          <w:szCs w:val="24"/>
          <w14:ligatures w14:val="standardContextual"/>
        </w:rPr>
      </w:pPr>
      <w:r w:rsidRPr="00F16076">
        <w:t>Drivers of productivity</w:t>
      </w:r>
      <w:r>
        <w:tab/>
      </w:r>
      <w:r>
        <w:fldChar w:fldCharType="begin"/>
      </w:r>
      <w:r>
        <w:instrText xml:space="preserve"> PAGEREF _Toc224893962 \h </w:instrText>
      </w:r>
      <w:r>
        <w:fldChar w:fldCharType="separate"/>
      </w:r>
      <w:r>
        <w:t>2</w:t>
      </w:r>
      <w:r>
        <w:fldChar w:fldCharType="end"/>
      </w:r>
    </w:p>
    <w:p w14:paraId="1DF247E7" w14:textId="4F33FD67" w:rsidR="00310101" w:rsidRDefault="00310101">
      <w:pPr>
        <w:pStyle w:val="TOC2"/>
        <w:rPr>
          <w:rFonts w:asciiTheme="minorHAnsi" w:eastAsiaTheme="minorEastAsia" w:hAnsiTheme="minorHAnsi" w:cstheme="minorBidi"/>
          <w:kern w:val="2"/>
          <w:sz w:val="24"/>
          <w:szCs w:val="24"/>
          <w14:ligatures w14:val="standardContextual"/>
        </w:rPr>
      </w:pPr>
      <w:r w:rsidRPr="00F16076">
        <w:t>Measuring productivity</w:t>
      </w:r>
      <w:r>
        <w:tab/>
      </w:r>
      <w:r>
        <w:fldChar w:fldCharType="begin"/>
      </w:r>
      <w:r>
        <w:instrText xml:space="preserve"> PAGEREF _Toc224893963 \h </w:instrText>
      </w:r>
      <w:r>
        <w:fldChar w:fldCharType="separate"/>
      </w:r>
      <w:r>
        <w:t>3</w:t>
      </w:r>
      <w:r>
        <w:fldChar w:fldCharType="end"/>
      </w:r>
    </w:p>
    <w:p w14:paraId="72BD241C" w14:textId="7EC4BD81" w:rsidR="00310101" w:rsidRDefault="00310101">
      <w:pPr>
        <w:pStyle w:val="TOC1"/>
        <w:tabs>
          <w:tab w:val="left" w:pos="426"/>
        </w:tabs>
        <w:rPr>
          <w:rFonts w:asciiTheme="minorHAnsi" w:eastAsiaTheme="minorEastAsia" w:hAnsiTheme="minorHAnsi" w:cstheme="minorBidi"/>
          <w:b w:val="0"/>
          <w:color w:val="auto"/>
          <w:kern w:val="2"/>
          <w:sz w:val="24"/>
          <w:szCs w:val="24"/>
          <w14:ligatures w14:val="standardContextual"/>
        </w:rPr>
      </w:pPr>
      <w:r w:rsidRPr="00F16076">
        <w:rPr>
          <w:color w:val="auto"/>
        </w:rPr>
        <w:t>3.</w:t>
      </w:r>
      <w:r>
        <w:rPr>
          <w:rFonts w:asciiTheme="minorHAnsi" w:eastAsiaTheme="minorEastAsia" w:hAnsiTheme="minorHAnsi" w:cstheme="minorBidi"/>
          <w:b w:val="0"/>
          <w:color w:val="auto"/>
          <w:kern w:val="2"/>
          <w:sz w:val="24"/>
          <w:szCs w:val="24"/>
          <w14:ligatures w14:val="standardContextual"/>
        </w:rPr>
        <w:tab/>
      </w:r>
      <w:r w:rsidRPr="00F16076">
        <w:rPr>
          <w:color w:val="auto"/>
        </w:rPr>
        <w:t>The importance of productivity</w:t>
      </w:r>
      <w:r>
        <w:tab/>
      </w:r>
      <w:r>
        <w:fldChar w:fldCharType="begin"/>
      </w:r>
      <w:r>
        <w:instrText xml:space="preserve"> PAGEREF _Toc224893964 \h </w:instrText>
      </w:r>
      <w:r>
        <w:fldChar w:fldCharType="separate"/>
      </w:r>
      <w:r>
        <w:t>3</w:t>
      </w:r>
      <w:r>
        <w:fldChar w:fldCharType="end"/>
      </w:r>
    </w:p>
    <w:p w14:paraId="5D1F330B" w14:textId="0B4B7C7F" w:rsidR="00310101" w:rsidRDefault="00310101">
      <w:pPr>
        <w:pStyle w:val="TOC2"/>
        <w:rPr>
          <w:rFonts w:asciiTheme="minorHAnsi" w:eastAsiaTheme="minorEastAsia" w:hAnsiTheme="minorHAnsi" w:cstheme="minorBidi"/>
          <w:kern w:val="2"/>
          <w:sz w:val="24"/>
          <w:szCs w:val="24"/>
          <w14:ligatures w14:val="standardContextual"/>
        </w:rPr>
      </w:pPr>
      <w:r w:rsidRPr="00F16076">
        <w:t>Productivity raises living standards</w:t>
      </w:r>
      <w:r>
        <w:tab/>
      </w:r>
      <w:r>
        <w:fldChar w:fldCharType="begin"/>
      </w:r>
      <w:r>
        <w:instrText xml:space="preserve"> PAGEREF _Toc224893965 \h </w:instrText>
      </w:r>
      <w:r>
        <w:fldChar w:fldCharType="separate"/>
      </w:r>
      <w:r>
        <w:t>3</w:t>
      </w:r>
      <w:r>
        <w:fldChar w:fldCharType="end"/>
      </w:r>
    </w:p>
    <w:p w14:paraId="10F603FE" w14:textId="4B935D4C" w:rsidR="00310101" w:rsidRDefault="00310101">
      <w:pPr>
        <w:pStyle w:val="TOC2"/>
        <w:rPr>
          <w:rFonts w:asciiTheme="minorHAnsi" w:eastAsiaTheme="minorEastAsia" w:hAnsiTheme="minorHAnsi" w:cstheme="minorBidi"/>
          <w:kern w:val="2"/>
          <w:sz w:val="24"/>
          <w:szCs w:val="24"/>
          <w14:ligatures w14:val="standardContextual"/>
        </w:rPr>
      </w:pPr>
      <w:r w:rsidRPr="00F16076">
        <w:t>Productivity determines sustainable growth rates</w:t>
      </w:r>
      <w:r>
        <w:tab/>
      </w:r>
      <w:r>
        <w:fldChar w:fldCharType="begin"/>
      </w:r>
      <w:r>
        <w:instrText xml:space="preserve"> PAGEREF _Toc224893966 \h </w:instrText>
      </w:r>
      <w:r>
        <w:fldChar w:fldCharType="separate"/>
      </w:r>
      <w:r>
        <w:t>3</w:t>
      </w:r>
      <w:r>
        <w:fldChar w:fldCharType="end"/>
      </w:r>
    </w:p>
    <w:p w14:paraId="4903D654" w14:textId="11D2D5E4" w:rsidR="00310101" w:rsidRDefault="00310101">
      <w:pPr>
        <w:pStyle w:val="TOC2"/>
        <w:rPr>
          <w:rFonts w:asciiTheme="minorHAnsi" w:eastAsiaTheme="minorEastAsia" w:hAnsiTheme="minorHAnsi" w:cstheme="minorBidi"/>
          <w:kern w:val="2"/>
          <w:sz w:val="24"/>
          <w:szCs w:val="24"/>
          <w14:ligatures w14:val="standardContextual"/>
        </w:rPr>
      </w:pPr>
      <w:r w:rsidRPr="00F16076">
        <w:t>Productivity influences fiscal policy</w:t>
      </w:r>
      <w:r>
        <w:tab/>
      </w:r>
      <w:r>
        <w:fldChar w:fldCharType="begin"/>
      </w:r>
      <w:r>
        <w:instrText xml:space="preserve"> PAGEREF _Toc224893967 \h </w:instrText>
      </w:r>
      <w:r>
        <w:fldChar w:fldCharType="separate"/>
      </w:r>
      <w:r>
        <w:t>4</w:t>
      </w:r>
      <w:r>
        <w:fldChar w:fldCharType="end"/>
      </w:r>
    </w:p>
    <w:p w14:paraId="3342310E" w14:textId="02FF8C71" w:rsidR="00310101" w:rsidRDefault="00310101">
      <w:pPr>
        <w:pStyle w:val="TOC1"/>
        <w:tabs>
          <w:tab w:val="left" w:pos="426"/>
        </w:tabs>
        <w:rPr>
          <w:rFonts w:asciiTheme="minorHAnsi" w:eastAsiaTheme="minorEastAsia" w:hAnsiTheme="minorHAnsi" w:cstheme="minorBidi"/>
          <w:b w:val="0"/>
          <w:color w:val="auto"/>
          <w:kern w:val="2"/>
          <w:sz w:val="24"/>
          <w:szCs w:val="24"/>
          <w14:ligatures w14:val="standardContextual"/>
        </w:rPr>
      </w:pPr>
      <w:r w:rsidRPr="00F16076">
        <w:rPr>
          <w:color w:val="auto"/>
        </w:rPr>
        <w:t>4.</w:t>
      </w:r>
      <w:r>
        <w:rPr>
          <w:rFonts w:asciiTheme="minorHAnsi" w:eastAsiaTheme="minorEastAsia" w:hAnsiTheme="minorHAnsi" w:cstheme="minorBidi"/>
          <w:b w:val="0"/>
          <w:color w:val="auto"/>
          <w:kern w:val="2"/>
          <w:sz w:val="24"/>
          <w:szCs w:val="24"/>
          <w14:ligatures w14:val="standardContextual"/>
        </w:rPr>
        <w:tab/>
      </w:r>
      <w:r w:rsidRPr="00F16076">
        <w:rPr>
          <w:color w:val="auto"/>
        </w:rPr>
        <w:t>Australia’s productivity performance</w:t>
      </w:r>
      <w:r>
        <w:tab/>
      </w:r>
      <w:r>
        <w:fldChar w:fldCharType="begin"/>
      </w:r>
      <w:r>
        <w:instrText xml:space="preserve"> PAGEREF _Toc224893968 \h </w:instrText>
      </w:r>
      <w:r>
        <w:fldChar w:fldCharType="separate"/>
      </w:r>
      <w:r>
        <w:t>4</w:t>
      </w:r>
      <w:r>
        <w:fldChar w:fldCharType="end"/>
      </w:r>
    </w:p>
    <w:p w14:paraId="0D60A614" w14:textId="5184EEA7" w:rsidR="00310101" w:rsidRDefault="00310101">
      <w:pPr>
        <w:pStyle w:val="TOC2"/>
        <w:rPr>
          <w:rFonts w:asciiTheme="minorHAnsi" w:eastAsiaTheme="minorEastAsia" w:hAnsiTheme="minorHAnsi" w:cstheme="minorBidi"/>
          <w:kern w:val="2"/>
          <w:sz w:val="24"/>
          <w:szCs w:val="24"/>
          <w14:ligatures w14:val="standardContextual"/>
        </w:rPr>
      </w:pPr>
      <w:r w:rsidRPr="00F16076">
        <w:t>Australia’s long run productivity performance</w:t>
      </w:r>
      <w:r>
        <w:tab/>
      </w:r>
      <w:r>
        <w:fldChar w:fldCharType="begin"/>
      </w:r>
      <w:r>
        <w:instrText xml:space="preserve"> PAGEREF _Toc224893969 \h </w:instrText>
      </w:r>
      <w:r>
        <w:fldChar w:fldCharType="separate"/>
      </w:r>
      <w:r>
        <w:t>4</w:t>
      </w:r>
      <w:r>
        <w:fldChar w:fldCharType="end"/>
      </w:r>
    </w:p>
    <w:p w14:paraId="4FD00563" w14:textId="4D03F8BC" w:rsidR="00310101" w:rsidRDefault="00310101">
      <w:pPr>
        <w:pStyle w:val="TOC2"/>
        <w:rPr>
          <w:rFonts w:asciiTheme="minorHAnsi" w:eastAsiaTheme="minorEastAsia" w:hAnsiTheme="minorHAnsi" w:cstheme="minorBidi"/>
          <w:kern w:val="2"/>
          <w:sz w:val="24"/>
          <w:szCs w:val="24"/>
          <w14:ligatures w14:val="standardContextual"/>
        </w:rPr>
      </w:pPr>
      <w:r w:rsidRPr="00F16076">
        <w:t>Productivity since the pandemic</w:t>
      </w:r>
      <w:r>
        <w:tab/>
      </w:r>
      <w:r>
        <w:fldChar w:fldCharType="begin"/>
      </w:r>
      <w:r>
        <w:instrText xml:space="preserve"> PAGEREF _Toc224893970 \h </w:instrText>
      </w:r>
      <w:r>
        <w:fldChar w:fldCharType="separate"/>
      </w:r>
      <w:r>
        <w:t>5</w:t>
      </w:r>
      <w:r>
        <w:fldChar w:fldCharType="end"/>
      </w:r>
    </w:p>
    <w:p w14:paraId="7A6B82AD" w14:textId="00DBD651" w:rsidR="00310101" w:rsidRDefault="00310101">
      <w:pPr>
        <w:pStyle w:val="TOC2"/>
        <w:rPr>
          <w:rFonts w:asciiTheme="minorHAnsi" w:eastAsiaTheme="minorEastAsia" w:hAnsiTheme="minorHAnsi" w:cstheme="minorBidi"/>
          <w:kern w:val="2"/>
          <w:sz w:val="24"/>
          <w:szCs w:val="24"/>
          <w14:ligatures w14:val="standardContextual"/>
        </w:rPr>
      </w:pPr>
      <w:r w:rsidRPr="00F16076">
        <w:t>International benchmarks</w:t>
      </w:r>
      <w:r>
        <w:tab/>
      </w:r>
      <w:r>
        <w:fldChar w:fldCharType="begin"/>
      </w:r>
      <w:r>
        <w:instrText xml:space="preserve"> PAGEREF _Toc224893971 \h </w:instrText>
      </w:r>
      <w:r>
        <w:fldChar w:fldCharType="separate"/>
      </w:r>
      <w:r>
        <w:t>6</w:t>
      </w:r>
      <w:r>
        <w:fldChar w:fldCharType="end"/>
      </w:r>
    </w:p>
    <w:p w14:paraId="09810D47" w14:textId="4891DC92" w:rsidR="00310101" w:rsidRDefault="00310101">
      <w:pPr>
        <w:pStyle w:val="TOC2"/>
        <w:rPr>
          <w:rFonts w:asciiTheme="minorHAnsi" w:eastAsiaTheme="minorEastAsia" w:hAnsiTheme="minorHAnsi" w:cstheme="minorBidi"/>
          <w:kern w:val="2"/>
          <w:sz w:val="24"/>
          <w:szCs w:val="24"/>
          <w14:ligatures w14:val="standardContextual"/>
        </w:rPr>
      </w:pPr>
      <w:r w:rsidRPr="00F16076">
        <w:t>The long-run productivity growth assumption</w:t>
      </w:r>
      <w:r>
        <w:tab/>
      </w:r>
      <w:r>
        <w:fldChar w:fldCharType="begin"/>
      </w:r>
      <w:r>
        <w:instrText xml:space="preserve"> PAGEREF _Toc224893972 \h </w:instrText>
      </w:r>
      <w:r>
        <w:fldChar w:fldCharType="separate"/>
      </w:r>
      <w:r>
        <w:t>6</w:t>
      </w:r>
      <w:r>
        <w:fldChar w:fldCharType="end"/>
      </w:r>
    </w:p>
    <w:p w14:paraId="36E71BF5" w14:textId="6D4F9C63" w:rsidR="00310101" w:rsidRDefault="00310101">
      <w:pPr>
        <w:pStyle w:val="TOC1"/>
        <w:tabs>
          <w:tab w:val="left" w:pos="426"/>
        </w:tabs>
        <w:rPr>
          <w:rFonts w:asciiTheme="minorHAnsi" w:eastAsiaTheme="minorEastAsia" w:hAnsiTheme="minorHAnsi" w:cstheme="minorBidi"/>
          <w:b w:val="0"/>
          <w:color w:val="auto"/>
          <w:kern w:val="2"/>
          <w:sz w:val="24"/>
          <w:szCs w:val="24"/>
          <w14:ligatures w14:val="standardContextual"/>
        </w:rPr>
      </w:pPr>
      <w:r w:rsidRPr="00F16076">
        <w:rPr>
          <w:color w:val="auto"/>
        </w:rPr>
        <w:t>5.</w:t>
      </w:r>
      <w:r>
        <w:rPr>
          <w:rFonts w:asciiTheme="minorHAnsi" w:eastAsiaTheme="minorEastAsia" w:hAnsiTheme="minorHAnsi" w:cstheme="minorBidi"/>
          <w:b w:val="0"/>
          <w:color w:val="auto"/>
          <w:kern w:val="2"/>
          <w:sz w:val="24"/>
          <w:szCs w:val="24"/>
          <w14:ligatures w14:val="standardContextual"/>
        </w:rPr>
        <w:tab/>
      </w:r>
      <w:r w:rsidRPr="00F16076">
        <w:rPr>
          <w:color w:val="auto"/>
        </w:rPr>
        <w:t>Australia and the global frontier</w:t>
      </w:r>
      <w:r>
        <w:tab/>
      </w:r>
      <w:r>
        <w:fldChar w:fldCharType="begin"/>
      </w:r>
      <w:r>
        <w:instrText xml:space="preserve"> PAGEREF _Toc224893973 \h </w:instrText>
      </w:r>
      <w:r>
        <w:fldChar w:fldCharType="separate"/>
      </w:r>
      <w:r>
        <w:t>7</w:t>
      </w:r>
      <w:r>
        <w:fldChar w:fldCharType="end"/>
      </w:r>
    </w:p>
    <w:p w14:paraId="5B286490" w14:textId="1306445B" w:rsidR="00310101" w:rsidRDefault="00310101">
      <w:pPr>
        <w:pStyle w:val="TOC2"/>
        <w:rPr>
          <w:rFonts w:asciiTheme="minorHAnsi" w:eastAsiaTheme="minorEastAsia" w:hAnsiTheme="minorHAnsi" w:cstheme="minorBidi"/>
          <w:kern w:val="2"/>
          <w:sz w:val="24"/>
          <w:szCs w:val="24"/>
          <w14:ligatures w14:val="standardContextual"/>
        </w:rPr>
      </w:pPr>
      <w:r w:rsidRPr="00F16076">
        <w:t>The global productivity frontier</w:t>
      </w:r>
      <w:r>
        <w:tab/>
      </w:r>
      <w:r>
        <w:fldChar w:fldCharType="begin"/>
      </w:r>
      <w:r>
        <w:instrText xml:space="preserve"> PAGEREF _Toc224893974 \h </w:instrText>
      </w:r>
      <w:r>
        <w:fldChar w:fldCharType="separate"/>
      </w:r>
      <w:r>
        <w:t>7</w:t>
      </w:r>
      <w:r>
        <w:fldChar w:fldCharType="end"/>
      </w:r>
    </w:p>
    <w:p w14:paraId="37A6CAFE" w14:textId="286ADD62" w:rsidR="00310101" w:rsidRDefault="00310101">
      <w:pPr>
        <w:pStyle w:val="TOC2"/>
        <w:rPr>
          <w:rFonts w:asciiTheme="minorHAnsi" w:eastAsiaTheme="minorEastAsia" w:hAnsiTheme="minorHAnsi" w:cstheme="minorBidi"/>
          <w:kern w:val="2"/>
          <w:sz w:val="24"/>
          <w:szCs w:val="24"/>
          <w14:ligatures w14:val="standardContextual"/>
        </w:rPr>
      </w:pPr>
      <w:r w:rsidRPr="00F16076">
        <w:t>Australia and the frontier</w:t>
      </w:r>
      <w:r>
        <w:tab/>
      </w:r>
      <w:r>
        <w:fldChar w:fldCharType="begin"/>
      </w:r>
      <w:r>
        <w:instrText xml:space="preserve"> PAGEREF _Toc224893975 \h </w:instrText>
      </w:r>
      <w:r>
        <w:fldChar w:fldCharType="separate"/>
      </w:r>
      <w:r>
        <w:t>8</w:t>
      </w:r>
      <w:r>
        <w:fldChar w:fldCharType="end"/>
      </w:r>
    </w:p>
    <w:p w14:paraId="14C65495" w14:textId="0C3AA51C" w:rsidR="00310101" w:rsidRDefault="00310101">
      <w:pPr>
        <w:pStyle w:val="TOC1"/>
        <w:tabs>
          <w:tab w:val="left" w:pos="426"/>
        </w:tabs>
        <w:rPr>
          <w:rFonts w:asciiTheme="minorHAnsi" w:eastAsiaTheme="minorEastAsia" w:hAnsiTheme="minorHAnsi" w:cstheme="minorBidi"/>
          <w:b w:val="0"/>
          <w:color w:val="auto"/>
          <w:kern w:val="2"/>
          <w:sz w:val="24"/>
          <w:szCs w:val="24"/>
          <w14:ligatures w14:val="standardContextual"/>
        </w:rPr>
      </w:pPr>
      <w:r w:rsidRPr="00F16076">
        <w:rPr>
          <w:color w:val="auto"/>
        </w:rPr>
        <w:t>6.</w:t>
      </w:r>
      <w:r>
        <w:rPr>
          <w:rFonts w:asciiTheme="minorHAnsi" w:eastAsiaTheme="minorEastAsia" w:hAnsiTheme="minorHAnsi" w:cstheme="minorBidi"/>
          <w:b w:val="0"/>
          <w:color w:val="auto"/>
          <w:kern w:val="2"/>
          <w:sz w:val="24"/>
          <w:szCs w:val="24"/>
          <w14:ligatures w14:val="standardContextual"/>
        </w:rPr>
        <w:tab/>
      </w:r>
      <w:r w:rsidRPr="00F16076">
        <w:rPr>
          <w:color w:val="auto"/>
        </w:rPr>
        <w:t>Explanations for the slowdown</w:t>
      </w:r>
      <w:r>
        <w:tab/>
      </w:r>
      <w:r>
        <w:fldChar w:fldCharType="begin"/>
      </w:r>
      <w:r>
        <w:instrText xml:space="preserve"> PAGEREF _Toc224893976 \h </w:instrText>
      </w:r>
      <w:r>
        <w:fldChar w:fldCharType="separate"/>
      </w:r>
      <w:r>
        <w:t>9</w:t>
      </w:r>
      <w:r>
        <w:fldChar w:fldCharType="end"/>
      </w:r>
    </w:p>
    <w:p w14:paraId="17A79799" w14:textId="7293B671" w:rsidR="00310101" w:rsidRDefault="00310101">
      <w:pPr>
        <w:pStyle w:val="TOC2"/>
        <w:rPr>
          <w:rFonts w:asciiTheme="minorHAnsi" w:eastAsiaTheme="minorEastAsia" w:hAnsiTheme="minorHAnsi" w:cstheme="minorBidi"/>
          <w:kern w:val="2"/>
          <w:sz w:val="24"/>
          <w:szCs w:val="24"/>
          <w14:ligatures w14:val="standardContextual"/>
        </w:rPr>
      </w:pPr>
      <w:r w:rsidRPr="00F16076">
        <w:t>Technological changes</w:t>
      </w:r>
      <w:r>
        <w:tab/>
      </w:r>
      <w:r>
        <w:fldChar w:fldCharType="begin"/>
      </w:r>
      <w:r>
        <w:instrText xml:space="preserve"> PAGEREF _Toc224893977 \h </w:instrText>
      </w:r>
      <w:r>
        <w:fldChar w:fldCharType="separate"/>
      </w:r>
      <w:r>
        <w:t>9</w:t>
      </w:r>
      <w:r>
        <w:fldChar w:fldCharType="end"/>
      </w:r>
    </w:p>
    <w:p w14:paraId="136F764B" w14:textId="301972C8" w:rsidR="00310101" w:rsidRDefault="00310101">
      <w:pPr>
        <w:pStyle w:val="TOC2"/>
        <w:rPr>
          <w:rFonts w:asciiTheme="minorHAnsi" w:eastAsiaTheme="minorEastAsia" w:hAnsiTheme="minorHAnsi" w:cstheme="minorBidi"/>
          <w:kern w:val="2"/>
          <w:sz w:val="24"/>
          <w:szCs w:val="24"/>
          <w14:ligatures w14:val="standardContextual"/>
        </w:rPr>
      </w:pPr>
      <w:r w:rsidRPr="00F16076">
        <w:t>Slower diffusion</w:t>
      </w:r>
      <w:r>
        <w:tab/>
      </w:r>
      <w:r>
        <w:fldChar w:fldCharType="begin"/>
      </w:r>
      <w:r>
        <w:instrText xml:space="preserve"> PAGEREF _Toc224893978 \h </w:instrText>
      </w:r>
      <w:r>
        <w:fldChar w:fldCharType="separate"/>
      </w:r>
      <w:r>
        <w:t>10</w:t>
      </w:r>
      <w:r>
        <w:fldChar w:fldCharType="end"/>
      </w:r>
    </w:p>
    <w:p w14:paraId="3619C715" w14:textId="6C91ED40" w:rsidR="00310101" w:rsidRDefault="00310101">
      <w:pPr>
        <w:pStyle w:val="TOC2"/>
        <w:rPr>
          <w:rFonts w:asciiTheme="minorHAnsi" w:eastAsiaTheme="minorEastAsia" w:hAnsiTheme="minorHAnsi" w:cstheme="minorBidi"/>
          <w:kern w:val="2"/>
          <w:sz w:val="24"/>
          <w:szCs w:val="24"/>
          <w14:ligatures w14:val="standardContextual"/>
        </w:rPr>
      </w:pPr>
      <w:r w:rsidRPr="00F16076">
        <w:t>Shifts in industrial composition</w:t>
      </w:r>
      <w:r>
        <w:tab/>
      </w:r>
      <w:r>
        <w:fldChar w:fldCharType="begin"/>
      </w:r>
      <w:r>
        <w:instrText xml:space="preserve"> PAGEREF _Toc224893979 \h </w:instrText>
      </w:r>
      <w:r>
        <w:fldChar w:fldCharType="separate"/>
      </w:r>
      <w:r>
        <w:t>10</w:t>
      </w:r>
      <w:r>
        <w:fldChar w:fldCharType="end"/>
      </w:r>
    </w:p>
    <w:p w14:paraId="15F72E13" w14:textId="18DC143D" w:rsidR="00310101" w:rsidRDefault="00310101">
      <w:pPr>
        <w:pStyle w:val="TOC2"/>
        <w:rPr>
          <w:rFonts w:asciiTheme="minorHAnsi" w:eastAsiaTheme="minorEastAsia" w:hAnsiTheme="minorHAnsi" w:cstheme="minorBidi"/>
          <w:kern w:val="2"/>
          <w:sz w:val="24"/>
          <w:szCs w:val="24"/>
          <w14:ligatures w14:val="standardContextual"/>
        </w:rPr>
      </w:pPr>
      <w:r w:rsidRPr="00F16076">
        <w:t>Changes in investment patterns</w:t>
      </w:r>
      <w:r>
        <w:tab/>
      </w:r>
      <w:r>
        <w:fldChar w:fldCharType="begin"/>
      </w:r>
      <w:r>
        <w:instrText xml:space="preserve"> PAGEREF _Toc224893980 \h </w:instrText>
      </w:r>
      <w:r>
        <w:fldChar w:fldCharType="separate"/>
      </w:r>
      <w:r>
        <w:t>12</w:t>
      </w:r>
      <w:r>
        <w:fldChar w:fldCharType="end"/>
      </w:r>
    </w:p>
    <w:p w14:paraId="46AF4048" w14:textId="1F2E841E" w:rsidR="00310101" w:rsidRDefault="00310101">
      <w:pPr>
        <w:pStyle w:val="TOC2"/>
        <w:rPr>
          <w:rFonts w:asciiTheme="minorHAnsi" w:eastAsiaTheme="minorEastAsia" w:hAnsiTheme="minorHAnsi" w:cstheme="minorBidi"/>
          <w:kern w:val="2"/>
          <w:sz w:val="24"/>
          <w:szCs w:val="24"/>
          <w14:ligatures w14:val="standardContextual"/>
        </w:rPr>
      </w:pPr>
      <w:r w:rsidRPr="00F16076">
        <w:t>Declining economic dynamism</w:t>
      </w:r>
      <w:r>
        <w:tab/>
      </w:r>
      <w:r>
        <w:fldChar w:fldCharType="begin"/>
      </w:r>
      <w:r>
        <w:instrText xml:space="preserve"> PAGEREF _Toc224893981 \h </w:instrText>
      </w:r>
      <w:r>
        <w:fldChar w:fldCharType="separate"/>
      </w:r>
      <w:r>
        <w:t>13</w:t>
      </w:r>
      <w:r>
        <w:fldChar w:fldCharType="end"/>
      </w:r>
    </w:p>
    <w:p w14:paraId="4C41D888" w14:textId="4E6C4F47" w:rsidR="00310101" w:rsidRDefault="00310101">
      <w:pPr>
        <w:pStyle w:val="TOC2"/>
        <w:rPr>
          <w:rFonts w:asciiTheme="minorHAnsi" w:eastAsiaTheme="minorEastAsia" w:hAnsiTheme="minorHAnsi" w:cstheme="minorBidi"/>
          <w:kern w:val="2"/>
          <w:sz w:val="24"/>
          <w:szCs w:val="24"/>
          <w14:ligatures w14:val="standardContextual"/>
        </w:rPr>
      </w:pPr>
      <w:r w:rsidRPr="00F16076">
        <w:t>Labour force matching</w:t>
      </w:r>
      <w:r>
        <w:tab/>
      </w:r>
      <w:r>
        <w:fldChar w:fldCharType="begin"/>
      </w:r>
      <w:r>
        <w:instrText xml:space="preserve"> PAGEREF _Toc224893982 \h </w:instrText>
      </w:r>
      <w:r>
        <w:fldChar w:fldCharType="separate"/>
      </w:r>
      <w:r>
        <w:t>15</w:t>
      </w:r>
      <w:r>
        <w:fldChar w:fldCharType="end"/>
      </w:r>
    </w:p>
    <w:p w14:paraId="151CB319" w14:textId="697EA9AF" w:rsidR="00310101" w:rsidRDefault="00310101">
      <w:pPr>
        <w:pStyle w:val="TOC1"/>
        <w:tabs>
          <w:tab w:val="left" w:pos="426"/>
        </w:tabs>
        <w:rPr>
          <w:rFonts w:asciiTheme="minorHAnsi" w:eastAsiaTheme="minorEastAsia" w:hAnsiTheme="minorHAnsi" w:cstheme="minorBidi"/>
          <w:b w:val="0"/>
          <w:color w:val="auto"/>
          <w:kern w:val="2"/>
          <w:sz w:val="24"/>
          <w:szCs w:val="24"/>
          <w14:ligatures w14:val="standardContextual"/>
        </w:rPr>
      </w:pPr>
      <w:r w:rsidRPr="00F16076">
        <w:rPr>
          <w:color w:val="auto"/>
        </w:rPr>
        <w:t>7.</w:t>
      </w:r>
      <w:r>
        <w:rPr>
          <w:rFonts w:asciiTheme="minorHAnsi" w:eastAsiaTheme="minorEastAsia" w:hAnsiTheme="minorHAnsi" w:cstheme="minorBidi"/>
          <w:b w:val="0"/>
          <w:color w:val="auto"/>
          <w:kern w:val="2"/>
          <w:sz w:val="24"/>
          <w:szCs w:val="24"/>
          <w14:ligatures w14:val="standardContextual"/>
        </w:rPr>
        <w:tab/>
      </w:r>
      <w:r w:rsidRPr="00F16076">
        <w:rPr>
          <w:color w:val="auto"/>
        </w:rPr>
        <w:t>Geographic factors</w:t>
      </w:r>
      <w:r>
        <w:tab/>
      </w:r>
      <w:r>
        <w:fldChar w:fldCharType="begin"/>
      </w:r>
      <w:r>
        <w:instrText xml:space="preserve"> PAGEREF _Toc224893983 \h </w:instrText>
      </w:r>
      <w:r>
        <w:fldChar w:fldCharType="separate"/>
      </w:r>
      <w:r>
        <w:t>16</w:t>
      </w:r>
      <w:r>
        <w:fldChar w:fldCharType="end"/>
      </w:r>
    </w:p>
    <w:p w14:paraId="090F89D2" w14:textId="38D5ECF1" w:rsidR="00310101" w:rsidRDefault="00310101">
      <w:pPr>
        <w:pStyle w:val="TOC2"/>
        <w:rPr>
          <w:rFonts w:asciiTheme="minorHAnsi" w:eastAsiaTheme="minorEastAsia" w:hAnsiTheme="minorHAnsi" w:cstheme="minorBidi"/>
          <w:kern w:val="2"/>
          <w:sz w:val="24"/>
          <w:szCs w:val="24"/>
          <w14:ligatures w14:val="standardContextual"/>
        </w:rPr>
      </w:pPr>
      <w:r w:rsidRPr="00F16076">
        <w:t>Australia’s distance from large markets</w:t>
      </w:r>
      <w:r>
        <w:tab/>
      </w:r>
      <w:r>
        <w:fldChar w:fldCharType="begin"/>
      </w:r>
      <w:r>
        <w:instrText xml:space="preserve"> PAGEREF _Toc224893984 \h </w:instrText>
      </w:r>
      <w:r>
        <w:fldChar w:fldCharType="separate"/>
      </w:r>
      <w:r>
        <w:t>16</w:t>
      </w:r>
      <w:r>
        <w:fldChar w:fldCharType="end"/>
      </w:r>
    </w:p>
    <w:p w14:paraId="3426F88F" w14:textId="60A598D2" w:rsidR="00310101" w:rsidRDefault="00310101">
      <w:pPr>
        <w:pStyle w:val="TOC2"/>
        <w:rPr>
          <w:rFonts w:asciiTheme="minorHAnsi" w:eastAsiaTheme="minorEastAsia" w:hAnsiTheme="minorHAnsi" w:cstheme="minorBidi"/>
          <w:kern w:val="2"/>
          <w:sz w:val="24"/>
          <w:szCs w:val="24"/>
          <w14:ligatures w14:val="standardContextual"/>
        </w:rPr>
      </w:pPr>
      <w:r w:rsidRPr="00F16076">
        <w:t>Geographic influences on the domestic market</w:t>
      </w:r>
      <w:r>
        <w:tab/>
      </w:r>
      <w:r>
        <w:fldChar w:fldCharType="begin"/>
      </w:r>
      <w:r>
        <w:instrText xml:space="preserve"> PAGEREF _Toc224893985 \h </w:instrText>
      </w:r>
      <w:r>
        <w:fldChar w:fldCharType="separate"/>
      </w:r>
      <w:r>
        <w:t>16</w:t>
      </w:r>
      <w:r>
        <w:fldChar w:fldCharType="end"/>
      </w:r>
    </w:p>
    <w:p w14:paraId="561A536D" w14:textId="1DDB2B64" w:rsidR="00310101" w:rsidRDefault="00310101">
      <w:pPr>
        <w:pStyle w:val="TOC2"/>
        <w:rPr>
          <w:rFonts w:asciiTheme="minorHAnsi" w:eastAsiaTheme="minorEastAsia" w:hAnsiTheme="minorHAnsi" w:cstheme="minorBidi"/>
          <w:kern w:val="2"/>
          <w:sz w:val="24"/>
          <w:szCs w:val="24"/>
          <w14:ligatures w14:val="standardContextual"/>
        </w:rPr>
      </w:pPr>
      <w:r w:rsidRPr="00F16076">
        <w:t>Cities</w:t>
      </w:r>
      <w:r>
        <w:tab/>
      </w:r>
      <w:r>
        <w:fldChar w:fldCharType="begin"/>
      </w:r>
      <w:r>
        <w:instrText xml:space="preserve"> PAGEREF _Toc224893986 \h </w:instrText>
      </w:r>
      <w:r>
        <w:fldChar w:fldCharType="separate"/>
      </w:r>
      <w:r>
        <w:t>16</w:t>
      </w:r>
      <w:r>
        <w:fldChar w:fldCharType="end"/>
      </w:r>
    </w:p>
    <w:p w14:paraId="4AFF4F65" w14:textId="69C50FEE" w:rsidR="00310101" w:rsidRDefault="00310101">
      <w:pPr>
        <w:pStyle w:val="TOC2"/>
        <w:rPr>
          <w:rFonts w:asciiTheme="minorHAnsi" w:eastAsiaTheme="minorEastAsia" w:hAnsiTheme="minorHAnsi" w:cstheme="minorBidi"/>
          <w:kern w:val="2"/>
          <w:sz w:val="24"/>
          <w:szCs w:val="24"/>
          <w14:ligatures w14:val="standardContextual"/>
        </w:rPr>
      </w:pPr>
      <w:r w:rsidRPr="00F16076">
        <w:t>Regional Areas</w:t>
      </w:r>
      <w:r>
        <w:tab/>
      </w:r>
      <w:r>
        <w:fldChar w:fldCharType="begin"/>
      </w:r>
      <w:r>
        <w:instrText xml:space="preserve"> PAGEREF _Toc224893987 \h </w:instrText>
      </w:r>
      <w:r>
        <w:fldChar w:fldCharType="separate"/>
      </w:r>
      <w:r>
        <w:t>18</w:t>
      </w:r>
      <w:r>
        <w:fldChar w:fldCharType="end"/>
      </w:r>
    </w:p>
    <w:p w14:paraId="3F95A484" w14:textId="6BE1EB30" w:rsidR="00310101" w:rsidRDefault="00310101">
      <w:pPr>
        <w:pStyle w:val="TOC1"/>
        <w:tabs>
          <w:tab w:val="left" w:pos="426"/>
        </w:tabs>
        <w:rPr>
          <w:rFonts w:asciiTheme="minorHAnsi" w:eastAsiaTheme="minorEastAsia" w:hAnsiTheme="minorHAnsi" w:cstheme="minorBidi"/>
          <w:b w:val="0"/>
          <w:color w:val="auto"/>
          <w:kern w:val="2"/>
          <w:sz w:val="24"/>
          <w:szCs w:val="24"/>
          <w14:ligatures w14:val="standardContextual"/>
        </w:rPr>
      </w:pPr>
      <w:r w:rsidRPr="00F16076">
        <w:rPr>
          <w:color w:val="auto"/>
        </w:rPr>
        <w:lastRenderedPageBreak/>
        <w:t>8.</w:t>
      </w:r>
      <w:r>
        <w:rPr>
          <w:rFonts w:asciiTheme="minorHAnsi" w:eastAsiaTheme="minorEastAsia" w:hAnsiTheme="minorHAnsi" w:cstheme="minorBidi"/>
          <w:b w:val="0"/>
          <w:color w:val="auto"/>
          <w:kern w:val="2"/>
          <w:sz w:val="24"/>
          <w:szCs w:val="24"/>
          <w14:ligatures w14:val="standardContextual"/>
        </w:rPr>
        <w:tab/>
      </w:r>
      <w:r w:rsidRPr="00F16076">
        <w:rPr>
          <w:color w:val="auto"/>
        </w:rPr>
        <w:t>A framework for the role of Government</w:t>
      </w:r>
      <w:r>
        <w:tab/>
      </w:r>
      <w:r>
        <w:fldChar w:fldCharType="begin"/>
      </w:r>
      <w:r>
        <w:instrText xml:space="preserve"> PAGEREF _Toc224893988 \h </w:instrText>
      </w:r>
      <w:r>
        <w:fldChar w:fldCharType="separate"/>
      </w:r>
      <w:r>
        <w:t>19</w:t>
      </w:r>
      <w:r>
        <w:fldChar w:fldCharType="end"/>
      </w:r>
    </w:p>
    <w:p w14:paraId="6AD53916" w14:textId="44067C4F" w:rsidR="00310101" w:rsidRDefault="00310101">
      <w:pPr>
        <w:pStyle w:val="TOC2"/>
        <w:rPr>
          <w:rFonts w:asciiTheme="minorHAnsi" w:eastAsiaTheme="minorEastAsia" w:hAnsiTheme="minorHAnsi" w:cstheme="minorBidi"/>
          <w:kern w:val="2"/>
          <w:sz w:val="24"/>
          <w:szCs w:val="24"/>
          <w14:ligatures w14:val="standardContextual"/>
        </w:rPr>
      </w:pPr>
      <w:r w:rsidRPr="00F16076">
        <w:t>Promoting macroeconomic stability</w:t>
      </w:r>
      <w:r>
        <w:tab/>
      </w:r>
      <w:r>
        <w:fldChar w:fldCharType="begin"/>
      </w:r>
      <w:r>
        <w:instrText xml:space="preserve"> PAGEREF _Toc224893989 \h </w:instrText>
      </w:r>
      <w:r>
        <w:fldChar w:fldCharType="separate"/>
      </w:r>
      <w:r>
        <w:t>19</w:t>
      </w:r>
      <w:r>
        <w:fldChar w:fldCharType="end"/>
      </w:r>
    </w:p>
    <w:p w14:paraId="10FBF8BB" w14:textId="53B1ADBE" w:rsidR="00310101" w:rsidRDefault="00310101">
      <w:pPr>
        <w:pStyle w:val="TOC2"/>
        <w:rPr>
          <w:rFonts w:asciiTheme="minorHAnsi" w:eastAsiaTheme="minorEastAsia" w:hAnsiTheme="minorHAnsi" w:cstheme="minorBidi"/>
          <w:kern w:val="2"/>
          <w:sz w:val="24"/>
          <w:szCs w:val="24"/>
          <w14:ligatures w14:val="standardContextual"/>
        </w:rPr>
      </w:pPr>
      <w:r w:rsidRPr="00F16076">
        <w:t>Providing appropriate microeconomic and institutional frameworks</w:t>
      </w:r>
      <w:r>
        <w:tab/>
      </w:r>
      <w:r>
        <w:fldChar w:fldCharType="begin"/>
      </w:r>
      <w:r>
        <w:instrText xml:space="preserve"> PAGEREF _Toc224893990 \h </w:instrText>
      </w:r>
      <w:r>
        <w:fldChar w:fldCharType="separate"/>
      </w:r>
      <w:r>
        <w:t>19</w:t>
      </w:r>
      <w:r>
        <w:fldChar w:fldCharType="end"/>
      </w:r>
    </w:p>
    <w:p w14:paraId="2D81DB9A" w14:textId="15090742" w:rsidR="00310101" w:rsidRDefault="00310101">
      <w:pPr>
        <w:pStyle w:val="TOC3"/>
        <w:rPr>
          <w:rFonts w:asciiTheme="minorHAnsi" w:eastAsiaTheme="minorEastAsia" w:hAnsiTheme="minorHAnsi" w:cstheme="minorBidi"/>
          <w:kern w:val="2"/>
          <w:sz w:val="24"/>
          <w:szCs w:val="24"/>
          <w14:ligatures w14:val="standardContextual"/>
        </w:rPr>
      </w:pPr>
      <w:r w:rsidRPr="00F16076">
        <w:t>The role of regulation</w:t>
      </w:r>
      <w:r>
        <w:tab/>
      </w:r>
      <w:r>
        <w:fldChar w:fldCharType="begin"/>
      </w:r>
      <w:r>
        <w:instrText xml:space="preserve"> PAGEREF _Toc224893991 \h </w:instrText>
      </w:r>
      <w:r>
        <w:fldChar w:fldCharType="separate"/>
      </w:r>
      <w:r>
        <w:t>19</w:t>
      </w:r>
      <w:r>
        <w:fldChar w:fldCharType="end"/>
      </w:r>
    </w:p>
    <w:p w14:paraId="69D2693A" w14:textId="340CED2B" w:rsidR="00310101" w:rsidRDefault="00310101">
      <w:pPr>
        <w:pStyle w:val="TOC3"/>
        <w:rPr>
          <w:rFonts w:asciiTheme="minorHAnsi" w:eastAsiaTheme="minorEastAsia" w:hAnsiTheme="minorHAnsi" w:cstheme="minorBidi"/>
          <w:kern w:val="2"/>
          <w:sz w:val="24"/>
          <w:szCs w:val="24"/>
          <w14:ligatures w14:val="standardContextual"/>
        </w:rPr>
      </w:pPr>
      <w:r w:rsidRPr="00F16076">
        <w:t>The tax framework</w:t>
      </w:r>
      <w:r>
        <w:tab/>
      </w:r>
      <w:r>
        <w:fldChar w:fldCharType="begin"/>
      </w:r>
      <w:r>
        <w:instrText xml:space="preserve"> PAGEREF _Toc224893992 \h </w:instrText>
      </w:r>
      <w:r>
        <w:fldChar w:fldCharType="separate"/>
      </w:r>
      <w:r>
        <w:t>19</w:t>
      </w:r>
      <w:r>
        <w:fldChar w:fldCharType="end"/>
      </w:r>
    </w:p>
    <w:p w14:paraId="481BBE72" w14:textId="073A18E2" w:rsidR="00310101" w:rsidRDefault="00310101">
      <w:pPr>
        <w:pStyle w:val="TOC3"/>
        <w:rPr>
          <w:rFonts w:asciiTheme="minorHAnsi" w:eastAsiaTheme="minorEastAsia" w:hAnsiTheme="minorHAnsi" w:cstheme="minorBidi"/>
          <w:kern w:val="2"/>
          <w:sz w:val="24"/>
          <w:szCs w:val="24"/>
          <w14:ligatures w14:val="standardContextual"/>
        </w:rPr>
      </w:pPr>
      <w:r w:rsidRPr="00F16076">
        <w:t>Federal considerations</w:t>
      </w:r>
      <w:r>
        <w:tab/>
      </w:r>
      <w:r>
        <w:fldChar w:fldCharType="begin"/>
      </w:r>
      <w:r>
        <w:instrText xml:space="preserve"> PAGEREF _Toc224893993 \h </w:instrText>
      </w:r>
      <w:r>
        <w:fldChar w:fldCharType="separate"/>
      </w:r>
      <w:r>
        <w:t>20</w:t>
      </w:r>
      <w:r>
        <w:fldChar w:fldCharType="end"/>
      </w:r>
    </w:p>
    <w:p w14:paraId="6B65F63A" w14:textId="5DEB38CC" w:rsidR="00310101" w:rsidRDefault="00310101">
      <w:pPr>
        <w:pStyle w:val="TOC2"/>
        <w:rPr>
          <w:rFonts w:asciiTheme="minorHAnsi" w:eastAsiaTheme="minorEastAsia" w:hAnsiTheme="minorHAnsi" w:cstheme="minorBidi"/>
          <w:kern w:val="2"/>
          <w:sz w:val="24"/>
          <w:szCs w:val="24"/>
          <w14:ligatures w14:val="standardContextual"/>
        </w:rPr>
      </w:pPr>
      <w:r w:rsidRPr="00F16076">
        <w:t>Undertaking direct public investment where it is warranted</w:t>
      </w:r>
      <w:r>
        <w:tab/>
      </w:r>
      <w:r>
        <w:fldChar w:fldCharType="begin"/>
      </w:r>
      <w:r>
        <w:instrText xml:space="preserve"> PAGEREF _Toc224893994 \h </w:instrText>
      </w:r>
      <w:r>
        <w:fldChar w:fldCharType="separate"/>
      </w:r>
      <w:r>
        <w:t>20</w:t>
      </w:r>
      <w:r>
        <w:fldChar w:fldCharType="end"/>
      </w:r>
    </w:p>
    <w:p w14:paraId="41A3EE9B" w14:textId="1BB77DBE" w:rsidR="00310101" w:rsidRDefault="00310101">
      <w:pPr>
        <w:pStyle w:val="TOC1"/>
        <w:tabs>
          <w:tab w:val="left" w:pos="426"/>
        </w:tabs>
        <w:rPr>
          <w:rFonts w:asciiTheme="minorHAnsi" w:eastAsiaTheme="minorEastAsia" w:hAnsiTheme="minorHAnsi" w:cstheme="minorBidi"/>
          <w:b w:val="0"/>
          <w:color w:val="auto"/>
          <w:kern w:val="2"/>
          <w:sz w:val="24"/>
          <w:szCs w:val="24"/>
          <w14:ligatures w14:val="standardContextual"/>
        </w:rPr>
      </w:pPr>
      <w:r w:rsidRPr="00F16076">
        <w:rPr>
          <w:color w:val="auto"/>
        </w:rPr>
        <w:t>9.</w:t>
      </w:r>
      <w:r>
        <w:rPr>
          <w:rFonts w:asciiTheme="minorHAnsi" w:eastAsiaTheme="minorEastAsia" w:hAnsiTheme="minorHAnsi" w:cstheme="minorBidi"/>
          <w:b w:val="0"/>
          <w:color w:val="auto"/>
          <w:kern w:val="2"/>
          <w:sz w:val="24"/>
          <w:szCs w:val="24"/>
          <w14:ligatures w14:val="standardContextual"/>
        </w:rPr>
        <w:tab/>
      </w:r>
      <w:r w:rsidRPr="00F16076">
        <w:rPr>
          <w:color w:val="auto"/>
        </w:rPr>
        <w:t>The Government’s agenda</w:t>
      </w:r>
      <w:r>
        <w:tab/>
      </w:r>
      <w:r>
        <w:fldChar w:fldCharType="begin"/>
      </w:r>
      <w:r>
        <w:instrText xml:space="preserve"> PAGEREF _Toc224893995 \h </w:instrText>
      </w:r>
      <w:r>
        <w:fldChar w:fldCharType="separate"/>
      </w:r>
      <w:r>
        <w:t>21</w:t>
      </w:r>
      <w:r>
        <w:fldChar w:fldCharType="end"/>
      </w:r>
    </w:p>
    <w:p w14:paraId="49057A90" w14:textId="1519489A" w:rsidR="00310101" w:rsidRDefault="00310101">
      <w:pPr>
        <w:pStyle w:val="TOC2"/>
        <w:rPr>
          <w:rFonts w:asciiTheme="minorHAnsi" w:eastAsiaTheme="minorEastAsia" w:hAnsiTheme="minorHAnsi" w:cstheme="minorBidi"/>
          <w:kern w:val="2"/>
          <w:sz w:val="24"/>
          <w:szCs w:val="24"/>
          <w14:ligatures w14:val="standardContextual"/>
        </w:rPr>
      </w:pPr>
      <w:r w:rsidRPr="00F16076">
        <w:t>The Five Pillar agenda</w:t>
      </w:r>
      <w:r>
        <w:tab/>
      </w:r>
      <w:r>
        <w:fldChar w:fldCharType="begin"/>
      </w:r>
      <w:r>
        <w:instrText xml:space="preserve"> PAGEREF _Toc224893996 \h </w:instrText>
      </w:r>
      <w:r>
        <w:fldChar w:fldCharType="separate"/>
      </w:r>
      <w:r>
        <w:t>21</w:t>
      </w:r>
      <w:r>
        <w:fldChar w:fldCharType="end"/>
      </w:r>
    </w:p>
    <w:p w14:paraId="723BC060" w14:textId="3CFAADA0" w:rsidR="00310101" w:rsidRDefault="00310101">
      <w:pPr>
        <w:pStyle w:val="TOC3"/>
        <w:rPr>
          <w:rFonts w:asciiTheme="minorHAnsi" w:eastAsiaTheme="minorEastAsia" w:hAnsiTheme="minorHAnsi" w:cstheme="minorBidi"/>
          <w:kern w:val="2"/>
          <w:sz w:val="24"/>
          <w:szCs w:val="24"/>
          <w14:ligatures w14:val="standardContextual"/>
        </w:rPr>
      </w:pPr>
      <w:r w:rsidRPr="00F16076">
        <w:t>Creating a more dynamic and resilient economy</w:t>
      </w:r>
      <w:r>
        <w:tab/>
      </w:r>
      <w:r>
        <w:fldChar w:fldCharType="begin"/>
      </w:r>
      <w:r>
        <w:instrText xml:space="preserve"> PAGEREF _Toc224893997 \h </w:instrText>
      </w:r>
      <w:r>
        <w:fldChar w:fldCharType="separate"/>
      </w:r>
      <w:r>
        <w:t>21</w:t>
      </w:r>
      <w:r>
        <w:fldChar w:fldCharType="end"/>
      </w:r>
    </w:p>
    <w:p w14:paraId="79500973" w14:textId="758904BA" w:rsidR="00310101" w:rsidRDefault="00310101">
      <w:pPr>
        <w:pStyle w:val="TOC3"/>
        <w:rPr>
          <w:rFonts w:asciiTheme="minorHAnsi" w:eastAsiaTheme="minorEastAsia" w:hAnsiTheme="minorHAnsi" w:cstheme="minorBidi"/>
          <w:kern w:val="2"/>
          <w:sz w:val="24"/>
          <w:szCs w:val="24"/>
          <w14:ligatures w14:val="standardContextual"/>
        </w:rPr>
      </w:pPr>
      <w:r w:rsidRPr="00F16076">
        <w:t>Building a skilled and adaptable workforce</w:t>
      </w:r>
      <w:r>
        <w:tab/>
      </w:r>
      <w:r>
        <w:fldChar w:fldCharType="begin"/>
      </w:r>
      <w:r>
        <w:instrText xml:space="preserve"> PAGEREF _Toc224893998 \h </w:instrText>
      </w:r>
      <w:r>
        <w:fldChar w:fldCharType="separate"/>
      </w:r>
      <w:r>
        <w:t>24</w:t>
      </w:r>
      <w:r>
        <w:fldChar w:fldCharType="end"/>
      </w:r>
    </w:p>
    <w:p w14:paraId="0E87743F" w14:textId="738C485E" w:rsidR="00310101" w:rsidRDefault="00310101">
      <w:pPr>
        <w:pStyle w:val="TOC3"/>
        <w:rPr>
          <w:rFonts w:asciiTheme="minorHAnsi" w:eastAsiaTheme="minorEastAsia" w:hAnsiTheme="minorHAnsi" w:cstheme="minorBidi"/>
          <w:kern w:val="2"/>
          <w:sz w:val="24"/>
          <w:szCs w:val="24"/>
          <w14:ligatures w14:val="standardContextual"/>
        </w:rPr>
      </w:pPr>
      <w:r w:rsidRPr="00F16076">
        <w:t>Harnessing data and digital technology</w:t>
      </w:r>
      <w:r>
        <w:tab/>
      </w:r>
      <w:r>
        <w:fldChar w:fldCharType="begin"/>
      </w:r>
      <w:r>
        <w:instrText xml:space="preserve"> PAGEREF _Toc224893999 \h </w:instrText>
      </w:r>
      <w:r>
        <w:fldChar w:fldCharType="separate"/>
      </w:r>
      <w:r>
        <w:t>25</w:t>
      </w:r>
      <w:r>
        <w:fldChar w:fldCharType="end"/>
      </w:r>
    </w:p>
    <w:p w14:paraId="7D8344EA" w14:textId="7A76808B" w:rsidR="00310101" w:rsidRDefault="00310101">
      <w:pPr>
        <w:pStyle w:val="TOC3"/>
        <w:rPr>
          <w:rFonts w:asciiTheme="minorHAnsi" w:eastAsiaTheme="minorEastAsia" w:hAnsiTheme="minorHAnsi" w:cstheme="minorBidi"/>
          <w:kern w:val="2"/>
          <w:sz w:val="24"/>
          <w:szCs w:val="24"/>
          <w14:ligatures w14:val="standardContextual"/>
        </w:rPr>
      </w:pPr>
      <w:r w:rsidRPr="00F16076">
        <w:t>Delivering quality care more efficiently</w:t>
      </w:r>
      <w:r>
        <w:tab/>
      </w:r>
      <w:r>
        <w:fldChar w:fldCharType="begin"/>
      </w:r>
      <w:r>
        <w:instrText xml:space="preserve"> PAGEREF _Toc224894000 \h </w:instrText>
      </w:r>
      <w:r>
        <w:fldChar w:fldCharType="separate"/>
      </w:r>
      <w:r>
        <w:t>26</w:t>
      </w:r>
      <w:r>
        <w:fldChar w:fldCharType="end"/>
      </w:r>
    </w:p>
    <w:p w14:paraId="2FF7AF68" w14:textId="1BAB746F" w:rsidR="00310101" w:rsidRDefault="00310101">
      <w:pPr>
        <w:pStyle w:val="TOC3"/>
        <w:rPr>
          <w:rFonts w:asciiTheme="minorHAnsi" w:eastAsiaTheme="minorEastAsia" w:hAnsiTheme="minorHAnsi" w:cstheme="minorBidi"/>
          <w:kern w:val="2"/>
          <w:sz w:val="24"/>
          <w:szCs w:val="24"/>
          <w14:ligatures w14:val="standardContextual"/>
        </w:rPr>
      </w:pPr>
      <w:r w:rsidRPr="00F16076">
        <w:t>Investing in cheaper, cleaner energy and the net zero transition</w:t>
      </w:r>
      <w:r>
        <w:tab/>
      </w:r>
      <w:r>
        <w:fldChar w:fldCharType="begin"/>
      </w:r>
      <w:r>
        <w:instrText xml:space="preserve"> PAGEREF _Toc224894001 \h </w:instrText>
      </w:r>
      <w:r>
        <w:fldChar w:fldCharType="separate"/>
      </w:r>
      <w:r>
        <w:t>28</w:t>
      </w:r>
      <w:r>
        <w:fldChar w:fldCharType="end"/>
      </w:r>
    </w:p>
    <w:p w14:paraId="4C10FFEC" w14:textId="2CE0FA8C" w:rsidR="00310101" w:rsidRDefault="00310101">
      <w:pPr>
        <w:pStyle w:val="TOC2"/>
        <w:rPr>
          <w:rFonts w:asciiTheme="minorHAnsi" w:eastAsiaTheme="minorEastAsia" w:hAnsiTheme="minorHAnsi" w:cstheme="minorBidi"/>
          <w:kern w:val="2"/>
          <w:sz w:val="24"/>
          <w:szCs w:val="24"/>
          <w14:ligatures w14:val="standardContextual"/>
        </w:rPr>
      </w:pPr>
      <w:r w:rsidRPr="00F16076">
        <w:t>Economic Reform Roundtable</w:t>
      </w:r>
      <w:r>
        <w:tab/>
      </w:r>
      <w:r>
        <w:fldChar w:fldCharType="begin"/>
      </w:r>
      <w:r>
        <w:instrText xml:space="preserve"> PAGEREF _Toc224894002 \h </w:instrText>
      </w:r>
      <w:r>
        <w:fldChar w:fldCharType="separate"/>
      </w:r>
      <w:r>
        <w:t>29</w:t>
      </w:r>
      <w:r>
        <w:fldChar w:fldCharType="end"/>
      </w:r>
    </w:p>
    <w:p w14:paraId="4336E417" w14:textId="54C16DFC" w:rsidR="00310101" w:rsidRDefault="00310101">
      <w:pPr>
        <w:pStyle w:val="TOC1"/>
        <w:tabs>
          <w:tab w:val="left" w:pos="709"/>
        </w:tabs>
        <w:rPr>
          <w:rFonts w:asciiTheme="minorHAnsi" w:eastAsiaTheme="minorEastAsia" w:hAnsiTheme="minorHAnsi" w:cstheme="minorBidi"/>
          <w:b w:val="0"/>
          <w:color w:val="auto"/>
          <w:kern w:val="2"/>
          <w:sz w:val="24"/>
          <w:szCs w:val="24"/>
          <w14:ligatures w14:val="standardContextual"/>
        </w:rPr>
      </w:pPr>
      <w:r w:rsidRPr="00F16076">
        <w:rPr>
          <w:color w:val="auto"/>
        </w:rPr>
        <w:t>10.</w:t>
      </w:r>
      <w:r>
        <w:rPr>
          <w:rFonts w:asciiTheme="minorHAnsi" w:eastAsiaTheme="minorEastAsia" w:hAnsiTheme="minorHAnsi" w:cstheme="minorBidi"/>
          <w:b w:val="0"/>
          <w:color w:val="auto"/>
          <w:kern w:val="2"/>
          <w:sz w:val="24"/>
          <w:szCs w:val="24"/>
          <w14:ligatures w14:val="standardContextual"/>
        </w:rPr>
        <w:tab/>
      </w:r>
      <w:r w:rsidRPr="00F16076">
        <w:rPr>
          <w:color w:val="auto"/>
        </w:rPr>
        <w:t>References</w:t>
      </w:r>
      <w:r>
        <w:tab/>
      </w:r>
      <w:r>
        <w:fldChar w:fldCharType="begin"/>
      </w:r>
      <w:r>
        <w:instrText xml:space="preserve"> PAGEREF _Toc224894003 \h </w:instrText>
      </w:r>
      <w:r>
        <w:fldChar w:fldCharType="separate"/>
      </w:r>
      <w:r>
        <w:t>30</w:t>
      </w:r>
      <w:r>
        <w:fldChar w:fldCharType="end"/>
      </w:r>
    </w:p>
    <w:p w14:paraId="193EFBD6" w14:textId="2BD91AA7" w:rsidR="00104A93" w:rsidRPr="00211BAA" w:rsidRDefault="007611DB" w:rsidP="00A817A6">
      <w:pPr>
        <w:pStyle w:val="NumberedParagraph"/>
        <w:numPr>
          <w:ilvl w:val="0"/>
          <w:numId w:val="0"/>
        </w:numPr>
        <w:ind w:left="709"/>
        <w:sectPr w:rsidR="00104A93" w:rsidRPr="00211BAA" w:rsidSect="00DC3595">
          <w:headerReference w:type="first" r:id="rId10"/>
          <w:footerReference w:type="first" r:id="rId11"/>
          <w:type w:val="oddPage"/>
          <w:pgSz w:w="11906" w:h="16838" w:code="9"/>
          <w:pgMar w:top="1843" w:right="1418" w:bottom="1843" w:left="1418" w:header="709" w:footer="709" w:gutter="0"/>
          <w:pgNumType w:fmt="lowerRoman" w:start="1"/>
          <w:cols w:space="708"/>
          <w:titlePg/>
          <w:docGrid w:linePitch="360"/>
        </w:sectPr>
      </w:pPr>
      <w:r w:rsidRPr="00211BAA">
        <w:fldChar w:fldCharType="end"/>
      </w:r>
    </w:p>
    <w:p w14:paraId="0FA2B4DB" w14:textId="6C632279" w:rsidR="005335C8" w:rsidRPr="00211BAA" w:rsidRDefault="005335C8" w:rsidP="00104A93">
      <w:pPr>
        <w:pStyle w:val="ExecSummaryHeading"/>
        <w:spacing w:before="0"/>
        <w:rPr>
          <w:color w:val="auto"/>
        </w:rPr>
      </w:pPr>
      <w:bookmarkStart w:id="1" w:name="_Toc224893959"/>
      <w:r w:rsidRPr="00211BAA">
        <w:rPr>
          <w:color w:val="auto"/>
        </w:rPr>
        <w:lastRenderedPageBreak/>
        <w:t>Executive Summary</w:t>
      </w:r>
      <w:bookmarkEnd w:id="1"/>
    </w:p>
    <w:p w14:paraId="0B5289BF" w14:textId="1D8BFC63" w:rsidR="005335C8" w:rsidRPr="00211BAA" w:rsidRDefault="005335C8" w:rsidP="00987E30">
      <w:r w:rsidRPr="00211BAA">
        <w:t>Productivity growth is central to Australia’s long term economic performance. It determines how much output can be produced from a given amount of labour</w:t>
      </w:r>
      <w:r w:rsidR="00B26373" w:rsidRPr="00211BAA">
        <w:t xml:space="preserve"> and capital</w:t>
      </w:r>
      <w:r w:rsidRPr="00211BAA">
        <w:t xml:space="preserve">, making it a key driver of real wages, national income, and living standards. </w:t>
      </w:r>
      <w:r w:rsidR="0020468F" w:rsidRPr="00211BAA">
        <w:t>S</w:t>
      </w:r>
      <w:r w:rsidRPr="00211BAA">
        <w:t xml:space="preserve">tronger productivity growth expands the economy’s supply capacity, allowing incomes and demand to rise without generating inflationary pressure. </w:t>
      </w:r>
    </w:p>
    <w:p w14:paraId="787B25F2" w14:textId="11AF668E" w:rsidR="005335C8" w:rsidRPr="00211BAA" w:rsidRDefault="005335C8" w:rsidP="00987E30">
      <w:r w:rsidRPr="00211BAA">
        <w:t xml:space="preserve">Australia’s labour productivity performance has </w:t>
      </w:r>
      <w:r w:rsidR="00D614C6" w:rsidRPr="00211BAA">
        <w:t xml:space="preserve">been persistently weak, especially in </w:t>
      </w:r>
      <w:r w:rsidR="00A47038" w:rsidRPr="00211BAA">
        <w:t>recent decades</w:t>
      </w:r>
      <w:r w:rsidRPr="00211BAA">
        <w:t xml:space="preserve">. Productivity growth was strong in the 1960s and 1970s, slowed in the 1980s, rebounded in the 1990s, and then slowed again through the 2000s </w:t>
      </w:r>
      <w:r w:rsidR="008826D6" w:rsidRPr="00211BAA">
        <w:t xml:space="preserve">and </w:t>
      </w:r>
      <w:r w:rsidRPr="00211BAA">
        <w:t>2010s. The COVID</w:t>
      </w:r>
      <w:r w:rsidR="00382BE4" w:rsidRPr="00211BAA">
        <w:t>-</w:t>
      </w:r>
      <w:r w:rsidRPr="00211BAA">
        <w:t xml:space="preserve">19 pandemic </w:t>
      </w:r>
      <w:r w:rsidR="00C67351" w:rsidRPr="00211BAA">
        <w:t xml:space="preserve">saw </w:t>
      </w:r>
      <w:r w:rsidRPr="00211BAA">
        <w:t xml:space="preserve">an initial temporary increase in measured productivity due to sharp reductions in hours worked, followed by weaker outcomes as </w:t>
      </w:r>
      <w:r w:rsidR="00D64D4B" w:rsidRPr="00211BAA">
        <w:t xml:space="preserve">this effect unwound and </w:t>
      </w:r>
      <w:r w:rsidRPr="00211BAA">
        <w:t xml:space="preserve">employment </w:t>
      </w:r>
      <w:r w:rsidR="00587354" w:rsidRPr="00211BAA">
        <w:t xml:space="preserve">grew </w:t>
      </w:r>
      <w:r w:rsidRPr="00211BAA">
        <w:t xml:space="preserve">faster than investment. </w:t>
      </w:r>
    </w:p>
    <w:p w14:paraId="276BB2A5" w14:textId="55B08BA8" w:rsidR="005335C8" w:rsidRPr="00211BAA" w:rsidRDefault="005335C8" w:rsidP="00987E30">
      <w:r w:rsidRPr="00211BAA">
        <w:t xml:space="preserve">Australia’s productivity growth depends on advances </w:t>
      </w:r>
      <w:r w:rsidR="003D78A8" w:rsidRPr="00211BAA">
        <w:t>in</w:t>
      </w:r>
      <w:r w:rsidRPr="00211BAA">
        <w:t xml:space="preserve"> the global productivity frontier and on how quickly domestic firms adopt best practice </w:t>
      </w:r>
      <w:r w:rsidR="00A06A12" w:rsidRPr="00211BAA">
        <w:t xml:space="preserve">operations and </w:t>
      </w:r>
      <w:r w:rsidRPr="00211BAA">
        <w:t xml:space="preserve">technologies. For most firms, productivity gains arise primarily through diffusion rather than frontier innovation. Although Australia ranks relatively highly among advanced economies, a persistent productivity gap with the United States remains. This gap partly reflects differences in labour force participation and </w:t>
      </w:r>
      <w:r w:rsidR="006E6C2A" w:rsidRPr="00211BAA">
        <w:t xml:space="preserve">masks differences across </w:t>
      </w:r>
      <w:r w:rsidRPr="00211BAA">
        <w:t>industr</w:t>
      </w:r>
      <w:r w:rsidR="006E6C2A" w:rsidRPr="00211BAA">
        <w:t>ies</w:t>
      </w:r>
      <w:r w:rsidRPr="00211BAA">
        <w:t>. At the industry level, Australia operates close to the global frontier in sectors aligned with its comparative advantages, particularly mining and agriculture.</w:t>
      </w:r>
    </w:p>
    <w:p w14:paraId="69B135FC" w14:textId="2C48E21A" w:rsidR="005335C8" w:rsidRPr="00211BAA" w:rsidRDefault="005335C8" w:rsidP="00987E30">
      <w:r w:rsidRPr="00211BAA">
        <w:t>Australia’s productivity slowdown reflects long standing structural challenges, many of which are shared with other advanced economies. Global</w:t>
      </w:r>
      <w:r w:rsidR="00E24AA7" w:rsidRPr="00211BAA">
        <w:t xml:space="preserve"> labour</w:t>
      </w:r>
      <w:r w:rsidRPr="00211BAA">
        <w:t xml:space="preserve"> </w:t>
      </w:r>
      <w:r w:rsidR="00372D5E" w:rsidRPr="00211BAA">
        <w:t xml:space="preserve">and multifactor </w:t>
      </w:r>
      <w:r w:rsidRPr="00211BAA">
        <w:t>productivity growth ha</w:t>
      </w:r>
      <w:r w:rsidR="00372D5E" w:rsidRPr="00211BAA">
        <w:t>ve</w:t>
      </w:r>
      <w:r w:rsidRPr="00211BAA">
        <w:t xml:space="preserve"> weakened since the Global Financial Crisis</w:t>
      </w:r>
      <w:r w:rsidR="008C0AA9" w:rsidRPr="00211BAA">
        <w:t xml:space="preserve"> (GFC</w:t>
      </w:r>
      <w:r w:rsidR="00D6666D" w:rsidRPr="00211BAA">
        <w:t>)</w:t>
      </w:r>
      <w:r w:rsidRPr="00211BAA">
        <w:t>. Weaker business investment since the GFC has constrained capital deepening, while declining competition, firm turnover, and labour reallocation have reduced economic dynamism. Structural shifts toward service</w:t>
      </w:r>
      <w:r w:rsidR="001D6E0F" w:rsidRPr="00211BAA">
        <w:t>s</w:t>
      </w:r>
      <w:r w:rsidRPr="00211BAA">
        <w:t xml:space="preserve"> and non</w:t>
      </w:r>
      <w:r w:rsidR="008043DB" w:rsidRPr="00211BAA">
        <w:t>-</w:t>
      </w:r>
      <w:r w:rsidRPr="00211BAA">
        <w:t>market industries have also reduced measured productivity growth.</w:t>
      </w:r>
      <w:r w:rsidR="001D15CE" w:rsidRPr="00211BAA">
        <w:t xml:space="preserve"> However, this should be interpreted with caution given challenges with measuring the relative value of outputs to inputs in the non-market sector.</w:t>
      </w:r>
      <w:r w:rsidRPr="00211BAA">
        <w:t xml:space="preserve"> </w:t>
      </w:r>
    </w:p>
    <w:p w14:paraId="4E7100C7" w14:textId="5D44409B" w:rsidR="005335C8" w:rsidRPr="00211BAA" w:rsidRDefault="005335C8" w:rsidP="00987E30">
      <w:r w:rsidRPr="00211BAA">
        <w:t xml:space="preserve">Geographic factors also play a role in Australia’s productivity outcomes. </w:t>
      </w:r>
      <w:r w:rsidR="00991A27" w:rsidRPr="00211BAA">
        <w:t xml:space="preserve">High productivity activities are concentrated in major cities and mining regions. </w:t>
      </w:r>
      <w:r w:rsidR="00EC67C9" w:rsidRPr="00211BAA">
        <w:t>Australia’s</w:t>
      </w:r>
      <w:r w:rsidRPr="00211BAA">
        <w:t xml:space="preserve"> distance from major global markets </w:t>
      </w:r>
      <w:r w:rsidR="00957799" w:rsidRPr="00211BAA">
        <w:t xml:space="preserve">and </w:t>
      </w:r>
      <w:r w:rsidR="000F2E14" w:rsidRPr="00211BAA">
        <w:t xml:space="preserve">population distribution </w:t>
      </w:r>
      <w:r w:rsidRPr="00211BAA">
        <w:t xml:space="preserve">constrains the potential for economies of scale, competitive pressure, and knowledge spillovers. </w:t>
      </w:r>
      <w:r w:rsidR="00AA7A42" w:rsidRPr="00211BAA">
        <w:t xml:space="preserve">While technology has reduced these barriers for some activities, it </w:t>
      </w:r>
      <w:r w:rsidR="00F46253" w:rsidRPr="00211BAA">
        <w:t xml:space="preserve">remains relevant to the movement of goods and people. </w:t>
      </w:r>
    </w:p>
    <w:p w14:paraId="6C02535A" w14:textId="3FF9B6CD" w:rsidR="00DC2636" w:rsidRPr="00211BAA" w:rsidRDefault="00A47038" w:rsidP="004B71C4">
      <w:pPr>
        <w:rPr>
          <w:rFonts w:ascii="Calibri" w:hAnsi="Calibri" w:cs="Arial"/>
          <w:kern w:val="32"/>
          <w:sz w:val="44"/>
          <w:szCs w:val="36"/>
        </w:rPr>
      </w:pPr>
      <w:r w:rsidRPr="00211BAA">
        <w:t xml:space="preserve">There is a role for both businesses and governments to </w:t>
      </w:r>
      <w:r w:rsidR="00012DE5" w:rsidRPr="00211BAA">
        <w:t xml:space="preserve">influence productivity outcomes. </w:t>
      </w:r>
      <w:r w:rsidR="005335C8" w:rsidRPr="00211BAA">
        <w:t>Governments play a critical role in shaping productivity outcomes through sound macroeconomic management, maintaining effective institutions, and delivering targeted public investment. Well</w:t>
      </w:r>
      <w:r w:rsidR="008043DB" w:rsidRPr="00211BAA">
        <w:t>-</w:t>
      </w:r>
      <w:r w:rsidR="005335C8" w:rsidRPr="00211BAA">
        <w:t xml:space="preserve">designed regulation and tax systems can support </w:t>
      </w:r>
      <w:r w:rsidR="00602AE4" w:rsidRPr="00211BAA">
        <w:t xml:space="preserve">investment, innovation and </w:t>
      </w:r>
      <w:r w:rsidR="005335C8" w:rsidRPr="00211BAA">
        <w:t xml:space="preserve">efficient allocation, while direct public investment </w:t>
      </w:r>
      <w:r w:rsidR="002D1154" w:rsidRPr="00211BAA">
        <w:t xml:space="preserve">can improve efficiency </w:t>
      </w:r>
      <w:r w:rsidR="00A119C9" w:rsidRPr="00211BAA">
        <w:t xml:space="preserve">in cases of </w:t>
      </w:r>
      <w:r w:rsidR="006E6AAF" w:rsidRPr="00211BAA">
        <w:t>market</w:t>
      </w:r>
      <w:r w:rsidR="00A119C9" w:rsidRPr="00211BAA">
        <w:t xml:space="preserve"> failure.</w:t>
      </w:r>
      <w:r w:rsidR="00DC2636" w:rsidRPr="00211BAA">
        <w:br w:type="page"/>
      </w:r>
    </w:p>
    <w:p w14:paraId="427FC961" w14:textId="21C921C6" w:rsidR="005335C8" w:rsidRPr="00211BAA" w:rsidRDefault="005335C8" w:rsidP="006323CF">
      <w:pPr>
        <w:pStyle w:val="Heading1"/>
        <w:rPr>
          <w:color w:val="auto"/>
        </w:rPr>
      </w:pPr>
      <w:bookmarkStart w:id="2" w:name="_Toc224893960"/>
      <w:r w:rsidRPr="00211BAA">
        <w:rPr>
          <w:color w:val="auto"/>
        </w:rPr>
        <w:lastRenderedPageBreak/>
        <w:t>About this submission</w:t>
      </w:r>
      <w:bookmarkEnd w:id="2"/>
    </w:p>
    <w:p w14:paraId="765D3C3E" w14:textId="4636A18A" w:rsidR="00104A93" w:rsidRPr="00211BAA" w:rsidRDefault="00104A93" w:rsidP="00A817A6">
      <w:pPr>
        <w:pStyle w:val="NumberedParagraph"/>
      </w:pPr>
      <w:r w:rsidRPr="00211BAA">
        <w:t>The Treasury is the Australian Government’s lead economic adviser. Our purpose is to provide advice to the government, and implement policies and programs, to achieve strong and sustainable economic and fiscal outcomes for Australians. We aim to help the government respond to a range of complex challenges and uncertainties, address structural challenges and pursue longer</w:t>
      </w:r>
      <w:r w:rsidRPr="00211BAA">
        <w:rPr>
          <w:rFonts w:ascii="Cambria Math" w:hAnsi="Cambria Math" w:cs="Cambria Math"/>
        </w:rPr>
        <w:t>‑</w:t>
      </w:r>
      <w:r w:rsidRPr="00211BAA">
        <w:t>term national wellbeing and prosperity outcomes.</w:t>
      </w:r>
    </w:p>
    <w:p w14:paraId="3B5D60BC" w14:textId="77777777" w:rsidR="005335C8" w:rsidRPr="00211BAA" w:rsidRDefault="005335C8" w:rsidP="00A817A6">
      <w:pPr>
        <w:pStyle w:val="NumberedParagraph"/>
      </w:pPr>
      <w:r w:rsidRPr="00211BAA">
        <w:t xml:space="preserve">This submission provides an overview of Australia’s productivity performance. It examines some of the underlying economic forces, structural dynamics and institutional arrangements that can influence productivity outcomes over time. </w:t>
      </w:r>
    </w:p>
    <w:p w14:paraId="27D03ED3" w14:textId="0854E59D" w:rsidR="002C1F1C" w:rsidRPr="00211BAA" w:rsidRDefault="005335C8" w:rsidP="00A817A6">
      <w:pPr>
        <w:pStyle w:val="NumberedParagraph"/>
      </w:pPr>
      <w:r w:rsidRPr="00211BAA">
        <w:t>The submission draws on established economic theory and relevant international evidence to contextualise Australia’s experience. It places current productivity trends within a broader evidence base that highlights progress, challenges and opportunities.</w:t>
      </w:r>
    </w:p>
    <w:p w14:paraId="039AF490" w14:textId="520FF02E" w:rsidR="000A133F" w:rsidRPr="00211BAA" w:rsidRDefault="000A133F" w:rsidP="006323CF">
      <w:pPr>
        <w:pStyle w:val="Heading1"/>
        <w:rPr>
          <w:color w:val="auto"/>
        </w:rPr>
      </w:pPr>
      <w:bookmarkStart w:id="3" w:name="_Toc224893961"/>
      <w:r w:rsidRPr="00211BAA">
        <w:rPr>
          <w:color w:val="auto"/>
        </w:rPr>
        <w:t>Defining productivity</w:t>
      </w:r>
      <w:bookmarkEnd w:id="3"/>
    </w:p>
    <w:p w14:paraId="6AA4ED5C" w14:textId="7D6CDEF5" w:rsidR="000A133F" w:rsidRPr="00211BAA" w:rsidRDefault="000A133F" w:rsidP="00A817A6">
      <w:pPr>
        <w:pStyle w:val="NumberedParagraph"/>
      </w:pPr>
      <w:r w:rsidRPr="00211BAA">
        <w:t xml:space="preserve">Productivity measures how efficiently an economy transforms </w:t>
      </w:r>
      <w:r w:rsidR="00482D1A" w:rsidRPr="00211BAA">
        <w:t>inputs</w:t>
      </w:r>
      <w:r w:rsidRPr="00211BAA">
        <w:t xml:space="preserve"> – labour, capital and materials – into goods and services. </w:t>
      </w:r>
    </w:p>
    <w:p w14:paraId="5432D357" w14:textId="58611B00" w:rsidR="000A133F" w:rsidRPr="00211BAA" w:rsidRDefault="000A133F" w:rsidP="00A817A6">
      <w:pPr>
        <w:pStyle w:val="NumberedParagraph"/>
      </w:pPr>
      <w:r w:rsidRPr="00211BAA">
        <w:t xml:space="preserve">At its simplest, productivity is expressed as a ratio of outputs </w:t>
      </w:r>
      <w:r w:rsidR="000945BA" w:rsidRPr="00211BAA">
        <w:t xml:space="preserve">produced </w:t>
      </w:r>
      <w:r w:rsidRPr="00211BAA">
        <w:t>to the inputs</w:t>
      </w:r>
      <w:r w:rsidR="00717462" w:rsidRPr="00211BAA">
        <w:t xml:space="preserve"> used</w:t>
      </w:r>
      <w:r w:rsidRPr="00211BAA">
        <w:t xml:space="preserve">. Productivity growth implies fewer inputs are used to produce the same or more outputs. </w:t>
      </w:r>
    </w:p>
    <w:p w14:paraId="585C3ACD" w14:textId="05DF7D09" w:rsidR="000A133F" w:rsidRPr="00211BAA" w:rsidRDefault="000A133F" w:rsidP="00A817A6">
      <w:pPr>
        <w:pStyle w:val="NumberedParagraph"/>
      </w:pPr>
      <w:r w:rsidRPr="00211BAA">
        <w:t>Consistent with most analysis of Australia’s productivity trends and how productivity is reported in Australia’s national accounts, this submission focuses on labour productivity at the whole</w:t>
      </w:r>
      <w:r w:rsidR="00DC2DDD" w:rsidRPr="00211BAA">
        <w:noBreakHyphen/>
      </w:r>
      <w:r w:rsidRPr="00211BAA">
        <w:t>of</w:t>
      </w:r>
      <w:r w:rsidR="00DC2DDD" w:rsidRPr="00211BAA">
        <w:noBreakHyphen/>
      </w:r>
      <w:r w:rsidRPr="00211BAA">
        <w:t xml:space="preserve">economy level, measured as real GDP per hour worked. </w:t>
      </w:r>
    </w:p>
    <w:p w14:paraId="6548BF5C" w14:textId="77777777" w:rsidR="000A133F" w:rsidRPr="00211BAA" w:rsidRDefault="000A133F" w:rsidP="00A817A6">
      <w:pPr>
        <w:pStyle w:val="NumberedParagraph"/>
      </w:pPr>
      <w:r w:rsidRPr="00211BAA">
        <w:t>Unless otherwise specified, use of the term ‘productivity’ in this submission is intended to refer to labour productivity.</w:t>
      </w:r>
    </w:p>
    <w:p w14:paraId="32E2140C" w14:textId="14DB8802" w:rsidR="000A133F" w:rsidRPr="00211BAA" w:rsidRDefault="00DD21A8" w:rsidP="003618DB">
      <w:pPr>
        <w:pStyle w:val="Heading2"/>
        <w:rPr>
          <w:color w:val="auto"/>
        </w:rPr>
      </w:pPr>
      <w:bookmarkStart w:id="4" w:name="_Toc224893962"/>
      <w:r w:rsidRPr="00211BAA">
        <w:rPr>
          <w:color w:val="auto"/>
        </w:rPr>
        <w:t>D</w:t>
      </w:r>
      <w:r w:rsidR="000A133F" w:rsidRPr="00211BAA">
        <w:rPr>
          <w:color w:val="auto"/>
        </w:rPr>
        <w:t>rivers of productivity</w:t>
      </w:r>
      <w:bookmarkEnd w:id="4"/>
    </w:p>
    <w:p w14:paraId="2627F238" w14:textId="6FDB38B3" w:rsidR="000A133F" w:rsidRPr="00211BAA" w:rsidRDefault="000A133F" w:rsidP="00A817A6">
      <w:pPr>
        <w:pStyle w:val="NumberedParagraph"/>
      </w:pPr>
      <w:r w:rsidRPr="00211BAA">
        <w:t xml:space="preserve">In general terms, productivity growth can be explained by technological advancement, capital deepening, and allocative efficiency. </w:t>
      </w:r>
    </w:p>
    <w:p w14:paraId="65840A5C" w14:textId="1E35237F" w:rsidR="000A133F" w:rsidRPr="00211BAA" w:rsidRDefault="000A133F" w:rsidP="00A817A6">
      <w:pPr>
        <w:pStyle w:val="Bulletparagraph"/>
      </w:pPr>
      <w:r w:rsidRPr="00211BAA">
        <w:rPr>
          <w:b/>
          <w:bCs/>
        </w:rPr>
        <w:t>Technological advancement</w:t>
      </w:r>
      <w:r w:rsidRPr="00211BAA">
        <w:t xml:space="preserve"> underpins long-run productivity growth by enabling new and more efficient ways of producing goods and services.</w:t>
      </w:r>
    </w:p>
    <w:p w14:paraId="158E5838" w14:textId="2569A920" w:rsidR="000A133F" w:rsidRPr="00211BAA" w:rsidRDefault="000A133F" w:rsidP="00A817A6">
      <w:pPr>
        <w:pStyle w:val="Bulletparagraph"/>
      </w:pPr>
      <w:r w:rsidRPr="00211BAA">
        <w:rPr>
          <w:b/>
          <w:bCs/>
        </w:rPr>
        <w:t>Capital deepening</w:t>
      </w:r>
      <w:r w:rsidRPr="00211BAA">
        <w:t xml:space="preserve"> occurs when workers have access to more, or higher-quality, capital such as advanced machinery, equipment or digital infrastructure. This enables firms to expand their production frontier. Capital upgrades ‘embed’ technological advancement. For example, a new model of computer is likely to have more powerful hardware and software than an older one, enabling </w:t>
      </w:r>
      <w:r w:rsidR="00B30AB1" w:rsidRPr="00211BAA">
        <w:t>tasks to be</w:t>
      </w:r>
      <w:r w:rsidRPr="00211BAA">
        <w:t xml:space="preserve"> complete</w:t>
      </w:r>
      <w:r w:rsidR="00B30AB1" w:rsidRPr="00211BAA">
        <w:t>d</w:t>
      </w:r>
      <w:r w:rsidRPr="00211BAA">
        <w:t xml:space="preserve"> more quickly and/or to a higher standard.</w:t>
      </w:r>
      <w:r w:rsidR="00965AF4" w:rsidRPr="00211BAA">
        <w:t xml:space="preserve"> The new technology will also be reflected in the price of the new computer.</w:t>
      </w:r>
    </w:p>
    <w:p w14:paraId="10DB2C4C" w14:textId="0B3A7963" w:rsidR="000A133F" w:rsidRPr="00211BAA" w:rsidRDefault="000A133F" w:rsidP="00A817A6">
      <w:pPr>
        <w:pStyle w:val="Bulletparagraph"/>
      </w:pPr>
      <w:r w:rsidRPr="00211BAA">
        <w:rPr>
          <w:b/>
          <w:bCs/>
        </w:rPr>
        <w:t>Allocative efficiency</w:t>
      </w:r>
      <w:r w:rsidRPr="00211BAA">
        <w:t xml:space="preserve"> reflects how effectively labour and capital are allocated across firms, industries and activities. It boosts productivity by ensuring labour, capital, and intermediate inputs are directed toward their </w:t>
      </w:r>
      <w:r w:rsidR="00E2507E" w:rsidRPr="00211BAA">
        <w:t>highest value</w:t>
      </w:r>
      <w:r w:rsidRPr="00211BAA">
        <w:t xml:space="preserve"> uses, where they generate the greatest output per unit of input. In a competitive market, prices, wages, and returns on capital give firms and workers incentives to reallocate toward more productive activities and away </w:t>
      </w:r>
      <w:r w:rsidRPr="00211BAA">
        <w:lastRenderedPageBreak/>
        <w:t>from low-value ones. Over time, this improves economy-wide productivity by shifting resources toward firms, sectors, and technologies that use them more effectively.</w:t>
      </w:r>
    </w:p>
    <w:p w14:paraId="433F0BD1" w14:textId="77777777" w:rsidR="000A133F" w:rsidRPr="00211BAA" w:rsidRDefault="000A133F" w:rsidP="003618DB">
      <w:pPr>
        <w:pStyle w:val="Heading2"/>
        <w:rPr>
          <w:color w:val="auto"/>
        </w:rPr>
      </w:pPr>
      <w:bookmarkStart w:id="5" w:name="_Toc224893963"/>
      <w:r w:rsidRPr="00211BAA">
        <w:rPr>
          <w:color w:val="auto"/>
        </w:rPr>
        <w:t>Measuring productivity</w:t>
      </w:r>
      <w:bookmarkEnd w:id="5"/>
    </w:p>
    <w:p w14:paraId="173D11D2" w14:textId="1CE16222" w:rsidR="007A3D87" w:rsidRPr="00211BAA" w:rsidRDefault="007A3D87" w:rsidP="00A817A6">
      <w:pPr>
        <w:pStyle w:val="NumberedParagraph"/>
      </w:pPr>
      <w:r w:rsidRPr="00211BAA">
        <w:t>The Australian Bureau of Statistics (ABS) produces annual indexes of labour, capital and multifactor productivity for the market sector as well as for each industry division within the market sector.</w:t>
      </w:r>
    </w:p>
    <w:p w14:paraId="64B53135" w14:textId="6536A20F" w:rsidR="000A133F" w:rsidRPr="00211BAA" w:rsidRDefault="006D4040" w:rsidP="00A817A6">
      <w:pPr>
        <w:pStyle w:val="NumberedParagraph"/>
      </w:pPr>
      <w:r w:rsidRPr="00211BAA">
        <w:t xml:space="preserve">Consistent with standard growth accounting frameworks, </w:t>
      </w:r>
      <w:r w:rsidR="007A3D87" w:rsidRPr="00211BAA">
        <w:t xml:space="preserve">productivity growth in Australia can be analysed at a high level by </w:t>
      </w:r>
      <w:r w:rsidR="00D11B86" w:rsidRPr="00211BAA">
        <w:t>decomposing</w:t>
      </w:r>
      <w:r w:rsidR="000A133F" w:rsidRPr="00211BAA">
        <w:t xml:space="preserve"> labour productivity growth into two components:</w:t>
      </w:r>
    </w:p>
    <w:p w14:paraId="162DA7C1" w14:textId="65503D5B" w:rsidR="000A133F" w:rsidRPr="00211BAA" w:rsidRDefault="000A133F" w:rsidP="00A817A6">
      <w:pPr>
        <w:pStyle w:val="Bulletparagraph"/>
      </w:pPr>
      <w:r w:rsidRPr="00211BAA">
        <w:rPr>
          <w:b/>
          <w:bCs/>
        </w:rPr>
        <w:t>Capital deepening</w:t>
      </w:r>
      <w:r w:rsidRPr="00211BAA">
        <w:t xml:space="preserve"> – which measures the change in labour productivity when the level of capital changes while labour is constant. </w:t>
      </w:r>
    </w:p>
    <w:p w14:paraId="2C92FCB8" w14:textId="184A4AC9" w:rsidR="005335C8" w:rsidRPr="00211BAA" w:rsidRDefault="000A133F" w:rsidP="00A817A6">
      <w:pPr>
        <w:pStyle w:val="Bulletparagraph"/>
      </w:pPr>
      <w:r w:rsidRPr="00211BAA">
        <w:rPr>
          <w:b/>
          <w:bCs/>
        </w:rPr>
        <w:t>Multifactor productivity (MFP)</w:t>
      </w:r>
      <w:r w:rsidRPr="00211BAA">
        <w:t xml:space="preserve"> – which measures the change in labour productivity not attributable to capital deepening. This includes any changes that arise from allocative efficiency, and the effect of technological improvements not already captured in the capital deepening component</w:t>
      </w:r>
      <w:r w:rsidR="00E7016F" w:rsidRPr="00211BAA">
        <w:t xml:space="preserve"> (ABS, 2026)</w:t>
      </w:r>
      <w:r w:rsidR="00056A99" w:rsidRPr="00211BAA">
        <w:t>.</w:t>
      </w:r>
    </w:p>
    <w:p w14:paraId="0BDC5560" w14:textId="77777777" w:rsidR="000A133F" w:rsidRPr="00211BAA" w:rsidRDefault="000A133F" w:rsidP="00A817A6">
      <w:pPr>
        <w:pStyle w:val="NumberedParagraph"/>
      </w:pPr>
      <w:r w:rsidRPr="00211BAA">
        <w:t>The challenges of measuring productivity in the non-market sector are set out in section 6 of this submission.</w:t>
      </w:r>
    </w:p>
    <w:p w14:paraId="0F924292" w14:textId="1074D334" w:rsidR="000A133F" w:rsidRPr="00211BAA" w:rsidRDefault="000A133F" w:rsidP="006323CF">
      <w:pPr>
        <w:pStyle w:val="Heading1"/>
        <w:rPr>
          <w:color w:val="auto"/>
        </w:rPr>
      </w:pPr>
      <w:bookmarkStart w:id="6" w:name="_Toc224893964"/>
      <w:r w:rsidRPr="00211BAA">
        <w:rPr>
          <w:color w:val="auto"/>
        </w:rPr>
        <w:t>The importance of productivity</w:t>
      </w:r>
      <w:bookmarkEnd w:id="6"/>
    </w:p>
    <w:p w14:paraId="7910916F" w14:textId="77777777" w:rsidR="000A133F" w:rsidRPr="00211BAA" w:rsidRDefault="000A133F" w:rsidP="003618DB">
      <w:pPr>
        <w:pStyle w:val="Heading2"/>
        <w:rPr>
          <w:color w:val="auto"/>
        </w:rPr>
      </w:pPr>
      <w:bookmarkStart w:id="7" w:name="_Toc224893965"/>
      <w:r w:rsidRPr="00211BAA">
        <w:rPr>
          <w:color w:val="auto"/>
        </w:rPr>
        <w:t>Productivity raises living standards</w:t>
      </w:r>
      <w:bookmarkEnd w:id="7"/>
    </w:p>
    <w:p w14:paraId="0BA84A96" w14:textId="69815EB5" w:rsidR="000A133F" w:rsidRPr="00211BAA" w:rsidRDefault="000A133F" w:rsidP="00A817A6">
      <w:pPr>
        <w:pStyle w:val="NumberedParagraph"/>
      </w:pPr>
      <w:r w:rsidRPr="00211BAA">
        <w:t>Productivity growth is fundamental to Australia’s long</w:t>
      </w:r>
      <w:r w:rsidRPr="00211BAA">
        <w:rPr>
          <w:rFonts w:ascii="Cambria Math" w:hAnsi="Cambria Math" w:cs="Cambria Math"/>
        </w:rPr>
        <w:t>‑</w:t>
      </w:r>
      <w:r w:rsidRPr="00211BAA">
        <w:t xml:space="preserve">run economic </w:t>
      </w:r>
      <w:r w:rsidR="00006A54" w:rsidRPr="00211BAA">
        <w:t>performance</w:t>
      </w:r>
      <w:r w:rsidRPr="00211BAA">
        <w:t xml:space="preserve">. Together with population and participation in the labour force, it constitutes one of the </w:t>
      </w:r>
      <w:r w:rsidRPr="00211BAA">
        <w:rPr>
          <w:rFonts w:cs="Calibri Light"/>
        </w:rPr>
        <w:t>‘</w:t>
      </w:r>
      <w:r w:rsidRPr="00211BAA">
        <w:t>three Ps</w:t>
      </w:r>
      <w:r w:rsidRPr="00211BAA">
        <w:rPr>
          <w:rFonts w:cs="Calibri Light"/>
        </w:rPr>
        <w:t>’</w:t>
      </w:r>
      <w:r w:rsidRPr="00211BAA">
        <w:t xml:space="preserve"> that determine potential economic output. </w:t>
      </w:r>
    </w:p>
    <w:p w14:paraId="52420853" w14:textId="35D369BE" w:rsidR="000A133F" w:rsidRPr="00211BAA" w:rsidRDefault="000A133F" w:rsidP="00A817A6">
      <w:pPr>
        <w:pStyle w:val="NumberedParagraph"/>
      </w:pPr>
      <w:r w:rsidRPr="00211BAA">
        <w:t>While population and participation affect the quantity of labour available, the level of productivity determine</w:t>
      </w:r>
      <w:r w:rsidR="00103670" w:rsidRPr="00211BAA">
        <w:t>s</w:t>
      </w:r>
      <w:r w:rsidRPr="00211BAA">
        <w:t xml:space="preserve"> the amount of goods and services that can be generated from that labour. Productivity growth allows Australians to earn more, resulting in the consumption of more, better</w:t>
      </w:r>
      <w:r w:rsidR="005C7F20">
        <w:t>,</w:t>
      </w:r>
      <w:r w:rsidRPr="00211BAA">
        <w:t xml:space="preserve"> or new goods and services. </w:t>
      </w:r>
    </w:p>
    <w:p w14:paraId="4A463BF5" w14:textId="6D9FE496" w:rsidR="000A133F" w:rsidRPr="00211BAA" w:rsidRDefault="000A133F" w:rsidP="00A817A6">
      <w:pPr>
        <w:pStyle w:val="NumberedParagraph"/>
      </w:pPr>
      <w:r w:rsidRPr="00211BAA">
        <w:t xml:space="preserve">Policymakers typically focus on productivity growth as a key driver of real wage and national income growth, both of which support improved living standards over time. Over the past three decades, productivity growth has accounted for around 70 per cent of growth in real national income (Treasury, 2023a). And since 1900, productivity growth has </w:t>
      </w:r>
      <w:r w:rsidR="00881BE2" w:rsidRPr="00211BAA">
        <w:t>allowed Australia to</w:t>
      </w:r>
      <w:r w:rsidRPr="00211BAA">
        <w:t xml:space="preserve"> produce more while working less, with a 7-fold increase in economic output for the average Australian (PC, 2023a).</w:t>
      </w:r>
    </w:p>
    <w:p w14:paraId="0376FDC0" w14:textId="3CC2FE73" w:rsidR="000A133F" w:rsidRPr="00211BAA" w:rsidRDefault="000A133F" w:rsidP="003618DB">
      <w:pPr>
        <w:pStyle w:val="Heading2"/>
        <w:rPr>
          <w:color w:val="auto"/>
        </w:rPr>
      </w:pPr>
      <w:bookmarkStart w:id="8" w:name="_Toc224893966"/>
      <w:r w:rsidRPr="00211BAA">
        <w:rPr>
          <w:color w:val="auto"/>
        </w:rPr>
        <w:t>Productivity determines sustainable growth rates</w:t>
      </w:r>
      <w:bookmarkEnd w:id="8"/>
    </w:p>
    <w:p w14:paraId="06F156C4" w14:textId="7330496A" w:rsidR="000A133F" w:rsidRPr="00211BAA" w:rsidRDefault="000A133F" w:rsidP="00A817A6">
      <w:pPr>
        <w:pStyle w:val="NumberedParagraph"/>
      </w:pPr>
      <w:r w:rsidRPr="00211BAA">
        <w:t xml:space="preserve">Productivity growth is </w:t>
      </w:r>
      <w:r w:rsidR="00616D52" w:rsidRPr="00211BAA">
        <w:t xml:space="preserve">a </w:t>
      </w:r>
      <w:r w:rsidRPr="00211BAA">
        <w:t>primary driver of sustainable long-term economic growth because it expands the economy’s supply capacity. This enables incomes and demand to rise without creating inflationary pressure</w:t>
      </w:r>
      <w:r w:rsidR="00616D52" w:rsidRPr="00211BAA">
        <w:t>.</w:t>
      </w:r>
      <w:r w:rsidRPr="00211BAA">
        <w:t xml:space="preserve"> (RBA, 2025a). </w:t>
      </w:r>
    </w:p>
    <w:p w14:paraId="739A5087" w14:textId="45BF4857" w:rsidR="000A133F" w:rsidRPr="00211BAA" w:rsidRDefault="000A133F" w:rsidP="00A817A6">
      <w:pPr>
        <w:pStyle w:val="NumberedParagraph"/>
      </w:pPr>
      <w:r w:rsidRPr="00211BAA">
        <w:t>Productivity trends have important implications for the neutral real interest rate over the longer term. Stronger productivity growth increases expected returns to capital and increases demand for investment. In theory, this means the level of the neutral interest rate is positively correlated with the rate of trend productivity growth (RBA</w:t>
      </w:r>
      <w:r w:rsidR="00EE7AC9" w:rsidRPr="00211BAA">
        <w:t xml:space="preserve"> 2022</w:t>
      </w:r>
      <w:r w:rsidR="000052FA" w:rsidRPr="00211BAA">
        <w:t>;</w:t>
      </w:r>
      <w:r w:rsidR="00EE7AC9" w:rsidRPr="00211BAA">
        <w:t xml:space="preserve"> </w:t>
      </w:r>
      <w:r w:rsidRPr="00211BAA">
        <w:t>RBA, 2025</w:t>
      </w:r>
      <w:r w:rsidR="00764945" w:rsidRPr="00211BAA">
        <w:t>b</w:t>
      </w:r>
      <w:r w:rsidRPr="00211BAA">
        <w:t xml:space="preserve">). This effect is </w:t>
      </w:r>
      <w:r w:rsidRPr="00211BAA">
        <w:lastRenderedPageBreak/>
        <w:t xml:space="preserve">likely to be smaller in an open economy like Australia, than it would be in a closed economy (McCririck and Rees, 2017). </w:t>
      </w:r>
    </w:p>
    <w:p w14:paraId="02103525" w14:textId="1E7D5475" w:rsidR="000A133F" w:rsidRPr="00211BAA" w:rsidRDefault="000A133F" w:rsidP="003618DB">
      <w:pPr>
        <w:pStyle w:val="Heading2"/>
        <w:rPr>
          <w:color w:val="auto"/>
        </w:rPr>
      </w:pPr>
      <w:bookmarkStart w:id="9" w:name="_Toc224893967"/>
      <w:r w:rsidRPr="00211BAA">
        <w:rPr>
          <w:color w:val="auto"/>
        </w:rPr>
        <w:t xml:space="preserve">Productivity </w:t>
      </w:r>
      <w:r w:rsidR="00464C68" w:rsidRPr="00211BAA">
        <w:rPr>
          <w:color w:val="auto"/>
        </w:rPr>
        <w:t xml:space="preserve">influences </w:t>
      </w:r>
      <w:r w:rsidRPr="00211BAA">
        <w:rPr>
          <w:color w:val="auto"/>
        </w:rPr>
        <w:t>fiscal policy</w:t>
      </w:r>
      <w:bookmarkEnd w:id="9"/>
    </w:p>
    <w:p w14:paraId="42D387B6" w14:textId="7A681F68" w:rsidR="000A133F" w:rsidRPr="00211BAA" w:rsidRDefault="000A133F" w:rsidP="00A817A6">
      <w:pPr>
        <w:pStyle w:val="NumberedParagraph"/>
      </w:pPr>
      <w:r w:rsidRPr="00211BAA">
        <w:t xml:space="preserve">Higher productivity expands an economy’s capacity to produce goods and services, which increases income that accrues to Australians – including, for instance, wages and profits. </w:t>
      </w:r>
    </w:p>
    <w:p w14:paraId="1D189411" w14:textId="636956DB" w:rsidR="00FD3A28" w:rsidRPr="00211BAA" w:rsidRDefault="00FD3A28" w:rsidP="00A817A6">
      <w:pPr>
        <w:pStyle w:val="NumberedParagraph"/>
      </w:pPr>
      <w:r w:rsidRPr="00211BAA">
        <w:t xml:space="preserve">Real income growth through the economy eases the constraints on fiscal policy: it improves the fiscal balance without raising tax rates or cutting spending, or alternatively, it can support higher spending on public services and investments in </w:t>
      </w:r>
      <w:r w:rsidR="003C1FF9" w:rsidRPr="00211BAA">
        <w:t xml:space="preserve">public infrastructure. </w:t>
      </w:r>
    </w:p>
    <w:p w14:paraId="766DB0D2" w14:textId="2EAE71D0" w:rsidR="000A133F" w:rsidRPr="00211BAA" w:rsidRDefault="000A133F" w:rsidP="006323CF">
      <w:pPr>
        <w:pStyle w:val="Heading1"/>
        <w:rPr>
          <w:color w:val="auto"/>
        </w:rPr>
      </w:pPr>
      <w:bookmarkStart w:id="10" w:name="_Toc224893968"/>
      <w:r w:rsidRPr="00211BAA">
        <w:rPr>
          <w:color w:val="auto"/>
        </w:rPr>
        <w:t>Australia’s productivity performance</w:t>
      </w:r>
      <w:bookmarkEnd w:id="10"/>
    </w:p>
    <w:p w14:paraId="59E1AA35" w14:textId="1F72F53F" w:rsidR="000A133F" w:rsidRPr="00211BAA" w:rsidRDefault="000A133F" w:rsidP="003618DB">
      <w:pPr>
        <w:pStyle w:val="Heading2"/>
        <w:rPr>
          <w:color w:val="auto"/>
        </w:rPr>
      </w:pPr>
      <w:bookmarkStart w:id="11" w:name="_Toc224893969"/>
      <w:r w:rsidRPr="00211BAA">
        <w:rPr>
          <w:color w:val="auto"/>
        </w:rPr>
        <w:t xml:space="preserve">Australia’s long run </w:t>
      </w:r>
      <w:r w:rsidR="00860534" w:rsidRPr="00211BAA">
        <w:rPr>
          <w:color w:val="auto"/>
        </w:rPr>
        <w:t xml:space="preserve">productivity </w:t>
      </w:r>
      <w:r w:rsidRPr="00211BAA">
        <w:rPr>
          <w:color w:val="auto"/>
        </w:rPr>
        <w:t>performance</w:t>
      </w:r>
      <w:bookmarkEnd w:id="11"/>
    </w:p>
    <w:p w14:paraId="358A96FB" w14:textId="08F96836" w:rsidR="005236D4" w:rsidRPr="00211BAA" w:rsidRDefault="00A14AE6" w:rsidP="00A817A6">
      <w:pPr>
        <w:pStyle w:val="NumberedParagraph"/>
      </w:pPr>
      <w:r w:rsidRPr="00211BAA">
        <w:t xml:space="preserve">Australia’s </w:t>
      </w:r>
      <w:r w:rsidR="00AF0EEA" w:rsidRPr="00211BAA">
        <w:t xml:space="preserve">long run </w:t>
      </w:r>
      <w:r w:rsidRPr="00211BAA">
        <w:t xml:space="preserve">productivity performance has </w:t>
      </w:r>
      <w:r w:rsidR="00AF0EEA" w:rsidRPr="00211BAA">
        <w:t xml:space="preserve">shown </w:t>
      </w:r>
      <w:r w:rsidRPr="00211BAA">
        <w:t>persistent weakness.</w:t>
      </w:r>
      <w:r w:rsidR="00E25AA0" w:rsidRPr="00211BAA">
        <w:t xml:space="preserve"> </w:t>
      </w:r>
      <w:r w:rsidR="000A133F" w:rsidRPr="00211BAA">
        <w:t xml:space="preserve"> (</w:t>
      </w:r>
      <w:r w:rsidR="007454F2" w:rsidRPr="00211BAA">
        <w:t>Chart</w:t>
      </w:r>
      <w:r w:rsidR="000A133F" w:rsidRPr="00211BAA">
        <w:t xml:space="preserve"> </w:t>
      </w:r>
      <w:r w:rsidR="00E42FBE" w:rsidRPr="00211BAA">
        <w:t>1</w:t>
      </w:r>
      <w:r w:rsidR="000A133F" w:rsidRPr="00211BAA">
        <w:t xml:space="preserve">). </w:t>
      </w:r>
    </w:p>
    <w:p w14:paraId="60EF18B5" w14:textId="4366472B" w:rsidR="00F65B97" w:rsidRPr="00211BAA" w:rsidRDefault="00F65B97" w:rsidP="00A817A6">
      <w:pPr>
        <w:pStyle w:val="NumberedParagraph"/>
      </w:pPr>
      <w:r w:rsidRPr="00211BAA">
        <w:t xml:space="preserve">In the 1960s and 1970s, output per hour worked grew relatively strongly, averaging around 2.4 per cent per year. </w:t>
      </w:r>
      <w:r w:rsidR="00AF0EEA" w:rsidRPr="00211BAA">
        <w:t>However, p</w:t>
      </w:r>
      <w:r w:rsidRPr="00211BAA">
        <w:t xml:space="preserve">roductivity growth slowed in the 1980s, declining to an average of around 1.2 per cent per year. This slowdown reflected a combination of rapid employment growth, particularly in lower-productivity service industries, weaker capital deepening, and measurement challenges in service-sector output (Lowe, 1995). </w:t>
      </w:r>
    </w:p>
    <w:p w14:paraId="4F93C67F" w14:textId="226CF103" w:rsidR="00F65B97" w:rsidRPr="00211BAA" w:rsidRDefault="00F65B97" w:rsidP="00A817A6">
      <w:pPr>
        <w:pStyle w:val="NumberedParagraph"/>
      </w:pPr>
      <w:r w:rsidRPr="00211BAA">
        <w:t>Productivity growth strengthened in the 1990s, averaging around 2.3 per cent per year, a period widely associated with the benefits of economy-wide structural reforms</w:t>
      </w:r>
      <w:r w:rsidR="00F17864" w:rsidRPr="00211BAA">
        <w:t>, macroeconomic stability</w:t>
      </w:r>
      <w:r w:rsidRPr="00211BAA">
        <w:t xml:space="preserve"> and technological innovation (PC, 2020a). </w:t>
      </w:r>
    </w:p>
    <w:p w14:paraId="63417772" w14:textId="77777777" w:rsidR="002A3E63" w:rsidRPr="00211BAA" w:rsidRDefault="002A3E63" w:rsidP="00A817A6">
      <w:pPr>
        <w:pStyle w:val="NumberedParagraph"/>
      </w:pPr>
      <w:r w:rsidRPr="00211BAA">
        <w:t>Growth subsequently moderated to an average of around 1.4 per cent per year in the 2000s and slowed further in the 2010s, when average annual productivity growth was the weakest in the previous 60 years.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81685C" w:rsidRPr="00211BAA" w14:paraId="5FF3571A" w14:textId="77777777">
        <w:tc>
          <w:tcPr>
            <w:tcW w:w="8222" w:type="dxa"/>
          </w:tcPr>
          <w:p w14:paraId="2E7F2D23" w14:textId="43DC42F8" w:rsidR="000C4892" w:rsidRPr="00211BAA" w:rsidRDefault="007454F2">
            <w:pPr>
              <w:pStyle w:val="ChartTitle"/>
              <w:keepNext/>
            </w:pPr>
            <w:r w:rsidRPr="00211BAA">
              <w:t>Chart</w:t>
            </w:r>
            <w:r w:rsidR="000C4892" w:rsidRPr="00211BAA">
              <w:t xml:space="preserve"> </w:t>
            </w:r>
            <w:r w:rsidR="00E42FBE" w:rsidRPr="00211BAA">
              <w:t>1</w:t>
            </w:r>
            <w:r w:rsidR="000C4892" w:rsidRPr="00211BAA">
              <w:t>: Average annual productivity growth by decade, 1960s–2010s</w:t>
            </w:r>
          </w:p>
        </w:tc>
      </w:tr>
      <w:tr w:rsidR="0081685C" w:rsidRPr="00211BAA" w14:paraId="56A887F6" w14:textId="77777777">
        <w:tc>
          <w:tcPr>
            <w:tcW w:w="8222" w:type="dxa"/>
          </w:tcPr>
          <w:p w14:paraId="156173EA" w14:textId="77777777" w:rsidR="000C4892" w:rsidRPr="00211BAA" w:rsidRDefault="000C4892">
            <w:pPr>
              <w:keepNext/>
              <w:jc w:val="center"/>
            </w:pPr>
            <w:r w:rsidRPr="00211BAA">
              <w:rPr>
                <w:noProof/>
              </w:rPr>
              <w:drawing>
                <wp:inline distT="0" distB="0" distL="0" distR="0" wp14:anchorId="60A21B7E" wp14:editId="6DFE4AC7">
                  <wp:extent cx="4778375" cy="2222937"/>
                  <wp:effectExtent l="0" t="0" r="3175" b="0"/>
                  <wp:docPr id="1998876443" name="Chart 1">
                    <a:extLst xmlns:a="http://schemas.openxmlformats.org/drawingml/2006/main">
                      <a:ext uri="{FF2B5EF4-FFF2-40B4-BE49-F238E27FC236}">
                        <a16:creationId xmlns:a16="http://schemas.microsoft.com/office/drawing/2014/main" id="{71E94422-27A6-4600-8948-3790BF64B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81685C" w:rsidRPr="00211BAA" w14:paraId="0DBB2C60" w14:textId="77777777">
        <w:tc>
          <w:tcPr>
            <w:tcW w:w="8222" w:type="dxa"/>
          </w:tcPr>
          <w:p w14:paraId="1A74CBCD" w14:textId="77777777" w:rsidR="000C4892" w:rsidRPr="00211BAA" w:rsidRDefault="000C4892">
            <w:pPr>
              <w:pStyle w:val="ChartSource"/>
              <w:rPr>
                <w:color w:val="auto"/>
              </w:rPr>
            </w:pPr>
            <w:r w:rsidRPr="00211BAA">
              <w:rPr>
                <w:color w:val="auto"/>
              </w:rPr>
              <w:t>Source: Treasury estimates using ABS System of National Accounts 2023–24; Penn World Table 2023.</w:t>
            </w:r>
          </w:p>
        </w:tc>
      </w:tr>
    </w:tbl>
    <w:p w14:paraId="61903B69" w14:textId="77777777" w:rsidR="002A3E63" w:rsidRPr="00211BAA" w:rsidRDefault="002A3E63" w:rsidP="00A817A6">
      <w:pPr>
        <w:pStyle w:val="NumberedParagraph"/>
      </w:pPr>
      <w:r w:rsidRPr="00211BAA">
        <w:t xml:space="preserve">The slowdown in productivity growth since the early 2000s reflects a combination of structural drivers. Some of these are common across advanced economies, including slower technological </w:t>
      </w:r>
      <w:r w:rsidRPr="00211BAA">
        <w:lastRenderedPageBreak/>
        <w:t>innovation and diffusion, population ageing, and a long-term shift towards services-based sectors in the economy. These are explored in more detail in section 5 of this submission.</w:t>
      </w:r>
    </w:p>
    <w:p w14:paraId="11F4091C" w14:textId="77777777" w:rsidR="000A133F" w:rsidRPr="00211BAA" w:rsidRDefault="000A133F" w:rsidP="003618DB">
      <w:pPr>
        <w:pStyle w:val="Heading2"/>
        <w:rPr>
          <w:color w:val="auto"/>
        </w:rPr>
      </w:pPr>
      <w:bookmarkStart w:id="12" w:name="_Toc224893970"/>
      <w:r w:rsidRPr="00211BAA">
        <w:rPr>
          <w:color w:val="auto"/>
        </w:rPr>
        <w:t>Productivity since the pandemic</w:t>
      </w:r>
      <w:bookmarkEnd w:id="12"/>
    </w:p>
    <w:p w14:paraId="38543D86" w14:textId="38738A0A" w:rsidR="000A133F" w:rsidRPr="00211BAA" w:rsidRDefault="000A133F" w:rsidP="00A817A6">
      <w:pPr>
        <w:pStyle w:val="NumberedParagraph"/>
      </w:pPr>
      <w:r w:rsidRPr="00211BAA">
        <w:t xml:space="preserve">Productivity outcomes have been volatile in the 2020s, particularly during the COVID-19 pandemic </w:t>
      </w:r>
      <w:r w:rsidR="00482D1A" w:rsidRPr="00211BAA">
        <w:t xml:space="preserve">which </w:t>
      </w:r>
      <w:r w:rsidRPr="00211BAA">
        <w:t>temporarily distorted measured productivity outcomes (</w:t>
      </w:r>
      <w:r w:rsidR="007454F2" w:rsidRPr="00211BAA">
        <w:t>Chart</w:t>
      </w:r>
      <w:r w:rsidRPr="00211BAA">
        <w:t xml:space="preserve"> </w:t>
      </w:r>
      <w:r w:rsidR="00E42FBE" w:rsidRPr="00211BAA">
        <w:t>2</w:t>
      </w:r>
      <w:r w:rsidRPr="00211BAA">
        <w:t>). This has been described as a ‘productivity bubble’ (PC, 2025</w:t>
      </w:r>
      <w:r w:rsidR="00437D5A" w:rsidRPr="00211BAA">
        <w:t>a</w:t>
      </w:r>
      <w:r w:rsidRPr="00211BAA">
        <w:t>).</w:t>
      </w:r>
    </w:p>
    <w:p w14:paraId="2C5DACFA" w14:textId="31A9B1B7" w:rsidR="00742C29" w:rsidRPr="00211BAA" w:rsidRDefault="00742C29" w:rsidP="00A817A6">
      <w:pPr>
        <w:pStyle w:val="NumberedParagraph"/>
      </w:pPr>
      <w:r w:rsidRPr="00211BAA">
        <w:t xml:space="preserve">During the early stages of the pandemic, sharp reductions in hours worked </w:t>
      </w:r>
      <w:r w:rsidR="007D6347" w:rsidRPr="00211BAA">
        <w:t>–</w:t>
      </w:r>
      <w:r w:rsidRPr="00211BAA">
        <w:t xml:space="preserve"> particularly in labour-intensive sectors affected by restrictions </w:t>
      </w:r>
      <w:r w:rsidR="007D6347" w:rsidRPr="00211BAA">
        <w:t>–</w:t>
      </w:r>
      <w:r w:rsidRPr="00211BAA">
        <w:t xml:space="preserve"> alongside a largely unchanged capital stock, led to an increase in measured capital intensity and a temporary lift in productivity.</w:t>
      </w:r>
    </w:p>
    <w:p w14:paraId="20C1ACAB" w14:textId="7B623287" w:rsidR="00742C29" w:rsidRPr="00211BAA" w:rsidRDefault="00742C29" w:rsidP="00A817A6">
      <w:pPr>
        <w:pStyle w:val="NumberedParagraph"/>
      </w:pPr>
      <w:r w:rsidRPr="00211BAA">
        <w:t>As pandemic</w:t>
      </w:r>
      <w:r w:rsidRPr="00211BAA">
        <w:rPr>
          <w:rFonts w:ascii="Cambria Math" w:hAnsi="Cambria Math" w:cs="Cambria Math"/>
        </w:rPr>
        <w:t>‑</w:t>
      </w:r>
      <w:r w:rsidRPr="00211BAA">
        <w:t>related distortions unwound in 2022</w:t>
      </w:r>
      <w:r w:rsidR="00745230" w:rsidRPr="00211BAA">
        <w:t>–</w:t>
      </w:r>
      <w:r w:rsidRPr="00211BAA">
        <w:t xml:space="preserve">23, the economy experienced strong employment growth. </w:t>
      </w:r>
      <w:r w:rsidR="56A04277" w:rsidRPr="00211BAA">
        <w:t xml:space="preserve">Two key factors weighed on measured productivity during this period: </w:t>
      </w:r>
    </w:p>
    <w:p w14:paraId="4109D84A" w14:textId="5BF8B323" w:rsidR="00742C29" w:rsidRPr="00211BAA" w:rsidRDefault="25CBE3F2" w:rsidP="00A817A6">
      <w:pPr>
        <w:pStyle w:val="Bulletparagraph"/>
      </w:pPr>
      <w:r w:rsidRPr="00211BAA">
        <w:t>T</w:t>
      </w:r>
      <w:r w:rsidR="00742C29" w:rsidRPr="00211BAA">
        <w:t xml:space="preserve">he rapid expansion in hours worked. This resulted in capital shallowing across the economy. </w:t>
      </w:r>
    </w:p>
    <w:p w14:paraId="31BB6341" w14:textId="225FA955" w:rsidR="00742C29" w:rsidRPr="00211BAA" w:rsidRDefault="00742C29" w:rsidP="00A817A6">
      <w:pPr>
        <w:pStyle w:val="Bulletparagraph"/>
      </w:pPr>
      <w:r w:rsidRPr="00211BAA">
        <w:t>The rapid movement of people from unemployment into work lowered the average efficiency of the workforce. Newly hired workers take time to build skills and experience so, on average, new workers are less efficient than incumbents. This appears in the statistics as lower MFP.</w:t>
      </w:r>
    </w:p>
    <w:p w14:paraId="482E2417" w14:textId="6EF8B281" w:rsidR="005928F8" w:rsidRPr="00211BAA" w:rsidRDefault="005928F8" w:rsidP="00A817A6">
      <w:pPr>
        <w:pStyle w:val="NumberedParagraph"/>
      </w:pPr>
      <w:r w:rsidRPr="00211BAA">
        <w:t xml:space="preserve">Productivity was broadly flat in 2023–24, returning to around its pre-pandemic level. In </w:t>
      </w:r>
      <w:r w:rsidR="006A565A" w:rsidRPr="00211BAA">
        <w:br/>
      </w:r>
      <w:r w:rsidRPr="00211BAA">
        <w:t>2024–25, productivity (reported in the 2024–25 Annual National Accounts) fell by 0.7 per cent, as growth in hours worked of 2.0 per cent exceeded growth in output of 1.4 per cent. As a result, productivity broadly stabilised around its pre</w:t>
      </w:r>
      <w:r w:rsidRPr="00211BAA">
        <w:noBreakHyphen/>
        <w:t>pandemic level.</w:t>
      </w:r>
    </w:p>
    <w:p w14:paraId="03D025BA" w14:textId="181DE2A5" w:rsidR="00507082" w:rsidRPr="00211BAA" w:rsidRDefault="005A24E5" w:rsidP="00A817A6">
      <w:pPr>
        <w:pStyle w:val="NumberedParagraph"/>
      </w:pPr>
      <w:r w:rsidRPr="00211BAA">
        <w:t xml:space="preserve">More recent </w:t>
      </w:r>
      <w:r w:rsidR="005A429B" w:rsidRPr="00211BAA">
        <w:t>quarterly ABS data show</w:t>
      </w:r>
      <w:r w:rsidRPr="00211BAA">
        <w:t xml:space="preserve">s </w:t>
      </w:r>
      <w:r w:rsidR="005A429B" w:rsidRPr="00211BAA">
        <w:t xml:space="preserve">encouraging signs. </w:t>
      </w:r>
      <w:r w:rsidR="00A84A9B" w:rsidRPr="00211BAA">
        <w:t>W</w:t>
      </w:r>
      <w:r w:rsidR="005A429B" w:rsidRPr="00211BAA">
        <w:t>hole</w:t>
      </w:r>
      <w:r w:rsidR="005A429B" w:rsidRPr="00211BAA">
        <w:rPr>
          <w:rFonts w:ascii="Cambria Math" w:hAnsi="Cambria Math" w:cs="Cambria Math"/>
        </w:rPr>
        <w:t>‑</w:t>
      </w:r>
      <w:r w:rsidR="005A429B" w:rsidRPr="00211BAA">
        <w:t>of</w:t>
      </w:r>
      <w:r w:rsidR="005A429B" w:rsidRPr="00211BAA">
        <w:rPr>
          <w:rFonts w:ascii="Cambria Math" w:hAnsi="Cambria Math" w:cs="Cambria Math"/>
        </w:rPr>
        <w:t>‑</w:t>
      </w:r>
      <w:r w:rsidR="005A429B" w:rsidRPr="00211BAA">
        <w:t>economy productivity increased by 1.0 per cent over the year to December 2025. Market sector productivity was stronger, growing by 1.5 per cent over the year.</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81685C" w:rsidRPr="00211BAA" w14:paraId="67E224B9" w14:textId="77777777" w:rsidTr="002208F5">
        <w:tc>
          <w:tcPr>
            <w:tcW w:w="8222" w:type="dxa"/>
          </w:tcPr>
          <w:p w14:paraId="5C3E94DF" w14:textId="225ED98C" w:rsidR="005928F8" w:rsidRPr="00211BAA" w:rsidRDefault="007454F2" w:rsidP="002208F5">
            <w:pPr>
              <w:pStyle w:val="ChartTitle"/>
              <w:keepNext/>
            </w:pPr>
            <w:r w:rsidRPr="00211BAA">
              <w:t>Chart</w:t>
            </w:r>
            <w:r w:rsidR="005928F8" w:rsidRPr="00211BAA">
              <w:t xml:space="preserve"> </w:t>
            </w:r>
            <w:r w:rsidR="00E42FBE" w:rsidRPr="00211BAA">
              <w:t>2</w:t>
            </w:r>
            <w:r w:rsidR="005928F8" w:rsidRPr="00211BAA">
              <w:t xml:space="preserve">: Productivity, quarterly levels, March 2009 to </w:t>
            </w:r>
            <w:r w:rsidR="00D2454D" w:rsidRPr="00211BAA">
              <w:t>December</w:t>
            </w:r>
            <w:r w:rsidR="005928F8" w:rsidRPr="00211BAA">
              <w:t xml:space="preserve"> 2025</w:t>
            </w:r>
          </w:p>
        </w:tc>
      </w:tr>
      <w:tr w:rsidR="0081685C" w:rsidRPr="00211BAA" w14:paraId="61CE515D" w14:textId="77777777" w:rsidTr="002208F5">
        <w:tc>
          <w:tcPr>
            <w:tcW w:w="8222" w:type="dxa"/>
          </w:tcPr>
          <w:p w14:paraId="69A7B4C1" w14:textId="656E6DB9" w:rsidR="005928F8" w:rsidRPr="00211BAA" w:rsidRDefault="0080653D" w:rsidP="002208F5">
            <w:pPr>
              <w:keepNext/>
              <w:jc w:val="center"/>
            </w:pPr>
            <w:r w:rsidRPr="00211BAA">
              <w:rPr>
                <w:noProof/>
              </w:rPr>
              <w:drawing>
                <wp:inline distT="0" distB="0" distL="0" distR="0" wp14:anchorId="5874442C" wp14:editId="606A6DAC">
                  <wp:extent cx="5083810" cy="2286000"/>
                  <wp:effectExtent l="0" t="0" r="0" b="0"/>
                  <wp:docPr id="1448251161" name="Chart 1">
                    <a:extLst xmlns:a="http://schemas.openxmlformats.org/drawingml/2006/main">
                      <a:ext uri="{FF2B5EF4-FFF2-40B4-BE49-F238E27FC236}">
                        <a16:creationId xmlns:a16="http://schemas.microsoft.com/office/drawing/2014/main" id="{A1B3C25D-9290-720A-A6CC-499D1BAEE1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81685C" w:rsidRPr="00211BAA" w14:paraId="7B6633F0" w14:textId="77777777" w:rsidTr="002208F5">
        <w:tc>
          <w:tcPr>
            <w:tcW w:w="8222" w:type="dxa"/>
          </w:tcPr>
          <w:p w14:paraId="4314434A" w14:textId="57B1F219" w:rsidR="005928F8" w:rsidRPr="00211BAA" w:rsidRDefault="005928F8" w:rsidP="002208F5">
            <w:pPr>
              <w:pStyle w:val="ChartSource"/>
              <w:rPr>
                <w:color w:val="auto"/>
              </w:rPr>
            </w:pPr>
            <w:r w:rsidRPr="00211BAA">
              <w:rPr>
                <w:color w:val="auto"/>
              </w:rPr>
              <w:t xml:space="preserve">Source: ABS National Accounts 2025 </w:t>
            </w:r>
            <w:r w:rsidR="00D2454D" w:rsidRPr="00211BAA">
              <w:rPr>
                <w:color w:val="auto"/>
              </w:rPr>
              <w:t>December</w:t>
            </w:r>
            <w:r w:rsidRPr="00211BAA">
              <w:rPr>
                <w:color w:val="auto"/>
              </w:rPr>
              <w:t xml:space="preserve"> quarter: GDP per hour worked.</w:t>
            </w:r>
          </w:p>
        </w:tc>
      </w:tr>
    </w:tbl>
    <w:p w14:paraId="537754C9" w14:textId="533C81FF" w:rsidR="005928F8" w:rsidRPr="00211BAA" w:rsidRDefault="005928F8" w:rsidP="00A817A6">
      <w:pPr>
        <w:pStyle w:val="NumberedParagraph"/>
      </w:pPr>
      <w:r w:rsidRPr="00211BAA">
        <w:t xml:space="preserve">Abstracting from cyclical movements, the underlying </w:t>
      </w:r>
      <w:r w:rsidR="099782F4" w:rsidRPr="00211BAA">
        <w:t xml:space="preserve">longstanding </w:t>
      </w:r>
      <w:r w:rsidRPr="00211BAA">
        <w:t>trend in productivity growth remains weak. Despite swings driven by temporary factors, long</w:t>
      </w:r>
      <w:r w:rsidRPr="00211BAA">
        <w:rPr>
          <w:rFonts w:ascii="Cambria Math" w:hAnsi="Cambria Math" w:cs="Cambria Math"/>
        </w:rPr>
        <w:t>‑</w:t>
      </w:r>
      <w:r w:rsidRPr="00211BAA">
        <w:t>run productivity appears subdued, pointing to more persistent structural constraints rather than short</w:t>
      </w:r>
      <w:r w:rsidRPr="00211BAA">
        <w:rPr>
          <w:rFonts w:ascii="Cambria Math" w:hAnsi="Cambria Math" w:cs="Cambria Math"/>
        </w:rPr>
        <w:t>‑</w:t>
      </w:r>
      <w:r w:rsidRPr="00211BAA">
        <w:t>term fluctuations.</w:t>
      </w:r>
    </w:p>
    <w:p w14:paraId="23FC85DA" w14:textId="77777777" w:rsidR="005928F8" w:rsidRPr="00211BAA" w:rsidRDefault="005928F8" w:rsidP="005928F8">
      <w:pPr>
        <w:pStyle w:val="Heading2"/>
        <w:rPr>
          <w:color w:val="auto"/>
        </w:rPr>
      </w:pPr>
      <w:bookmarkStart w:id="13" w:name="_Toc224893971"/>
      <w:r w:rsidRPr="00211BAA">
        <w:rPr>
          <w:color w:val="auto"/>
        </w:rPr>
        <w:lastRenderedPageBreak/>
        <w:t>International benchmarks</w:t>
      </w:r>
      <w:bookmarkEnd w:id="13"/>
    </w:p>
    <w:p w14:paraId="19166757" w14:textId="64DC321A" w:rsidR="00742C29" w:rsidRPr="00211BAA" w:rsidRDefault="005928F8" w:rsidP="00A817A6">
      <w:pPr>
        <w:pStyle w:val="NumberedParagraph"/>
      </w:pPr>
      <w:r w:rsidRPr="00211BAA">
        <w:t xml:space="preserve">Long-run productivity growth rates have also slowed significantly across the </w:t>
      </w:r>
      <w:r w:rsidR="00E213AC" w:rsidRPr="00211BAA">
        <w:t>Group of Seven (</w:t>
      </w:r>
      <w:r w:rsidRPr="00211BAA">
        <w:t>G7</w:t>
      </w:r>
      <w:r w:rsidR="00E213AC" w:rsidRPr="00211BAA">
        <w:t>)</w:t>
      </w:r>
      <w:r w:rsidRPr="00211BAA">
        <w:t xml:space="preserve"> </w:t>
      </w:r>
      <w:r w:rsidR="00E213AC" w:rsidRPr="00211BAA">
        <w:t>countries</w:t>
      </w:r>
      <w:r w:rsidRPr="00211BAA">
        <w:t xml:space="preserve"> and New</w:t>
      </w:r>
      <w:r w:rsidR="00DC2DDD" w:rsidRPr="00211BAA">
        <w:t> </w:t>
      </w:r>
      <w:r w:rsidRPr="00211BAA">
        <w:t>Zealand (</w:t>
      </w:r>
      <w:r w:rsidR="007454F2" w:rsidRPr="00211BAA">
        <w:t>Chart</w:t>
      </w:r>
      <w:r w:rsidRPr="00211BAA">
        <w:t xml:space="preserve"> </w:t>
      </w:r>
      <w:r w:rsidR="00E42FBE" w:rsidRPr="00211BAA">
        <w:t>3</w:t>
      </w:r>
      <w:r w:rsidRPr="00211BAA">
        <w:t>). This pattern suggests that common factors are playing a role. This is explored further in section 6 of this submission.</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81685C" w:rsidRPr="00211BAA" w14:paraId="214E97AD" w14:textId="77777777" w:rsidTr="008A099C">
        <w:tc>
          <w:tcPr>
            <w:tcW w:w="8222" w:type="dxa"/>
          </w:tcPr>
          <w:p w14:paraId="58B48B3D" w14:textId="01E906EC" w:rsidR="00502A8F" w:rsidRPr="00211BAA" w:rsidRDefault="007454F2" w:rsidP="000975E6">
            <w:pPr>
              <w:pStyle w:val="ChartTitle"/>
              <w:keepNext/>
            </w:pPr>
            <w:r w:rsidRPr="00211BAA">
              <w:t>Chart</w:t>
            </w:r>
            <w:r w:rsidR="00502A8F" w:rsidRPr="00211BAA">
              <w:t xml:space="preserve"> </w:t>
            </w:r>
            <w:r w:rsidR="00E42FBE" w:rsidRPr="00211BAA">
              <w:t>3</w:t>
            </w:r>
            <w:r w:rsidR="00FF178A" w:rsidRPr="00211BAA">
              <w:t>: 20-year average productivity growth rates across advanced economies</w:t>
            </w:r>
          </w:p>
        </w:tc>
      </w:tr>
      <w:tr w:rsidR="0081685C" w:rsidRPr="00211BAA" w14:paraId="0BA8F2F4" w14:textId="77777777" w:rsidTr="008A099C">
        <w:tc>
          <w:tcPr>
            <w:tcW w:w="8222" w:type="dxa"/>
          </w:tcPr>
          <w:p w14:paraId="5F1D8CA1" w14:textId="094032EC" w:rsidR="00502A8F" w:rsidRPr="00211BAA" w:rsidRDefault="003262D4" w:rsidP="000975E6">
            <w:pPr>
              <w:keepNext/>
            </w:pPr>
            <w:r w:rsidRPr="00211BAA">
              <w:rPr>
                <w:noProof/>
              </w:rPr>
              <w:drawing>
                <wp:inline distT="0" distB="0" distL="0" distR="0" wp14:anchorId="7EEE379C" wp14:editId="226A3B1C">
                  <wp:extent cx="5083810" cy="2692400"/>
                  <wp:effectExtent l="0" t="0" r="2540" b="0"/>
                  <wp:docPr id="1901251741" name="Chart 1">
                    <a:extLst xmlns:a="http://schemas.openxmlformats.org/drawingml/2006/main">
                      <a:ext uri="{FF2B5EF4-FFF2-40B4-BE49-F238E27FC236}">
                        <a16:creationId xmlns:a16="http://schemas.microsoft.com/office/drawing/2014/main" id="{75E4C0EB-1D6B-4A3C-B09A-80AA448FF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81685C" w:rsidRPr="00211BAA" w14:paraId="3D5EDB10" w14:textId="77777777" w:rsidTr="008A099C">
        <w:tc>
          <w:tcPr>
            <w:tcW w:w="8222" w:type="dxa"/>
          </w:tcPr>
          <w:p w14:paraId="60C85383" w14:textId="4F0DCB29" w:rsidR="003262D4" w:rsidRPr="00211BAA" w:rsidRDefault="003262D4" w:rsidP="000C4892">
            <w:pPr>
              <w:pStyle w:val="ChartSource"/>
              <w:rPr>
                <w:color w:val="auto"/>
              </w:rPr>
            </w:pPr>
            <w:r w:rsidRPr="00211BAA">
              <w:rPr>
                <w:color w:val="auto"/>
              </w:rPr>
              <w:t>Note: Averages are calculated using a compounding average growth rate. Twenty-year averages are used to average out short-term fluctuations and provide a clearer indication of underlying trends.</w:t>
            </w:r>
          </w:p>
          <w:p w14:paraId="6B7D34C8" w14:textId="66FB0EF5" w:rsidR="00502A8F" w:rsidRPr="00211BAA" w:rsidRDefault="003262D4" w:rsidP="000C4892">
            <w:pPr>
              <w:pStyle w:val="ChartSource"/>
              <w:rPr>
                <w:color w:val="auto"/>
              </w:rPr>
            </w:pPr>
            <w:r w:rsidRPr="00211BAA">
              <w:rPr>
                <w:color w:val="auto"/>
              </w:rPr>
              <w:t>Source: Treasury estimates using OECD GDP per hour worked index, 1995</w:t>
            </w:r>
            <w:r w:rsidR="00B04527" w:rsidRPr="00211BAA">
              <w:rPr>
                <w:color w:val="auto"/>
              </w:rPr>
              <w:t>–</w:t>
            </w:r>
            <w:r w:rsidRPr="00211BAA">
              <w:rPr>
                <w:color w:val="auto"/>
              </w:rPr>
              <w:t>2023</w:t>
            </w:r>
          </w:p>
        </w:tc>
      </w:tr>
    </w:tbl>
    <w:p w14:paraId="31DF8B01" w14:textId="4EDB3876" w:rsidR="00742C29" w:rsidRPr="00211BAA" w:rsidRDefault="00742C29" w:rsidP="003618DB">
      <w:pPr>
        <w:pStyle w:val="Heading2"/>
        <w:rPr>
          <w:color w:val="auto"/>
        </w:rPr>
      </w:pPr>
      <w:bookmarkStart w:id="14" w:name="_Toc224893972"/>
      <w:r w:rsidRPr="00211BAA">
        <w:rPr>
          <w:color w:val="auto"/>
        </w:rPr>
        <w:t>The long-</w:t>
      </w:r>
      <w:r w:rsidR="002B4E62" w:rsidRPr="00211BAA">
        <w:rPr>
          <w:color w:val="auto"/>
        </w:rPr>
        <w:t>run</w:t>
      </w:r>
      <w:r w:rsidRPr="00211BAA">
        <w:rPr>
          <w:color w:val="auto"/>
        </w:rPr>
        <w:t xml:space="preserve"> productivity growth assumption</w:t>
      </w:r>
      <w:bookmarkEnd w:id="14"/>
    </w:p>
    <w:p w14:paraId="67E48425" w14:textId="344B8539" w:rsidR="00742C29" w:rsidRPr="00211BAA" w:rsidRDefault="00742C29" w:rsidP="00A817A6">
      <w:pPr>
        <w:pStyle w:val="NumberedParagraph"/>
      </w:pPr>
      <w:r w:rsidRPr="00211BAA">
        <w:t xml:space="preserve">Productivity growth is influenced by innovation, diffusion, investment and policy settings, </w:t>
      </w:r>
      <w:r w:rsidR="00D45590" w:rsidRPr="00211BAA">
        <w:t xml:space="preserve">by both private businesses and government and </w:t>
      </w:r>
      <w:r w:rsidRPr="00211BAA">
        <w:t>both domestic</w:t>
      </w:r>
      <w:r w:rsidR="0025145B" w:rsidRPr="00211BAA">
        <w:t>ally</w:t>
      </w:r>
      <w:r w:rsidRPr="00211BAA">
        <w:t xml:space="preserve"> and global</w:t>
      </w:r>
      <w:r w:rsidR="0025145B" w:rsidRPr="00211BAA">
        <w:t>ly</w:t>
      </w:r>
      <w:r w:rsidRPr="00211BAA">
        <w:t>. This makes productivity growth difficult to predict. For instance, an unexpected innovation could drive growth, or unexpected geopolitical changes may influence investment. Accordingly, Treasury uses an assumption informed by long-</w:t>
      </w:r>
      <w:r w:rsidR="00B779EE" w:rsidRPr="00211BAA">
        <w:t>run</w:t>
      </w:r>
      <w:r w:rsidRPr="00211BAA">
        <w:t xml:space="preserve"> trends and international practice as the basis for expectations about productivity growth beyond the forward estimates.</w:t>
      </w:r>
    </w:p>
    <w:p w14:paraId="44AE7707" w14:textId="2842B60B" w:rsidR="00742C29" w:rsidRPr="00211BAA" w:rsidRDefault="00742C29" w:rsidP="00A817A6">
      <w:pPr>
        <w:pStyle w:val="NumberedParagraph"/>
      </w:pPr>
      <w:r w:rsidRPr="00211BAA">
        <w:t>Reflecting the persistence of weaker</w:t>
      </w:r>
      <w:r w:rsidR="003C1FF9" w:rsidRPr="00211BAA">
        <w:t xml:space="preserve"> global and domestic</w:t>
      </w:r>
      <w:r w:rsidRPr="00211BAA">
        <w:t xml:space="preserve"> productivity outcomes, Treasury revised down its long</w:t>
      </w:r>
      <w:r w:rsidR="00513622" w:rsidRPr="00211BAA">
        <w:noBreakHyphen/>
        <w:t>run</w:t>
      </w:r>
      <w:r w:rsidRPr="00211BAA">
        <w:t xml:space="preserve"> annual productivity growth assumption from 1.5 per cent (then around the 30-year average) to 1.2 per cent (then around the 20-year average) in 2022. </w:t>
      </w:r>
      <w:r w:rsidR="00E34068" w:rsidRPr="00211BAA">
        <w:br/>
      </w:r>
      <w:r w:rsidRPr="00211BAA">
        <w:t>The 1.2 per cent assumption has been maintained since 2022.</w:t>
      </w:r>
    </w:p>
    <w:p w14:paraId="74191D7C" w14:textId="2FD6D8DC" w:rsidR="00742C29" w:rsidRPr="00211BAA" w:rsidRDefault="00742C29" w:rsidP="00A817A6">
      <w:pPr>
        <w:pStyle w:val="NumberedParagraph"/>
      </w:pPr>
      <w:r w:rsidRPr="00211BAA">
        <w:t>Developments in recent years have added more uncertainty to future long-term productivity outcomes. For example, pandemic</w:t>
      </w:r>
      <w:r w:rsidRPr="00211BAA">
        <w:rPr>
          <w:rFonts w:ascii="Cambria Math" w:hAnsi="Cambria Math" w:cs="Cambria Math"/>
        </w:rPr>
        <w:t>‑</w:t>
      </w:r>
      <w:r w:rsidRPr="00211BAA">
        <w:t>related volatility in the first half of this decade has made underlying trends harder to interpret. Downside risks, including climate change and rising barriers to trade, have the potential to hamper long-term productivity growth. The upside potential of technological innovations, including artificial intelligence, is</w:t>
      </w:r>
      <w:r w:rsidR="003C1FF9" w:rsidRPr="00211BAA">
        <w:t xml:space="preserve"> potentially very significant, but</w:t>
      </w:r>
      <w:r w:rsidRPr="00211BAA">
        <w:t xml:space="preserve"> uncertain.</w:t>
      </w:r>
    </w:p>
    <w:p w14:paraId="028D0501" w14:textId="2EAF7342" w:rsidR="00742C29" w:rsidRPr="00211BAA" w:rsidRDefault="00742C29" w:rsidP="00A817A6">
      <w:pPr>
        <w:pStyle w:val="NumberedParagraph"/>
      </w:pPr>
      <w:r w:rsidRPr="00211BAA">
        <w:t>Internationally, long-</w:t>
      </w:r>
      <w:r w:rsidR="00E878C9" w:rsidRPr="00211BAA">
        <w:t>run</w:t>
      </w:r>
      <w:r w:rsidRPr="00211BAA">
        <w:t xml:space="preserve"> productivity assumptions vary from country to country. They tend to be informed by historical averages and periodically reassessed with reference to productivity </w:t>
      </w:r>
      <w:r w:rsidRPr="00211BAA">
        <w:lastRenderedPageBreak/>
        <w:t>trends and prospects. Like Australia, other agencies have revised down their assumptions over the past 5 years. Australia’s assumption remains broadly consistent with the range used by other open market economies with similar institutional features:</w:t>
      </w:r>
    </w:p>
    <w:p w14:paraId="77059AA7" w14:textId="202EC336" w:rsidR="00742C29" w:rsidRPr="00211BAA" w:rsidRDefault="00742C29" w:rsidP="00A817A6">
      <w:pPr>
        <w:pStyle w:val="Bulletparagraph"/>
      </w:pPr>
      <w:r w:rsidRPr="00211BAA">
        <w:t xml:space="preserve">The United Kingdom’s Office for Budget Responsibility (2025) uses a long-term assumption of 1.5 per cent. </w:t>
      </w:r>
    </w:p>
    <w:p w14:paraId="2D0AE7B7" w14:textId="532C26CC" w:rsidR="00742C29" w:rsidRPr="00211BAA" w:rsidRDefault="00742C29" w:rsidP="00A817A6">
      <w:pPr>
        <w:pStyle w:val="Bulletparagraph"/>
      </w:pPr>
      <w:r w:rsidRPr="00211BAA">
        <w:t>The United States’ Congressional Budget Office (202</w:t>
      </w:r>
      <w:r w:rsidR="004A5C6C" w:rsidRPr="00211BAA">
        <w:t>6</w:t>
      </w:r>
      <w:r w:rsidRPr="00211BAA">
        <w:t xml:space="preserve">) uses a long-term assumption </w:t>
      </w:r>
      <w:r w:rsidR="008621A0" w:rsidRPr="00211BAA">
        <w:t xml:space="preserve">of </w:t>
      </w:r>
      <w:r w:rsidRPr="00211BAA">
        <w:t>1.</w:t>
      </w:r>
      <w:r w:rsidR="00705F9C" w:rsidRPr="00211BAA">
        <w:t>4</w:t>
      </w:r>
      <w:r w:rsidR="002D116F" w:rsidRPr="00211BAA">
        <w:t> </w:t>
      </w:r>
      <w:r w:rsidRPr="00211BAA">
        <w:t>per cent.</w:t>
      </w:r>
    </w:p>
    <w:p w14:paraId="16682961" w14:textId="45C71F20" w:rsidR="00742C29" w:rsidRPr="00211BAA" w:rsidRDefault="00742C29" w:rsidP="00A817A6">
      <w:pPr>
        <w:pStyle w:val="Bulletparagraph"/>
      </w:pPr>
      <w:r w:rsidRPr="00211BAA">
        <w:t xml:space="preserve">New Zealand Treasury (2025) uses a 0.9 per cent </w:t>
      </w:r>
      <w:r w:rsidR="002E523A" w:rsidRPr="00211BAA">
        <w:t xml:space="preserve">long-term </w:t>
      </w:r>
      <w:r w:rsidRPr="00211BAA">
        <w:t>assumption.</w:t>
      </w:r>
    </w:p>
    <w:p w14:paraId="3508362C" w14:textId="0301E5A0" w:rsidR="00742C29" w:rsidRPr="00211BAA" w:rsidRDefault="00742C29" w:rsidP="00A817A6">
      <w:pPr>
        <w:pStyle w:val="Bulletparagraph"/>
      </w:pPr>
      <w:r w:rsidRPr="00211BAA">
        <w:t xml:space="preserve">The Canadian Department of Finance (2025) uses a 0.8 per cent </w:t>
      </w:r>
      <w:r w:rsidR="002E523A" w:rsidRPr="00211BAA">
        <w:t xml:space="preserve">long-term </w:t>
      </w:r>
      <w:r w:rsidRPr="00211BAA">
        <w:t>assumption.</w:t>
      </w:r>
    </w:p>
    <w:p w14:paraId="1712F7D9" w14:textId="3E4B2D20" w:rsidR="00742C29" w:rsidRPr="00211BAA" w:rsidRDefault="00742C29" w:rsidP="006323CF">
      <w:pPr>
        <w:pStyle w:val="Heading1"/>
        <w:rPr>
          <w:color w:val="auto"/>
        </w:rPr>
      </w:pPr>
      <w:bookmarkStart w:id="15" w:name="_Toc224893973"/>
      <w:r w:rsidRPr="00211BAA">
        <w:rPr>
          <w:color w:val="auto"/>
        </w:rPr>
        <w:t>Australia and the global frontier</w:t>
      </w:r>
      <w:bookmarkEnd w:id="15"/>
    </w:p>
    <w:p w14:paraId="22832134" w14:textId="6EBAC0AB" w:rsidR="00965AF4" w:rsidRPr="00211BAA" w:rsidRDefault="00965AF4" w:rsidP="00A817A6">
      <w:pPr>
        <w:pStyle w:val="NumberedParagraph"/>
      </w:pPr>
      <w:r w:rsidRPr="00211BAA">
        <w:t xml:space="preserve">In a broad sense, Australia’s productivity growth is a function of the pace at which the global productivity frontier is advancing, and </w:t>
      </w:r>
      <w:r w:rsidR="0096761B" w:rsidRPr="00211BAA">
        <w:t xml:space="preserve">the pace </w:t>
      </w:r>
      <w:r w:rsidR="00D572D2" w:rsidRPr="00211BAA">
        <w:t>at which Australia converges</w:t>
      </w:r>
      <w:r w:rsidRPr="00211BAA">
        <w:t xml:space="preserve"> towards it. The concept of the frontier provides a useful benchmark for considering productivity performance.</w:t>
      </w:r>
    </w:p>
    <w:p w14:paraId="003DB0CD" w14:textId="77777777" w:rsidR="00965AF4" w:rsidRPr="00211BAA" w:rsidRDefault="00965AF4" w:rsidP="00965AF4">
      <w:pPr>
        <w:pStyle w:val="Heading2"/>
        <w:rPr>
          <w:color w:val="auto"/>
        </w:rPr>
      </w:pPr>
      <w:bookmarkStart w:id="16" w:name="_Toc224893974"/>
      <w:r w:rsidRPr="00211BAA">
        <w:rPr>
          <w:color w:val="auto"/>
        </w:rPr>
        <w:t>The global productivity frontier</w:t>
      </w:r>
      <w:bookmarkEnd w:id="16"/>
    </w:p>
    <w:p w14:paraId="7D6E21D5" w14:textId="04F768FB" w:rsidR="00742C29" w:rsidRPr="00211BAA" w:rsidRDefault="00742C29" w:rsidP="00A817A6">
      <w:pPr>
        <w:pStyle w:val="NumberedParagraph"/>
      </w:pPr>
      <w:r w:rsidRPr="00211BAA">
        <w:t xml:space="preserve">The global productivity frontier refers to the best-practice level of productivity achieved by the most efficient firms, industries, or countries at a given point in time, reflecting the current technological and organisational possibilities. It is not a fixed benchmark, but a moving one, advancing over time as firms and economies invent and innovate with new technologies, reorganise production, and improve skills. </w:t>
      </w:r>
    </w:p>
    <w:p w14:paraId="0514E8E3" w14:textId="77777777" w:rsidR="00742C29" w:rsidRPr="00211BAA" w:rsidRDefault="00742C29" w:rsidP="00A817A6">
      <w:pPr>
        <w:pStyle w:val="NumberedParagraph"/>
      </w:pPr>
      <w:r w:rsidRPr="00211BAA">
        <w:t xml:space="preserve">Countries and firms behind the global productivity frontier can raise productivity either by adopting and diffusing existing best-practice production technologies and processes, or by pushing the frontier outward through innovation in their own capabilities. </w:t>
      </w:r>
    </w:p>
    <w:p w14:paraId="0E36ED5D" w14:textId="77777777" w:rsidR="00742C29" w:rsidRPr="00211BAA" w:rsidRDefault="00742C29" w:rsidP="00A817A6">
      <w:pPr>
        <w:pStyle w:val="NumberedParagraph"/>
      </w:pPr>
      <w:bookmarkStart w:id="17" w:name="_Ref221718643"/>
      <w:r w:rsidRPr="00211BAA">
        <w:t>At a whole-of-economy level, the United States is often regarded as the global productivity frontier economy. However, a more disaggregated view at the industry level might situate the frontier within a specific industry-leading country or multi-national firm, which leads in a specific technology or process. In this respect, the global frontier can be thought of as existing in different places for different goods and services, rather than in a single country’s economy.</w:t>
      </w:r>
      <w:bookmarkEnd w:id="17"/>
    </w:p>
    <w:p w14:paraId="6C3CB24B" w14:textId="40946738" w:rsidR="00742C29" w:rsidRPr="00211BAA" w:rsidRDefault="00742C29" w:rsidP="00A817A6">
      <w:pPr>
        <w:pStyle w:val="NumberedParagraph"/>
      </w:pPr>
      <w:r w:rsidRPr="00211BAA">
        <w:t>Over long periods, productivity outcomes across countries tend to show convergence toward an international frontier (Dolman et al. 2007). This mainly occurs through knowledge spillovers and investment from economies or firms closer to the frontier, into economies or firms further from the frontier.</w:t>
      </w:r>
      <w:r w:rsidR="00833B6C" w:rsidRPr="00211BAA">
        <w:t xml:space="preserve"> </w:t>
      </w:r>
    </w:p>
    <w:p w14:paraId="6F90D936" w14:textId="31686F8E" w:rsidR="00742C29" w:rsidRPr="00211BAA" w:rsidRDefault="00742C29" w:rsidP="00A817A6">
      <w:pPr>
        <w:pStyle w:val="NumberedParagraph"/>
      </w:pPr>
      <w:r w:rsidRPr="00211BAA">
        <w:t xml:space="preserve">Economies that start further from the frontier often grow more quickly because they start at a lower level of productivity and can adopt existing technologies and practices. Those closer to the frontier (usually advanced economies) already have a high level of productivity and grow more slowly because further gains depend on new technology and innovations. As a result, productivity growth rates need to be </w:t>
      </w:r>
      <w:r w:rsidR="0012052F" w:rsidRPr="00211BAA">
        <w:t>considered</w:t>
      </w:r>
      <w:r w:rsidRPr="00211BAA">
        <w:t xml:space="preserve"> in the context of a country’s initial position.</w:t>
      </w:r>
    </w:p>
    <w:p w14:paraId="22E9D119" w14:textId="030C0921" w:rsidR="00742C29" w:rsidRPr="00211BAA" w:rsidRDefault="00742C29" w:rsidP="00A817A6">
      <w:pPr>
        <w:pStyle w:val="NumberedParagraph"/>
      </w:pPr>
      <w:r w:rsidRPr="00211BAA">
        <w:t>In Australia, only a small share of firms engage</w:t>
      </w:r>
      <w:r w:rsidR="00F02AE0" w:rsidRPr="00211BAA">
        <w:t>s</w:t>
      </w:r>
      <w:r w:rsidRPr="00211BAA">
        <w:t xml:space="preserve"> in new-to-the-world innovation, and around one to two per cent of businesses operate at the global frontier – broadly consistent with </w:t>
      </w:r>
      <w:r w:rsidR="00F02AE0" w:rsidRPr="00211BAA">
        <w:t xml:space="preserve">Australia’s </w:t>
      </w:r>
      <w:r w:rsidRPr="00211BAA">
        <w:t xml:space="preserve">population size. For </w:t>
      </w:r>
      <w:proofErr w:type="gramStart"/>
      <w:r w:rsidRPr="00211BAA">
        <w:t>the vast majority of</w:t>
      </w:r>
      <w:proofErr w:type="gramEnd"/>
      <w:r w:rsidRPr="00211BAA">
        <w:t xml:space="preserve"> firms, productivity growth arises primarily through the diffusion of frontier technologies into the domestic economy (</w:t>
      </w:r>
      <w:r w:rsidR="00373A82" w:rsidRPr="00211BAA">
        <w:t>PC</w:t>
      </w:r>
      <w:r w:rsidRPr="00211BAA">
        <w:t>, 2023b).</w:t>
      </w:r>
    </w:p>
    <w:p w14:paraId="7F0775E2" w14:textId="4C9953B8" w:rsidR="00742C29" w:rsidRPr="00211BAA" w:rsidRDefault="00742C29" w:rsidP="003618DB">
      <w:pPr>
        <w:pStyle w:val="Heading2"/>
        <w:rPr>
          <w:color w:val="auto"/>
        </w:rPr>
      </w:pPr>
      <w:bookmarkStart w:id="18" w:name="_Toc224893975"/>
      <w:r w:rsidRPr="00211BAA">
        <w:rPr>
          <w:color w:val="auto"/>
        </w:rPr>
        <w:lastRenderedPageBreak/>
        <w:t>Australia and the frontier</w:t>
      </w:r>
      <w:bookmarkEnd w:id="18"/>
    </w:p>
    <w:p w14:paraId="06138A6A" w14:textId="1F2A66AD" w:rsidR="00742C29" w:rsidRPr="00211BAA" w:rsidRDefault="00742C29" w:rsidP="00A817A6">
      <w:pPr>
        <w:pStyle w:val="NumberedParagraph"/>
      </w:pPr>
      <w:r w:rsidRPr="00211BAA">
        <w:t>Australia ranks 16th among OECD members for labour productivity</w:t>
      </w:r>
      <w:r w:rsidR="0022327A" w:rsidRPr="00211BAA">
        <w:t>,</w:t>
      </w:r>
      <w:r w:rsidRPr="00211BAA">
        <w:t xml:space="preserve"> </w:t>
      </w:r>
      <w:r w:rsidR="0049300B" w:rsidRPr="00211BAA">
        <w:t>as measured by gross national income</w:t>
      </w:r>
      <w:r w:rsidRPr="00211BAA">
        <w:t xml:space="preserve"> (</w:t>
      </w:r>
      <w:r w:rsidR="007454F2" w:rsidRPr="00211BAA">
        <w:t>Chart</w:t>
      </w:r>
      <w:r w:rsidRPr="00211BAA">
        <w:t xml:space="preserve"> </w:t>
      </w:r>
      <w:r w:rsidR="00E42FBE" w:rsidRPr="00211BAA">
        <w:t>4</w:t>
      </w:r>
      <w:r w:rsidRPr="00211BAA">
        <w:t>).</w:t>
      </w:r>
    </w:p>
    <w:p w14:paraId="5A86BF29" w14:textId="38C1C956" w:rsidR="00E34068" w:rsidRPr="00211BAA" w:rsidRDefault="00060D58" w:rsidP="00455EC3">
      <w:pPr>
        <w:pStyle w:val="NumberedParagraph"/>
      </w:pPr>
      <w:r w:rsidRPr="00211BAA">
        <w:t>Similarly, the Total Economy Database (developed by the University of Groningen and now maintained by the Conference Board) ranks Australia ranks 16th out of 41 mature economies in terms of productivity (Conference Board, 2025).</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81685C" w:rsidRPr="00211BAA" w14:paraId="12ECEA6D" w14:textId="77777777" w:rsidTr="002D7AED">
        <w:tc>
          <w:tcPr>
            <w:tcW w:w="8222" w:type="dxa"/>
          </w:tcPr>
          <w:p w14:paraId="29E3602A" w14:textId="165C3697" w:rsidR="008A099C" w:rsidRPr="00211BAA" w:rsidRDefault="007454F2" w:rsidP="00926C97">
            <w:pPr>
              <w:pStyle w:val="ChartTitle"/>
            </w:pPr>
            <w:r w:rsidRPr="00211BAA">
              <w:t>Chart</w:t>
            </w:r>
            <w:r w:rsidR="008A099C" w:rsidRPr="00211BAA">
              <w:t xml:space="preserve"> </w:t>
            </w:r>
            <w:r w:rsidR="00E42FBE" w:rsidRPr="00211BAA">
              <w:t>4</w:t>
            </w:r>
            <w:r w:rsidR="008A099C" w:rsidRPr="00211BAA">
              <w:t xml:space="preserve">: </w:t>
            </w:r>
            <w:r w:rsidR="00407E6A" w:rsidRPr="00211BAA">
              <w:t>Relative l</w:t>
            </w:r>
            <w:r w:rsidR="008A099C" w:rsidRPr="00211BAA">
              <w:t xml:space="preserve">abour </w:t>
            </w:r>
            <w:r w:rsidR="00407E6A" w:rsidRPr="00211BAA">
              <w:t>p</w:t>
            </w:r>
            <w:r w:rsidR="008A099C" w:rsidRPr="00211BAA">
              <w:t>roductivity in OECD countries, 2023</w:t>
            </w:r>
            <w:r w:rsidR="002D6EA8" w:rsidRPr="00211BAA">
              <w:br/>
            </w:r>
            <w:r w:rsidR="000A33E3" w:rsidRPr="00211BAA">
              <w:t>(</w:t>
            </w:r>
            <w:r w:rsidR="002D6EA8" w:rsidRPr="00211BAA">
              <w:t>Belgium G</w:t>
            </w:r>
            <w:r w:rsidR="000A33E3" w:rsidRPr="00211BAA">
              <w:t>DP per hour worked = 100)</w:t>
            </w:r>
          </w:p>
        </w:tc>
      </w:tr>
      <w:tr w:rsidR="0081685C" w:rsidRPr="00211BAA" w14:paraId="1F6CC16E" w14:textId="77777777" w:rsidTr="002D7AED">
        <w:tc>
          <w:tcPr>
            <w:tcW w:w="8222" w:type="dxa"/>
          </w:tcPr>
          <w:p w14:paraId="25EA0FCC" w14:textId="40E73910" w:rsidR="008A099C" w:rsidRPr="00211BAA" w:rsidRDefault="00CF385D" w:rsidP="00926C97">
            <w:r w:rsidRPr="00211BAA">
              <w:rPr>
                <w:noProof/>
                <w:sz w:val="18"/>
                <w:szCs w:val="16"/>
              </w:rPr>
              <w:drawing>
                <wp:inline distT="0" distB="0" distL="0" distR="0" wp14:anchorId="0184F9C0" wp14:editId="0BADB7A0">
                  <wp:extent cx="5083810" cy="3153103"/>
                  <wp:effectExtent l="0" t="0" r="2540" b="0"/>
                  <wp:docPr id="1015198523" name="Chart 1">
                    <a:extLst xmlns:a="http://schemas.openxmlformats.org/drawingml/2006/main">
                      <a:ext uri="{FF2B5EF4-FFF2-40B4-BE49-F238E27FC236}">
                        <a16:creationId xmlns:a16="http://schemas.microsoft.com/office/drawing/2014/main" id="{F5302742-2593-1771-CBE0-D075C048B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81685C" w:rsidRPr="00211BAA" w14:paraId="40D707BF" w14:textId="77777777" w:rsidTr="002D7AED">
        <w:tc>
          <w:tcPr>
            <w:tcW w:w="8222" w:type="dxa"/>
          </w:tcPr>
          <w:p w14:paraId="53E9DE2C" w14:textId="7CBDF1AE" w:rsidR="00CD7DC3" w:rsidRPr="00211BAA" w:rsidRDefault="00CD7DC3" w:rsidP="000C4892">
            <w:pPr>
              <w:pStyle w:val="ChartSource"/>
              <w:rPr>
                <w:color w:val="auto"/>
              </w:rPr>
            </w:pPr>
            <w:r w:rsidRPr="00211BAA">
              <w:rPr>
                <w:color w:val="auto"/>
              </w:rPr>
              <w:t>Note: In countries such as Ireland and Luxembourg, significant differences between measures emerge due to income generated abroad, particularly by multinational enterprises. In these cases, GNI-based measures provide a more accurate reflection of national productivity. Labour productivity measures based on Gross</w:t>
            </w:r>
            <w:r w:rsidR="00991B18" w:rsidRPr="00211BAA">
              <w:rPr>
                <w:color w:val="auto"/>
              </w:rPr>
              <w:t> </w:t>
            </w:r>
            <w:r w:rsidRPr="00211BAA">
              <w:rPr>
                <w:color w:val="auto"/>
              </w:rPr>
              <w:t>Value Added (GVA) yield lower values than those based on GDP, as they exclude product taxes, and subsidies. Overall, GVA-based measures generally follow a distribution that mirrors GDP-based metrics.</w:t>
            </w:r>
          </w:p>
          <w:p w14:paraId="2A4554E8" w14:textId="202E4961" w:rsidR="0056471D" w:rsidRPr="00211BAA" w:rsidRDefault="0056471D" w:rsidP="000C4892">
            <w:pPr>
              <w:pStyle w:val="ChartSource"/>
              <w:rPr>
                <w:color w:val="auto"/>
              </w:rPr>
            </w:pPr>
            <w:r w:rsidRPr="00211BAA">
              <w:rPr>
                <w:color w:val="auto"/>
              </w:rPr>
              <w:t>Source: OECD (2025), </w:t>
            </w:r>
            <w:r w:rsidRPr="00211BAA">
              <w:rPr>
                <w:i/>
                <w:iCs/>
                <w:color w:val="auto"/>
              </w:rPr>
              <w:t>OECD Compendium of Productivity Indicators 2025</w:t>
            </w:r>
            <w:r w:rsidRPr="00211BAA">
              <w:rPr>
                <w:color w:val="auto"/>
              </w:rPr>
              <w:t>, OECD Publishing, Paris, Figure 4.8</w:t>
            </w:r>
          </w:p>
        </w:tc>
      </w:tr>
    </w:tbl>
    <w:p w14:paraId="1F1D91FB" w14:textId="77777777" w:rsidR="00455EC3" w:rsidRPr="00211BAA" w:rsidRDefault="00455EC3" w:rsidP="00455EC3">
      <w:pPr>
        <w:pStyle w:val="NumberedParagraph"/>
      </w:pPr>
      <w:bookmarkStart w:id="19" w:name="_Ref221718669"/>
      <w:bookmarkStart w:id="20" w:name="_Ref222241618"/>
      <w:r w:rsidRPr="00211BAA">
        <w:t>The United States is regarded as a benchmark for the global frontier. While the precise trends differ across studies, a consistent finding is the persistence of a productivity gap between Australia and the United States. Earlier Treasury analysis suggested this gap narrowing in the 1960s and 1970s before a largely steady gap for the decades leading into the 2000s (Young et al. 2008). More recent analysis by the Productivity Commission has supported this stable pattern, with little evidence that the US-Australia productivity gap has closed over time (PC 2020b). The Total Economy Database finds that, with some caveats, the gap in productivity between the United States and Australia in 2024 was 21 per cent (Conference Board, 2025).</w:t>
      </w:r>
    </w:p>
    <w:p w14:paraId="1DF07488" w14:textId="77777777" w:rsidR="00455EC3" w:rsidRPr="00211BAA" w:rsidRDefault="00455EC3" w:rsidP="00455EC3">
      <w:pPr>
        <w:pStyle w:val="NumberedParagraph"/>
      </w:pPr>
      <w:r w:rsidRPr="00211BAA">
        <w:t xml:space="preserve">The gap masks important nuances across industries and dimensions of labour utilisation, suggesting that the actual gap is smaller when compared on a like-for-like basis (PC, 2024b). For example, Australia has a higher employment-to-population ratio and fewer hours worked per person on average (Conference Board, 2025). In practice, Australia’s high labour utilisation brings more people into employment. This includes people in lower productivity roles who, in </w:t>
      </w:r>
      <w:r w:rsidRPr="00211BAA">
        <w:lastRenderedPageBreak/>
        <w:t>other advanced economies, might otherwise be unemployed or not in the labour force. Part of the measured productivity gap therefore reflects participation differences rather than underlying firm-level productivity alone.</w:t>
      </w:r>
    </w:p>
    <w:p w14:paraId="497F440E" w14:textId="323E5FDD" w:rsidR="00742C29" w:rsidRPr="00211BAA" w:rsidRDefault="00742C29" w:rsidP="00455EC3">
      <w:pPr>
        <w:pStyle w:val="NumberedParagraph"/>
      </w:pPr>
      <w:r w:rsidRPr="00211BAA">
        <w:t>Whole</w:t>
      </w:r>
      <w:r w:rsidR="00287A17" w:rsidRPr="00211BAA">
        <w:t>-</w:t>
      </w:r>
      <w:r w:rsidRPr="00211BAA">
        <w:t>of</w:t>
      </w:r>
      <w:r w:rsidR="00287A17" w:rsidRPr="00211BAA">
        <w:t>-</w:t>
      </w:r>
      <w:r w:rsidRPr="00211BAA">
        <w:t>economy measures also hide differences at the industry level. Australia operates relatively close to the global productivity frontier in industries aligned with its comparative advantages</w:t>
      </w:r>
      <w:r w:rsidR="00BA2EA9" w:rsidRPr="00211BAA">
        <w:t xml:space="preserve">. </w:t>
      </w:r>
      <w:r w:rsidR="00E92273" w:rsidRPr="00211BAA">
        <w:t xml:space="preserve">Productivity </w:t>
      </w:r>
      <w:r w:rsidR="00945390" w:rsidRPr="00211BAA">
        <w:t xml:space="preserve">levels </w:t>
      </w:r>
      <w:r w:rsidR="00E92273" w:rsidRPr="00211BAA">
        <w:t xml:space="preserve">in </w:t>
      </w:r>
      <w:r w:rsidRPr="00211BAA">
        <w:t>mining and agriculture</w:t>
      </w:r>
      <w:r w:rsidR="00945390" w:rsidRPr="00211BAA">
        <w:t xml:space="preserve"> </w:t>
      </w:r>
      <w:r w:rsidRPr="00211BAA">
        <w:t>are high by international standards, including relative to the United States frontier (PC, 2020b).</w:t>
      </w:r>
      <w:bookmarkEnd w:id="19"/>
      <w:r w:rsidR="00204592" w:rsidRPr="00211BAA">
        <w:t xml:space="preserve"> </w:t>
      </w:r>
      <w:bookmarkEnd w:id="20"/>
      <w:r w:rsidR="009D682A" w:rsidRPr="00211BAA">
        <w:t xml:space="preserve">This is </w:t>
      </w:r>
      <w:r w:rsidR="00090D2F" w:rsidRPr="00211BAA">
        <w:t>explored further in section 7.</w:t>
      </w:r>
    </w:p>
    <w:p w14:paraId="7ABB4DF7" w14:textId="0C790398" w:rsidR="00742C29" w:rsidRPr="00211BAA" w:rsidRDefault="00742C29" w:rsidP="006323CF">
      <w:pPr>
        <w:pStyle w:val="Heading1"/>
        <w:rPr>
          <w:color w:val="auto"/>
        </w:rPr>
      </w:pPr>
      <w:bookmarkStart w:id="21" w:name="_Toc224893976"/>
      <w:r w:rsidRPr="00211BAA">
        <w:rPr>
          <w:color w:val="auto"/>
        </w:rPr>
        <w:t>Explanations for the slowdown</w:t>
      </w:r>
      <w:bookmarkEnd w:id="21"/>
      <w:r w:rsidRPr="00211BAA">
        <w:rPr>
          <w:color w:val="auto"/>
        </w:rPr>
        <w:t xml:space="preserve"> </w:t>
      </w:r>
    </w:p>
    <w:p w14:paraId="02B8AA29" w14:textId="7E3A46D6" w:rsidR="00987E30" w:rsidRPr="00211BAA" w:rsidRDefault="00987E30" w:rsidP="00A817A6">
      <w:pPr>
        <w:pStyle w:val="NumberedParagraph"/>
      </w:pPr>
      <w:r w:rsidRPr="00211BAA">
        <w:t>Australia’s recent productivity slowdown reflects structural challenges that have developed over time, many of which are shared across advanced economies. Within Australia, these challenges include broader shifts in technological diffusion, industrial composition, investment patterns, market dynamism, and labour market dynamics</w:t>
      </w:r>
      <w:r w:rsidR="006E42B9" w:rsidRPr="00211BAA">
        <w:t>.</w:t>
      </w:r>
    </w:p>
    <w:p w14:paraId="7D8B930A" w14:textId="771DD0BD" w:rsidR="00742C29" w:rsidRPr="00211BAA" w:rsidRDefault="00987E30" w:rsidP="00A817A6">
      <w:pPr>
        <w:pStyle w:val="NumberedParagraph"/>
      </w:pPr>
      <w:r w:rsidRPr="00211BAA">
        <w:t>T</w:t>
      </w:r>
      <w:r w:rsidR="00742C29" w:rsidRPr="00211BAA">
        <w:t xml:space="preserve">here </w:t>
      </w:r>
      <w:r w:rsidR="00E34068" w:rsidRPr="00211BAA">
        <w:t>are</w:t>
      </w:r>
      <w:r w:rsidR="00742C29" w:rsidRPr="00211BAA">
        <w:t xml:space="preserve"> a range of factors that may have contributed to the global productivity slowdown, including weaker investment levels following the GFC</w:t>
      </w:r>
      <w:r w:rsidR="00C13F09" w:rsidRPr="00211BAA">
        <w:t xml:space="preserve"> and</w:t>
      </w:r>
      <w:r w:rsidR="00742C29" w:rsidRPr="00211BAA">
        <w:t xml:space="preserve"> a slowdown in productivity-enhancing innovation relative to the twentieth century (</w:t>
      </w:r>
      <w:r w:rsidR="00261E7F" w:rsidRPr="00211BAA">
        <w:t>Dieppe</w:t>
      </w:r>
      <w:r w:rsidR="00742C29" w:rsidRPr="00211BAA">
        <w:t xml:space="preserve">, 2021). </w:t>
      </w:r>
      <w:r w:rsidR="00E73DA9" w:rsidRPr="00211BAA">
        <w:t>T</w:t>
      </w:r>
      <w:r w:rsidR="00742C29" w:rsidRPr="00211BAA">
        <w:t>hese influences are relevant to the Australian context.</w:t>
      </w:r>
    </w:p>
    <w:p w14:paraId="6E94D24D" w14:textId="4A8DE837" w:rsidR="00742C29" w:rsidRPr="00211BAA" w:rsidRDefault="00742C29" w:rsidP="003618DB">
      <w:pPr>
        <w:pStyle w:val="Heading2"/>
        <w:rPr>
          <w:color w:val="auto"/>
        </w:rPr>
      </w:pPr>
      <w:bookmarkStart w:id="22" w:name="_Toc224893977"/>
      <w:r w:rsidRPr="00211BAA">
        <w:rPr>
          <w:color w:val="auto"/>
        </w:rPr>
        <w:t>Technological changes</w:t>
      </w:r>
      <w:bookmarkEnd w:id="22"/>
    </w:p>
    <w:p w14:paraId="5E54D4EC" w14:textId="1FB6681B" w:rsidR="00742C29" w:rsidRPr="00211BAA" w:rsidRDefault="00742C29" w:rsidP="00A817A6">
      <w:pPr>
        <w:pStyle w:val="NumberedParagraph"/>
      </w:pPr>
      <w:r w:rsidRPr="00211BAA">
        <w:t>Technological change is a key driver of productivity growth over the long run. Previous periods of high productivity growth have been driven by technological waves that have shaped the opportunities in an economy to reorganise labour, capital and ideas. These shifts alter production processes, support new business models and expand the set of productive economic activities (</w:t>
      </w:r>
      <w:r w:rsidR="009A1651" w:rsidRPr="00211BAA">
        <w:t xml:space="preserve">Bresnahan and Trajtenberg, 1992; </w:t>
      </w:r>
      <w:proofErr w:type="spellStart"/>
      <w:r w:rsidR="00BF2A86" w:rsidRPr="00211BAA">
        <w:t>Helpman</w:t>
      </w:r>
      <w:proofErr w:type="spellEnd"/>
      <w:r w:rsidR="00BF2A86" w:rsidRPr="00211BAA">
        <w:t xml:space="preserve"> and Trajtenberg, 1994</w:t>
      </w:r>
      <w:r w:rsidRPr="00211BAA">
        <w:t>).</w:t>
      </w:r>
    </w:p>
    <w:p w14:paraId="777952CC" w14:textId="29CB4305" w:rsidR="00742C29" w:rsidRPr="00211BAA" w:rsidRDefault="00742C29" w:rsidP="00A817A6">
      <w:pPr>
        <w:pStyle w:val="NumberedParagraph"/>
      </w:pPr>
      <w:r w:rsidRPr="00211BAA">
        <w:t xml:space="preserve">There has been a broad slowdown in labour productivity and MFP growth across advanced economies since the 1990s, with productivity growth at the global frontier slowing markedly after the </w:t>
      </w:r>
      <w:r w:rsidR="00287A17" w:rsidRPr="00211BAA">
        <w:t>GFC</w:t>
      </w:r>
      <w:r w:rsidRPr="00211BAA">
        <w:t>. Between 2001 and 2007, labour productivity at the global frontier grew at around 4–5 per cent per annum, but from 2008 onwards it slowed to roughly 1</w:t>
      </w:r>
      <w:r w:rsidR="007133B9" w:rsidRPr="00211BAA">
        <w:t> </w:t>
      </w:r>
      <w:r w:rsidRPr="00211BAA">
        <w:t>per cent per</w:t>
      </w:r>
      <w:r w:rsidR="00991B18" w:rsidRPr="00211BAA">
        <w:t> </w:t>
      </w:r>
      <w:r w:rsidRPr="00211BAA">
        <w:t xml:space="preserve">annum (OECD, 2025a). </w:t>
      </w:r>
    </w:p>
    <w:p w14:paraId="046A5FFD" w14:textId="2D4258B0" w:rsidR="00742C29" w:rsidRPr="00211BAA" w:rsidRDefault="00742C29" w:rsidP="00A817A6">
      <w:pPr>
        <w:pStyle w:val="NumberedParagraph"/>
      </w:pPr>
      <w:r w:rsidRPr="00211BAA">
        <w:t>In Australia</w:t>
      </w:r>
      <w:r w:rsidR="00BB2A9A" w:rsidRPr="00211BAA">
        <w:t>’s market sector</w:t>
      </w:r>
      <w:r w:rsidRPr="00211BAA">
        <w:t xml:space="preserve">, the contribution of multifactor productivity to labour productivity growth averaged around 0.5 percentage points per year in the 15 years following the </w:t>
      </w:r>
      <w:r w:rsidR="00DA4931" w:rsidRPr="00211BAA">
        <w:t>GFC</w:t>
      </w:r>
      <w:r w:rsidRPr="00211BAA">
        <w:t xml:space="preserve">, compared with an average of around 0.9 percentage points per year in the decade prior to 2008. </w:t>
      </w:r>
    </w:p>
    <w:p w14:paraId="7FF11465" w14:textId="40EDA7BF" w:rsidR="00742C29" w:rsidRPr="00211BAA" w:rsidRDefault="00742C29" w:rsidP="00A817A6">
      <w:pPr>
        <w:pStyle w:val="NumberedParagraph"/>
      </w:pPr>
      <w:r w:rsidRPr="00211BAA">
        <w:t xml:space="preserve">There is an ongoing debate concerning the pace and economic potential of </w:t>
      </w:r>
      <w:r w:rsidR="00062085" w:rsidRPr="00211BAA">
        <w:t xml:space="preserve">more recent </w:t>
      </w:r>
      <w:r w:rsidRPr="00211BAA">
        <w:t>technological change</w:t>
      </w:r>
      <w:r w:rsidR="00062085" w:rsidRPr="00211BAA">
        <w:t>s</w:t>
      </w:r>
      <w:r w:rsidRPr="00211BAA">
        <w:t xml:space="preserve">, highlighting uncertainty about the extent to which new and transformative technologies will continue to expand the global productivity frontier. Some argue that the observed productivity slowdown reflects diminishing returns to innovation, contending that the most transformative breakthroughs of the 19th and early 20th centuries, such as electrification, represented one-off gains that cannot be replicated (Gordon, 2012). </w:t>
      </w:r>
      <w:r w:rsidR="005E30E0" w:rsidRPr="00211BAA">
        <w:t xml:space="preserve">Others </w:t>
      </w:r>
      <w:r w:rsidRPr="00211BAA">
        <w:t>maintain that recent advances have the potential to be equally transformative, with large but as-yet unrealised productivity effects (Brynjolfsson and McAfee, 2011; Mokyr, 2013).</w:t>
      </w:r>
    </w:p>
    <w:p w14:paraId="34AB618D" w14:textId="4AD8FFEF" w:rsidR="00FC5058" w:rsidRPr="00211BAA" w:rsidRDefault="00CB5A4A" w:rsidP="00A817A6">
      <w:pPr>
        <w:pStyle w:val="NumberedParagraph"/>
      </w:pPr>
      <w:r w:rsidRPr="00211BAA">
        <w:t xml:space="preserve">In </w:t>
      </w:r>
      <w:r w:rsidR="00FB4644" w:rsidRPr="00211BAA">
        <w:t>considering the potential of new technology</w:t>
      </w:r>
      <w:r w:rsidRPr="00211BAA">
        <w:t xml:space="preserve">, it is important to differentiate invention from application. </w:t>
      </w:r>
      <w:r w:rsidR="00FC5058" w:rsidRPr="00211BAA">
        <w:t>New general-purpose technologies</w:t>
      </w:r>
      <w:r w:rsidR="00287A8D" w:rsidRPr="00211BAA">
        <w:t>, such as artificial intelligence,</w:t>
      </w:r>
      <w:r w:rsidR="00FC5058" w:rsidRPr="00211BAA">
        <w:t xml:space="preserve"> have a</w:t>
      </w:r>
      <w:r w:rsidR="003E0594" w:rsidRPr="00211BAA">
        <w:t xml:space="preserve"> </w:t>
      </w:r>
      <w:r w:rsidR="00FC5058" w:rsidRPr="00211BAA">
        <w:t>lag</w:t>
      </w:r>
      <w:r w:rsidR="003E0594" w:rsidRPr="00211BAA">
        <w:t>ged impact</w:t>
      </w:r>
      <w:r w:rsidR="00FC5058" w:rsidRPr="00211BAA">
        <w:t xml:space="preserve"> as commercial innovation and widespread application takes place. They require significant investments</w:t>
      </w:r>
      <w:r w:rsidR="00343629" w:rsidRPr="00211BAA">
        <w:t xml:space="preserve"> in </w:t>
      </w:r>
      <w:r w:rsidR="00AA7574" w:rsidRPr="00211BAA">
        <w:t xml:space="preserve">physical </w:t>
      </w:r>
      <w:r w:rsidR="00343629" w:rsidRPr="00211BAA">
        <w:t xml:space="preserve">capital, along with </w:t>
      </w:r>
      <w:r w:rsidR="00FC5058" w:rsidRPr="00211BAA">
        <w:t>co-</w:t>
      </w:r>
      <w:r w:rsidR="00343629" w:rsidRPr="00211BAA">
        <w:t xml:space="preserve">development </w:t>
      </w:r>
      <w:r w:rsidR="00FC5058" w:rsidRPr="00211BAA">
        <w:t xml:space="preserve">of new processes, </w:t>
      </w:r>
      <w:r w:rsidR="00FC5058" w:rsidRPr="00211BAA">
        <w:lastRenderedPageBreak/>
        <w:t>products, business models and human capital. If these lags are substantial, there may be no material uplift to productivity growth from adoption for some time</w:t>
      </w:r>
      <w:r w:rsidR="007E1DAE" w:rsidRPr="00211BAA">
        <w:t xml:space="preserve"> </w:t>
      </w:r>
      <w:r w:rsidR="00A8735D" w:rsidRPr="00211BAA">
        <w:t>–</w:t>
      </w:r>
      <w:r w:rsidR="00FC5058" w:rsidRPr="00211BAA">
        <w:t xml:space="preserve"> even if there is inherent potential for this to occur. Examples of this ‘productivity paradox’ include the </w:t>
      </w:r>
      <w:r w:rsidR="00BC65C0" w:rsidRPr="00211BAA">
        <w:t xml:space="preserve">lagged productivity gains associated with the </w:t>
      </w:r>
      <w:r w:rsidR="00407DDF" w:rsidRPr="00211BAA">
        <w:t xml:space="preserve">invention of the </w:t>
      </w:r>
      <w:r w:rsidR="00FC5058" w:rsidRPr="00211BAA">
        <w:t>personal computer (Solow 1987; Brynjolfsson, 1993), the electric dynamo (David, 1990) and the steam engine (Crafts 2004).</w:t>
      </w:r>
    </w:p>
    <w:p w14:paraId="72691F46" w14:textId="2CB1C1A8" w:rsidR="00464C68" w:rsidRPr="00211BAA" w:rsidRDefault="001E0642" w:rsidP="00A817A6">
      <w:pPr>
        <w:pStyle w:val="NumberedParagraph"/>
      </w:pPr>
      <w:r w:rsidRPr="00211BAA">
        <w:t xml:space="preserve">Unlike these older technologies, </w:t>
      </w:r>
      <w:r w:rsidR="00B212D1" w:rsidRPr="00211BAA">
        <w:t xml:space="preserve">AI can be purchased </w:t>
      </w:r>
      <w:r w:rsidR="00AC2DA9" w:rsidRPr="00211BAA">
        <w:t xml:space="preserve">by most firms </w:t>
      </w:r>
      <w:r w:rsidR="00B212D1" w:rsidRPr="00211BAA">
        <w:t xml:space="preserve">as a service rather than as a capital investment in physical production technology. This lowers barriers to entry and the cost of experimentation. These factors may mean the productivity lag from AI </w:t>
      </w:r>
      <w:r w:rsidR="003C160C" w:rsidRPr="00211BAA">
        <w:t xml:space="preserve">– while still likely – </w:t>
      </w:r>
      <w:r w:rsidR="00B212D1" w:rsidRPr="00211BAA">
        <w:t>is not as pronounced as was the case for earlier technologies.</w:t>
      </w:r>
      <w:r w:rsidR="00AC2DA9" w:rsidRPr="00211BAA">
        <w:t xml:space="preserve"> Research suggests that new technologies have tended to diffuse more rapidly, particularly those based on scalable intangibles like software (Comin and Hobijn, 2010; Haskel and Westlake, 2018).</w:t>
      </w:r>
    </w:p>
    <w:p w14:paraId="386F7836" w14:textId="1DC1D752" w:rsidR="00437D5A" w:rsidRPr="00211BAA" w:rsidRDefault="0074544C" w:rsidP="00A817A6">
      <w:pPr>
        <w:pStyle w:val="NumberedParagraph"/>
      </w:pPr>
      <w:r w:rsidRPr="00211BAA">
        <w:t xml:space="preserve">There is not yet a consensus on the magnitude of AI’s current or likely future contribution to productivity growth </w:t>
      </w:r>
      <w:r w:rsidR="00A81BFF" w:rsidRPr="00211BAA">
        <w:t xml:space="preserve">in advanced economies </w:t>
      </w:r>
      <w:r w:rsidRPr="00211BAA">
        <w:t>(see OECD, 2025c and PC, 2025b).</w:t>
      </w:r>
      <w:r w:rsidR="00852AEF" w:rsidRPr="00211BAA">
        <w:t xml:space="preserve"> </w:t>
      </w:r>
      <w:r w:rsidR="00E514F2" w:rsidRPr="00211BAA">
        <w:t xml:space="preserve">Arguably, </w:t>
      </w:r>
      <w:r w:rsidR="00A65641" w:rsidRPr="00211BAA">
        <w:t xml:space="preserve">the productivity effects </w:t>
      </w:r>
      <w:r w:rsidR="00E514F2" w:rsidRPr="00211BAA">
        <w:t xml:space="preserve">would be evident in the United States first, given that </w:t>
      </w:r>
      <w:r w:rsidR="00EA3626" w:rsidRPr="00211BAA">
        <w:t xml:space="preserve">it sits at the frontier </w:t>
      </w:r>
      <w:r w:rsidR="00F45D16" w:rsidRPr="00211BAA">
        <w:t xml:space="preserve">of AI development and deployment. </w:t>
      </w:r>
      <w:r w:rsidR="00382EBA" w:rsidRPr="00211BAA">
        <w:t>T</w:t>
      </w:r>
      <w:r w:rsidR="004C3764" w:rsidRPr="00211BAA">
        <w:t xml:space="preserve">he contribution of </w:t>
      </w:r>
      <w:r w:rsidR="00852AEF" w:rsidRPr="00211BAA">
        <w:t xml:space="preserve">AI </w:t>
      </w:r>
      <w:r w:rsidR="004A5BF2" w:rsidRPr="00211BAA">
        <w:t xml:space="preserve">to </w:t>
      </w:r>
      <w:r w:rsidR="003756B5" w:rsidRPr="00211BAA">
        <w:t xml:space="preserve">the </w:t>
      </w:r>
      <w:r w:rsidR="00852AEF" w:rsidRPr="00211BAA">
        <w:t xml:space="preserve">high rates of </w:t>
      </w:r>
      <w:r w:rsidR="00A81BFF" w:rsidRPr="00211BAA">
        <w:t xml:space="preserve">aggregate </w:t>
      </w:r>
      <w:r w:rsidR="00852AEF" w:rsidRPr="00211BAA">
        <w:t xml:space="preserve">productivity growth in the United States </w:t>
      </w:r>
      <w:r w:rsidR="003756B5" w:rsidRPr="00211BAA">
        <w:t xml:space="preserve">in recent years </w:t>
      </w:r>
      <w:r w:rsidR="004A5BF2" w:rsidRPr="00211BAA">
        <w:t>is contested</w:t>
      </w:r>
      <w:r w:rsidR="00382EBA" w:rsidRPr="00211BAA">
        <w:t xml:space="preserve"> and still an active area of research</w:t>
      </w:r>
      <w:r w:rsidR="00A81BFF" w:rsidRPr="00211BAA">
        <w:t xml:space="preserve"> </w:t>
      </w:r>
      <w:r w:rsidR="00852AEF" w:rsidRPr="00211BAA">
        <w:t>(Brynjolfsson 2026</w:t>
      </w:r>
      <w:r w:rsidR="004A5BF2" w:rsidRPr="00211BAA">
        <w:t xml:space="preserve">; </w:t>
      </w:r>
      <w:r w:rsidR="002754BE" w:rsidRPr="00211BAA">
        <w:t>Slok, 2026</w:t>
      </w:r>
      <w:r w:rsidR="004A5BF2" w:rsidRPr="00211BAA">
        <w:t>; W</w:t>
      </w:r>
      <w:r w:rsidR="00A81BFF" w:rsidRPr="00211BAA">
        <w:t>EF, 2026</w:t>
      </w:r>
      <w:r w:rsidR="002754BE" w:rsidRPr="00211BAA">
        <w:t>)</w:t>
      </w:r>
      <w:r w:rsidR="00302E5C" w:rsidRPr="00211BAA">
        <w:t>.</w:t>
      </w:r>
    </w:p>
    <w:p w14:paraId="56A78E08" w14:textId="1C5C0CC3" w:rsidR="00464C68" w:rsidRPr="00211BAA" w:rsidRDefault="00464C68" w:rsidP="00464C68">
      <w:pPr>
        <w:pStyle w:val="Heading2"/>
        <w:rPr>
          <w:color w:val="auto"/>
        </w:rPr>
      </w:pPr>
      <w:bookmarkStart w:id="23" w:name="_Toc224893978"/>
      <w:r w:rsidRPr="00211BAA">
        <w:rPr>
          <w:color w:val="auto"/>
        </w:rPr>
        <w:t>Slower diffusion</w:t>
      </w:r>
      <w:bookmarkEnd w:id="23"/>
    </w:p>
    <w:p w14:paraId="5EA85C54" w14:textId="710EE945" w:rsidR="00742C29" w:rsidRPr="00211BAA" w:rsidRDefault="00742C29" w:rsidP="00A817A6">
      <w:pPr>
        <w:pStyle w:val="NumberedParagraph"/>
      </w:pPr>
      <w:r w:rsidRPr="00211BAA">
        <w:t>Regardless of the pace of frontier innovation, the primary channel through which technological advances translate into productivity growth in non-frontier economies, including Australia, is diffusion. Diffusion refers to the broad adoption and effective use of existing technologies. As a small open economy, much frontier innovation in digital and data-driven technologies originates overseas, and domestic productivity growth therefore depends on how effectively these innovations are adopted by Australian businesses (</w:t>
      </w:r>
      <w:r w:rsidR="00972111" w:rsidRPr="00211BAA">
        <w:t>PC</w:t>
      </w:r>
      <w:r w:rsidRPr="00211BAA">
        <w:t>, 2023b).</w:t>
      </w:r>
    </w:p>
    <w:p w14:paraId="7BEAE33F" w14:textId="77777777" w:rsidR="00742C29" w:rsidRPr="00211BAA" w:rsidRDefault="00742C29" w:rsidP="00A817A6">
      <w:pPr>
        <w:pStyle w:val="NumberedParagraph"/>
      </w:pPr>
      <w:r w:rsidRPr="00211BAA">
        <w:t>Analysis of frontier firms globally suggests that productivity growth among the most productive firms has remained relatively strong, while the gap between frontier and non-frontier firms has widened. This indicates a slowdown in technology diffusion rather than frontier innovation itself (Andrews et al., 2016).</w:t>
      </w:r>
    </w:p>
    <w:p w14:paraId="7D1CD4D4" w14:textId="04C147D3" w:rsidR="00742C29" w:rsidRPr="00211BAA" w:rsidRDefault="00742C29" w:rsidP="00A817A6">
      <w:pPr>
        <w:pStyle w:val="NumberedParagraph"/>
      </w:pPr>
      <w:r w:rsidRPr="00211BAA">
        <w:t>Treasury analysis finds similar patterns in Australia, showing that Australian firms have increasingly fallen behind the global frontier because catch-up and diffusion have weakened over time. This pattern is evident across the non-resource, non-financial market sector and is more pronounced in service</w:t>
      </w:r>
      <w:r w:rsidR="00055D40" w:rsidRPr="00211BAA">
        <w:t>s</w:t>
      </w:r>
      <w:r w:rsidRPr="00211BAA">
        <w:t xml:space="preserve"> industries where competitive pressures are lower (Andrews et al., 2022). </w:t>
      </w:r>
    </w:p>
    <w:p w14:paraId="561DCD6A" w14:textId="77777777" w:rsidR="00742C29" w:rsidRPr="00211BAA" w:rsidRDefault="00742C29" w:rsidP="003618DB">
      <w:pPr>
        <w:pStyle w:val="Heading2"/>
        <w:rPr>
          <w:color w:val="auto"/>
        </w:rPr>
      </w:pPr>
      <w:bookmarkStart w:id="24" w:name="_Toc224893979"/>
      <w:r w:rsidRPr="00211BAA">
        <w:rPr>
          <w:color w:val="auto"/>
        </w:rPr>
        <w:t>Shifts in industrial composition</w:t>
      </w:r>
      <w:bookmarkEnd w:id="24"/>
    </w:p>
    <w:p w14:paraId="505E33D9" w14:textId="2315BCE4" w:rsidR="00742C29" w:rsidRPr="00211BAA" w:rsidRDefault="00742C29" w:rsidP="00A817A6">
      <w:pPr>
        <w:pStyle w:val="NumberedParagraph"/>
      </w:pPr>
      <w:r w:rsidRPr="00211BAA">
        <w:t>Australia, like many other advanced economies, has experienced a structural shift towards services. This trend is consistent with population ageing and rising income per capita (Baumol,</w:t>
      </w:r>
      <w:r w:rsidR="00991B18" w:rsidRPr="00211BAA">
        <w:t> </w:t>
      </w:r>
      <w:r w:rsidRPr="00211BAA">
        <w:t>2012).</w:t>
      </w:r>
    </w:p>
    <w:p w14:paraId="48F7EB97" w14:textId="5617136E" w:rsidR="00742C29" w:rsidRPr="00211BAA" w:rsidRDefault="00742C29" w:rsidP="00A817A6">
      <w:pPr>
        <w:pStyle w:val="NumberedParagraph"/>
      </w:pPr>
      <w:r w:rsidRPr="00211BAA">
        <w:t>The growing dominance of services has important implications for productivity growth. Unlike goods-producing industries, many service</w:t>
      </w:r>
      <w:r w:rsidR="00857FB3" w:rsidRPr="00211BAA">
        <w:t>s</w:t>
      </w:r>
      <w:r w:rsidRPr="00211BAA">
        <w:t xml:space="preserve"> activities are </w:t>
      </w:r>
      <w:r w:rsidR="00D17224" w:rsidRPr="00211BAA">
        <w:t>not</w:t>
      </w:r>
      <w:r w:rsidRPr="00211BAA">
        <w:t xml:space="preserve"> capital</w:t>
      </w:r>
      <w:r w:rsidR="00D17224" w:rsidRPr="00211BAA">
        <w:t>-</w:t>
      </w:r>
      <w:r w:rsidRPr="00211BAA">
        <w:t>intensive</w:t>
      </w:r>
      <w:r w:rsidR="00F54D32" w:rsidRPr="00211BAA">
        <w:t xml:space="preserve">. This </w:t>
      </w:r>
      <w:r w:rsidR="00A631C3" w:rsidRPr="00211BAA">
        <w:t>implies</w:t>
      </w:r>
      <w:r w:rsidRPr="00211BAA">
        <w:t xml:space="preserve"> there is lower potential for efficiencies to be gained through technological development or capital deepening.</w:t>
      </w:r>
    </w:p>
    <w:p w14:paraId="6A15DEF0" w14:textId="6417E664" w:rsidR="00742C29" w:rsidRPr="00211BAA" w:rsidRDefault="00742C29" w:rsidP="00A817A6">
      <w:pPr>
        <w:pStyle w:val="NumberedParagraph"/>
      </w:pPr>
      <w:r w:rsidRPr="00211BAA">
        <w:t xml:space="preserve">In Australia, the reallocation of labour towards the services sector over the past three decades detracted around 0.14 percentage points from annual productivity growth over that period. </w:t>
      </w:r>
      <w:r w:rsidRPr="00211BAA">
        <w:lastRenderedPageBreak/>
        <w:t xml:space="preserve">This is equivalent to around half </w:t>
      </w:r>
      <w:r w:rsidR="00C3180C" w:rsidRPr="00211BAA">
        <w:t>of</w:t>
      </w:r>
      <w:r w:rsidRPr="00211BAA">
        <w:t xml:space="preserve"> the 2022 downgrade in Treasury’s long-run annual productivity growth assumption.</w:t>
      </w:r>
    </w:p>
    <w:p w14:paraId="64168A48" w14:textId="77777777" w:rsidR="00742C29" w:rsidRPr="00211BAA" w:rsidRDefault="00742C29" w:rsidP="00A817A6">
      <w:pPr>
        <w:pStyle w:val="NumberedParagraph"/>
      </w:pPr>
      <w:r w:rsidRPr="00211BAA">
        <w:t>Within the shift to a more services-heavy economy in Australia, there has been a shift towards non-market services. These are industries where government plays a significant role in setting prices, funding services, and/or directly delivering services. However, “non-market” does not equate to “public sector”. According to the ABS (2025):</w:t>
      </w:r>
    </w:p>
    <w:p w14:paraId="4FC3D7FA" w14:textId="5DD0DBBB" w:rsidR="00742C29" w:rsidRPr="00211BAA" w:rsidRDefault="00742C29" w:rsidP="00A817A6">
      <w:pPr>
        <w:pStyle w:val="Bulletparagraph"/>
      </w:pPr>
      <w:r w:rsidRPr="00211BAA">
        <w:t>About 55 to 60 per cent of the health care industry is market-</w:t>
      </w:r>
      <w:proofErr w:type="gramStart"/>
      <w:r w:rsidRPr="00211BAA">
        <w:t>based</w:t>
      </w:r>
      <w:r w:rsidR="00F13498" w:rsidRPr="00211BAA">
        <w:t>;</w:t>
      </w:r>
      <w:proofErr w:type="gramEnd"/>
    </w:p>
    <w:p w14:paraId="27417A46" w14:textId="2484DB89" w:rsidR="00742C29" w:rsidRPr="00211BAA" w:rsidRDefault="00742C29" w:rsidP="00A817A6">
      <w:pPr>
        <w:pStyle w:val="Bulletparagraph"/>
      </w:pPr>
      <w:r w:rsidRPr="00211BAA">
        <w:t>About 30 to 35 per cent of the education industry is market-based</w:t>
      </w:r>
      <w:r w:rsidR="00F13498" w:rsidRPr="00211BAA">
        <w:t>; and</w:t>
      </w:r>
    </w:p>
    <w:p w14:paraId="15FC8ADA" w14:textId="55D448C7" w:rsidR="00742C29" w:rsidRPr="00211BAA" w:rsidRDefault="00742C29" w:rsidP="00A817A6">
      <w:pPr>
        <w:pStyle w:val="Bulletparagraph"/>
      </w:pPr>
      <w:r w:rsidRPr="00211BAA">
        <w:t>Less than 10 per cent of the public administration and safety industry is market-based.</w:t>
      </w:r>
    </w:p>
    <w:p w14:paraId="1467823F" w14:textId="6D854045" w:rsidR="00742C29" w:rsidRPr="00211BAA" w:rsidRDefault="00742C29" w:rsidP="00A817A6">
      <w:pPr>
        <w:pStyle w:val="NumberedParagraph"/>
      </w:pPr>
      <w:r w:rsidRPr="00211BAA">
        <w:t>The shift towards non-market services is underpinned by rising demand for care and support services associated with an ageing population (Treasury, 2023</w:t>
      </w:r>
      <w:r w:rsidR="00C870AB" w:rsidRPr="00211BAA">
        <w:t>a</w:t>
      </w:r>
      <w:r w:rsidRPr="00211BAA">
        <w:t xml:space="preserve">). The relative share of care and support industries has increased, from 8 per cent of the workforce in 1984 to 16 per cent today. This makes it Australia’s largest industry segment, employing 2.4 million people. </w:t>
      </w:r>
    </w:p>
    <w:p w14:paraId="7515EDE3" w14:textId="13F276CE" w:rsidR="008046B9" w:rsidRPr="00211BAA" w:rsidRDefault="00742C29" w:rsidP="00A817A6">
      <w:pPr>
        <w:pStyle w:val="NumberedParagraph"/>
      </w:pPr>
      <w:r w:rsidRPr="00211BAA">
        <w:t>Measured productivity growth in care and support industries – and across the non-market sector generally – is weaker on average compared with the market sector (</w:t>
      </w:r>
      <w:r w:rsidR="007454F2" w:rsidRPr="00211BAA">
        <w:t>Chart</w:t>
      </w:r>
      <w:r w:rsidRPr="00211BAA">
        <w:t xml:space="preserve"> </w:t>
      </w:r>
      <w:r w:rsidR="00E42FBE" w:rsidRPr="00211BAA">
        <w:t>5</w:t>
      </w:r>
      <w:r w:rsidRPr="00211BAA">
        <w:t xml:space="preserve">). As such, </w:t>
      </w:r>
      <w:r w:rsidR="00CE07A9" w:rsidRPr="00211BAA">
        <w:t>a</w:t>
      </w:r>
      <w:r w:rsidRPr="00211BAA">
        <w:t>n increase in the share of GDP produced by the sector will lower aggregate productivity growth, holding other factors equal.</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81685C" w:rsidRPr="00211BAA" w14:paraId="7C93F6A9" w14:textId="77777777" w:rsidTr="008A099C">
        <w:tc>
          <w:tcPr>
            <w:tcW w:w="8222" w:type="dxa"/>
          </w:tcPr>
          <w:p w14:paraId="5A72AE42" w14:textId="23DBFF56" w:rsidR="00903000" w:rsidRPr="00211BAA" w:rsidRDefault="007454F2" w:rsidP="00926C97">
            <w:pPr>
              <w:pStyle w:val="ChartTitle"/>
            </w:pPr>
            <w:r w:rsidRPr="00211BAA">
              <w:t>Chart</w:t>
            </w:r>
            <w:r w:rsidR="00903000" w:rsidRPr="00211BAA">
              <w:t xml:space="preserve"> </w:t>
            </w:r>
            <w:r w:rsidR="00E42FBE" w:rsidRPr="00211BAA">
              <w:t>5</w:t>
            </w:r>
            <w:r w:rsidR="00903000" w:rsidRPr="00211BAA">
              <w:t xml:space="preserve">: </w:t>
            </w:r>
            <w:r w:rsidR="008A099C" w:rsidRPr="00211BAA">
              <w:t>Five</w:t>
            </w:r>
            <w:r w:rsidR="008A099C" w:rsidRPr="00211BAA">
              <w:rPr>
                <w:rFonts w:ascii="Cambria Math" w:hAnsi="Cambria Math" w:cs="Cambria Math"/>
              </w:rPr>
              <w:t>‑</w:t>
            </w:r>
            <w:r w:rsidR="008A099C" w:rsidRPr="00211BAA">
              <w:t xml:space="preserve">year average productivity growth in </w:t>
            </w:r>
            <w:r w:rsidR="008A099C" w:rsidRPr="00211BAA">
              <w:br/>
              <w:t>the market and non</w:t>
            </w:r>
            <w:r w:rsidR="008A099C" w:rsidRPr="00211BAA">
              <w:rPr>
                <w:rFonts w:ascii="Cambria Math" w:hAnsi="Cambria Math" w:cs="Cambria Math"/>
              </w:rPr>
              <w:t>‑</w:t>
            </w:r>
            <w:r w:rsidR="008A099C" w:rsidRPr="00211BAA">
              <w:t>market sectors, 1995</w:t>
            </w:r>
            <w:r w:rsidR="008A099C" w:rsidRPr="00211BAA">
              <w:rPr>
                <w:rFonts w:cs="Aptos"/>
              </w:rPr>
              <w:t>–</w:t>
            </w:r>
            <w:r w:rsidR="008A099C" w:rsidRPr="00211BAA">
              <w:t>2024</w:t>
            </w:r>
          </w:p>
        </w:tc>
      </w:tr>
      <w:tr w:rsidR="0081685C" w:rsidRPr="00211BAA" w14:paraId="3D6300D1" w14:textId="77777777" w:rsidTr="008A099C">
        <w:tc>
          <w:tcPr>
            <w:tcW w:w="8222" w:type="dxa"/>
          </w:tcPr>
          <w:p w14:paraId="536AA5AF" w14:textId="77A5EAC7" w:rsidR="00903000" w:rsidRPr="00211BAA" w:rsidRDefault="008A099C" w:rsidP="00926C97">
            <w:r w:rsidRPr="00211BAA">
              <w:rPr>
                <w:noProof/>
              </w:rPr>
              <w:drawing>
                <wp:inline distT="0" distB="0" distL="0" distR="0" wp14:anchorId="332CC609" wp14:editId="1F7DEA76">
                  <wp:extent cx="5068570" cy="2390660"/>
                  <wp:effectExtent l="0" t="0" r="0" b="0"/>
                  <wp:docPr id="1962842528" name="Chart 1">
                    <a:extLst xmlns:a="http://schemas.openxmlformats.org/drawingml/2006/main">
                      <a:ext uri="{FF2B5EF4-FFF2-40B4-BE49-F238E27FC236}">
                        <a16:creationId xmlns:a16="http://schemas.microsoft.com/office/drawing/2014/main" id="{86843E91-2BB1-E6C5-3524-AEAA0C4B5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81685C" w:rsidRPr="00211BAA" w14:paraId="619E17F0" w14:textId="77777777" w:rsidTr="008A099C">
        <w:tc>
          <w:tcPr>
            <w:tcW w:w="8222" w:type="dxa"/>
          </w:tcPr>
          <w:p w14:paraId="005198F6" w14:textId="77777777" w:rsidR="008A099C" w:rsidRPr="00211BAA" w:rsidRDefault="008A099C" w:rsidP="000C4892">
            <w:pPr>
              <w:pStyle w:val="ChartSource"/>
              <w:rPr>
                <w:color w:val="auto"/>
              </w:rPr>
            </w:pPr>
            <w:r w:rsidRPr="00211BAA">
              <w:rPr>
                <w:color w:val="auto"/>
              </w:rPr>
              <w:t xml:space="preserve">Note: Averages are calculated using a simple average growth rate during the financial years. </w:t>
            </w:r>
          </w:p>
          <w:p w14:paraId="52B76B59" w14:textId="2BFF922D" w:rsidR="00903000" w:rsidRPr="00211BAA" w:rsidRDefault="008A099C" w:rsidP="000C4892">
            <w:pPr>
              <w:pStyle w:val="ChartSource"/>
              <w:rPr>
                <w:color w:val="auto"/>
              </w:rPr>
            </w:pPr>
            <w:bookmarkStart w:id="25" w:name="_Hlk220678673"/>
            <w:r w:rsidRPr="00211BAA">
              <w:rPr>
                <w:color w:val="auto"/>
              </w:rPr>
              <w:t>Source:</w:t>
            </w:r>
            <w:bookmarkEnd w:id="25"/>
            <w:r w:rsidRPr="00211BAA">
              <w:rPr>
                <w:color w:val="auto"/>
              </w:rPr>
              <w:t xml:space="preserve"> Treasury estimates using ABS System of National Accounts: GVA per hour worked (market sector and non-market sector), 1995</w:t>
            </w:r>
            <w:r w:rsidR="00D32901" w:rsidRPr="00211BAA">
              <w:rPr>
                <w:color w:val="auto"/>
              </w:rPr>
              <w:t>–</w:t>
            </w:r>
            <w:r w:rsidRPr="00211BAA">
              <w:rPr>
                <w:color w:val="auto"/>
              </w:rPr>
              <w:t>2024.</w:t>
            </w:r>
          </w:p>
        </w:tc>
      </w:tr>
    </w:tbl>
    <w:p w14:paraId="229F9851" w14:textId="77777777" w:rsidR="002A3E63" w:rsidRPr="00211BAA" w:rsidRDefault="002A3E63" w:rsidP="00A817A6">
      <w:pPr>
        <w:pStyle w:val="NumberedParagraph"/>
      </w:pPr>
      <w:r w:rsidRPr="00211BAA">
        <w:t>There are well-recognised challenges in measuring productivity in care and support industries, reflecting difficulties in accurately capturing outputs and economic value where services are not priced in markets. As a result, conventional productivity measures tend to underestimate true productivity growth and value creation in these industries, particularly where improvements occur through quality, access or outcomes rather than cost reductions (OECD, 2012; ABS, 2025).</w:t>
      </w:r>
    </w:p>
    <w:p w14:paraId="325472B3" w14:textId="6B712A69" w:rsidR="002A3E63" w:rsidRPr="00211BAA" w:rsidRDefault="002A3E63" w:rsidP="00A817A6">
      <w:pPr>
        <w:pStyle w:val="NumberedParagraph"/>
      </w:pPr>
      <w:r w:rsidRPr="00211BAA">
        <w:t>By way of an example of this challenge, analysis finds that quality</w:t>
      </w:r>
      <w:r w:rsidRPr="00211BAA">
        <w:rPr>
          <w:rFonts w:ascii="Cambria Math" w:hAnsi="Cambria Math" w:cs="Cambria Math"/>
        </w:rPr>
        <w:t>‑</w:t>
      </w:r>
      <w:r w:rsidRPr="00211BAA">
        <w:t xml:space="preserve">adjusted </w:t>
      </w:r>
      <w:r w:rsidR="00A1684B" w:rsidRPr="00211BAA">
        <w:t xml:space="preserve">multifactor </w:t>
      </w:r>
      <w:r w:rsidRPr="00211BAA">
        <w:t xml:space="preserve">productivity in </w:t>
      </w:r>
      <w:r w:rsidR="009033B4" w:rsidRPr="00211BAA">
        <w:t>a subset of the</w:t>
      </w:r>
      <w:r w:rsidRPr="00211BAA">
        <w:t xml:space="preserve"> health care industry grew by around 3 per cent per year between </w:t>
      </w:r>
      <w:r w:rsidRPr="00211BAA">
        <w:lastRenderedPageBreak/>
        <w:t>2011</w:t>
      </w:r>
      <w:r w:rsidR="00D32901" w:rsidRPr="00211BAA">
        <w:t>–</w:t>
      </w:r>
      <w:r w:rsidRPr="00211BAA">
        <w:t>12 and 2017</w:t>
      </w:r>
      <w:r w:rsidR="00D32901" w:rsidRPr="00211BAA">
        <w:t>–</w:t>
      </w:r>
      <w:r w:rsidRPr="00211BAA">
        <w:t>18</w:t>
      </w:r>
      <w:r w:rsidR="00A6393F" w:rsidRPr="00211BAA">
        <w:t>.</w:t>
      </w:r>
      <w:r w:rsidRPr="00211BAA">
        <w:t xml:space="preserve"> </w:t>
      </w:r>
      <w:r w:rsidR="00752DBB" w:rsidRPr="00211BAA">
        <w:t>Over the same period</w:t>
      </w:r>
      <w:r w:rsidRPr="00211BAA">
        <w:t xml:space="preserve">, </w:t>
      </w:r>
      <w:r w:rsidR="003C44AD" w:rsidRPr="00211BAA">
        <w:t xml:space="preserve">multifactor </w:t>
      </w:r>
      <w:r w:rsidRPr="00211BAA">
        <w:t>productivity growth in the market sector was estimated to be around 0.</w:t>
      </w:r>
      <w:r w:rsidR="003C44AD" w:rsidRPr="00211BAA">
        <w:t>8</w:t>
      </w:r>
      <w:r w:rsidRPr="00211BAA">
        <w:t xml:space="preserve"> per cent per year </w:t>
      </w:r>
      <w:r w:rsidR="00A6393F" w:rsidRPr="00211BAA">
        <w:t>(PC, 2024a).</w:t>
      </w:r>
    </w:p>
    <w:p w14:paraId="5B6151BC" w14:textId="77777777" w:rsidR="00742C29" w:rsidRPr="00211BAA" w:rsidRDefault="00742C29" w:rsidP="00A817A6">
      <w:pPr>
        <w:pStyle w:val="NumberedParagraph"/>
      </w:pPr>
      <w:r w:rsidRPr="00211BAA">
        <w:t>Measured productivity growth does not fully reflect the contribution of the non-market sector to Australia’s long-term economic potential. In particular, the expansion of high-quality formal care and health services has supported higher labour force participation among women and older Australians by facilitating stronger workforce attachment and longer productive working lives.</w:t>
      </w:r>
    </w:p>
    <w:p w14:paraId="3F8974C9" w14:textId="77777777" w:rsidR="00742C29" w:rsidRPr="00211BAA" w:rsidRDefault="00742C29" w:rsidP="00A817A6">
      <w:pPr>
        <w:pStyle w:val="NumberedParagraph"/>
      </w:pPr>
      <w:r w:rsidRPr="00211BAA">
        <w:t>It is also important to acknowledge the heterogeneity across different services. The more knowledge-intensive services, such as finance, are better positioned to harness new technologies to lift productivity, but realising this potential depends on a skilled workforce, reduced market frictions, and inventions that make services more tradable (Sorbes et al., 2018).</w:t>
      </w:r>
    </w:p>
    <w:p w14:paraId="1752148B" w14:textId="40D3B8E4" w:rsidR="00742C29" w:rsidRPr="00211BAA" w:rsidRDefault="00742C29" w:rsidP="003618DB">
      <w:pPr>
        <w:pStyle w:val="Heading2"/>
        <w:rPr>
          <w:color w:val="auto"/>
        </w:rPr>
      </w:pPr>
      <w:bookmarkStart w:id="26" w:name="_Toc224893980"/>
      <w:r w:rsidRPr="00211BAA">
        <w:rPr>
          <w:color w:val="auto"/>
        </w:rPr>
        <w:t>Changes in investment patterns</w:t>
      </w:r>
      <w:bookmarkEnd w:id="26"/>
    </w:p>
    <w:p w14:paraId="58765A52" w14:textId="3E7A611F" w:rsidR="00742C29" w:rsidRPr="00211BAA" w:rsidRDefault="00742C29" w:rsidP="00A817A6">
      <w:pPr>
        <w:pStyle w:val="NumberedParagraph"/>
      </w:pPr>
      <w:r w:rsidRPr="00211BAA">
        <w:t>Investment has long played a central role in shaping Australia’s productivity performance through capital deepening. Over the long run, increases in the capital</w:t>
      </w:r>
      <w:r w:rsidR="00287A17" w:rsidRPr="00211BAA">
        <w:t>-to-</w:t>
      </w:r>
      <w:r w:rsidRPr="00211BAA">
        <w:t xml:space="preserve">labour ratio </w:t>
      </w:r>
      <w:r w:rsidR="00443C25" w:rsidRPr="00211BAA">
        <w:t xml:space="preserve">have been </w:t>
      </w:r>
      <w:r w:rsidRPr="00211BAA">
        <w:t>strongly correlated with productivity growth (</w:t>
      </w:r>
      <w:r w:rsidR="007454F2" w:rsidRPr="00211BAA">
        <w:t>Chart</w:t>
      </w:r>
      <w:r w:rsidRPr="00211BAA">
        <w:t xml:space="preserve"> </w:t>
      </w:r>
      <w:r w:rsidR="00E42FBE" w:rsidRPr="00211BAA">
        <w:t>6</w:t>
      </w:r>
      <w:r w:rsidRPr="00211BAA">
        <w: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tblGrid>
      <w:tr w:rsidR="0081685C" w:rsidRPr="00211BAA" w14:paraId="3A9F04CF" w14:textId="77777777" w:rsidTr="008A099C">
        <w:tc>
          <w:tcPr>
            <w:tcW w:w="8080" w:type="dxa"/>
          </w:tcPr>
          <w:p w14:paraId="559119FE" w14:textId="519F901B" w:rsidR="00373BC7" w:rsidRPr="00211BAA" w:rsidRDefault="00C11CBF" w:rsidP="007E6C7A">
            <w:pPr>
              <w:pStyle w:val="ChartTitle"/>
              <w:keepNext/>
            </w:pPr>
            <w:r w:rsidRPr="00211BAA">
              <w:rPr>
                <w:noProof/>
              </w:rPr>
              <mc:AlternateContent>
                <mc:Choice Requires="wps">
                  <w:drawing>
                    <wp:anchor distT="0" distB="0" distL="114300" distR="114300" simplePos="0" relativeHeight="251658241" behindDoc="0" locked="0" layoutInCell="1" allowOverlap="1" wp14:anchorId="2B8179F8" wp14:editId="560799AF">
                      <wp:simplePos x="0" y="0"/>
                      <wp:positionH relativeFrom="column">
                        <wp:posOffset>-29210</wp:posOffset>
                      </wp:positionH>
                      <wp:positionV relativeFrom="paragraph">
                        <wp:posOffset>305435</wp:posOffset>
                      </wp:positionV>
                      <wp:extent cx="1094105" cy="173355"/>
                      <wp:effectExtent l="0" t="0" r="0" b="0"/>
                      <wp:wrapNone/>
                      <wp:docPr id="4" name="txt_PrimaryLabel">
                        <a:extLst xmlns:a="http://schemas.openxmlformats.org/drawingml/2006/main">
                          <a:ext uri="{FF2B5EF4-FFF2-40B4-BE49-F238E27FC236}">
                            <a16:creationId xmlns:a16="http://schemas.microsoft.com/office/drawing/2014/main" id="{9447DF57-39E9-3CCA-CCED-E2B447177F11}"/>
                          </a:ext>
                        </a:extLst>
                      </wp:docPr>
                      <wp:cNvGraphicFramePr/>
                      <a:graphic xmlns:a="http://schemas.openxmlformats.org/drawingml/2006/main">
                        <a:graphicData uri="http://schemas.microsoft.com/office/word/2010/wordprocessingShape">
                          <wps:wsp>
                            <wps:cNvSpPr txBox="1"/>
                            <wps:spPr>
                              <a:xfrm>
                                <a:off x="0" y="0"/>
                                <a:ext cx="1094105" cy="173355"/>
                              </a:xfrm>
                              <a:prstGeom prst="rect">
                                <a:avLst/>
                              </a:prstGeom>
                            </wps:spPr>
                            <wps:txbx>
                              <w:txbxContent>
                                <w:p w14:paraId="0EB79328" w14:textId="77777777" w:rsidR="006323CF" w:rsidRDefault="006323CF" w:rsidP="006323CF">
                                  <w:pPr>
                                    <w:rPr>
                                      <w:rFonts w:ascii="Arial" w:hAnsi="Arial" w:cstheme="minorBidi"/>
                                      <w:color w:val="000000"/>
                                      <w:kern w:val="24"/>
                                      <w:sz w:val="16"/>
                                      <w:szCs w:val="16"/>
                                    </w:rPr>
                                  </w:pPr>
                                  <w:r>
                                    <w:rPr>
                                      <w:rFonts w:ascii="Arial" w:hAnsi="Arial" w:cstheme="minorBidi"/>
                                      <w:color w:val="000000"/>
                                      <w:kern w:val="24"/>
                                      <w:sz w:val="16"/>
                                      <w:szCs w:val="16"/>
                                    </w:rPr>
                                    <w:t>Index (Dec-19=100)</w:t>
                                  </w:r>
                                </w:p>
                              </w:txbxContent>
                            </wps:txbx>
                            <wps:bodyPr vertOverflow="clip" vert="horz" wrap="none" rtlCol="0" anchor="ctr">
                              <a:spAutoFit/>
                            </wps:bodyPr>
                          </wps:wsp>
                        </a:graphicData>
                      </a:graphic>
                    </wp:anchor>
                  </w:drawing>
                </mc:Choice>
                <mc:Fallback>
                  <w:pict>
                    <v:shapetype w14:anchorId="2B8179F8" id="_x0000_t202" coordsize="21600,21600" o:spt="202" path="m,l,21600r21600,l21600,xe">
                      <v:stroke joinstyle="miter"/>
                      <v:path gradientshapeok="t" o:connecttype="rect"/>
                    </v:shapetype>
                    <v:shape id="txt_PrimaryLabel" o:spid="_x0000_s1026" type="#_x0000_t202" style="position:absolute;left:0;text-align:left;margin-left:-2.3pt;margin-top:24.05pt;width:86.15pt;height:13.65pt;z-index:251658241;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" filled="f" stroked="f">
                      <v:textbox style="mso-fit-shape-to-text:t">
                        <w:txbxContent>
                          <w:p w14:paraId="0EB79328" w14:textId="77777777" w:rsidR="006323CF" w:rsidRDefault="006323CF" w:rsidP="006323CF">
                            <w:pPr>
                              <w:rPr>
                                <w:rFonts w:ascii="Arial" w:hAnsi="Arial" w:cstheme="minorBidi"/>
                                <w:color w:val="000000"/>
                                <w:kern w:val="24"/>
                                <w:sz w:val="16"/>
                                <w:szCs w:val="16"/>
                              </w:rPr>
                            </w:pPr>
                            <w:r>
                              <w:rPr>
                                <w:rFonts w:ascii="Arial" w:hAnsi="Arial" w:cstheme="minorBidi"/>
                                <w:color w:val="000000"/>
                                <w:kern w:val="24"/>
                                <w:sz w:val="16"/>
                                <w:szCs w:val="16"/>
                              </w:rPr>
                              <w:t>Index (Dec-19=100)</w:t>
                            </w:r>
                          </w:p>
                        </w:txbxContent>
                      </v:textbox>
                    </v:shape>
                  </w:pict>
                </mc:Fallback>
              </mc:AlternateContent>
            </w:r>
            <w:r w:rsidR="007454F2" w:rsidRPr="00211BAA">
              <w:t>Chart</w:t>
            </w:r>
            <w:r w:rsidR="006323CF" w:rsidRPr="00211BAA">
              <w:t xml:space="preserve"> </w:t>
            </w:r>
            <w:r w:rsidR="00E42FBE" w:rsidRPr="00211BAA">
              <w:t>6</w:t>
            </w:r>
            <w:r w:rsidR="006323CF" w:rsidRPr="00211BAA">
              <w:t>: Capital</w:t>
            </w:r>
            <w:r w:rsidR="00287A17" w:rsidRPr="00211BAA">
              <w:t>-</w:t>
            </w:r>
            <w:r w:rsidR="006323CF" w:rsidRPr="00211BAA">
              <w:t>to</w:t>
            </w:r>
            <w:r w:rsidR="00287A17" w:rsidRPr="00211BAA">
              <w:t>-</w:t>
            </w:r>
            <w:r w:rsidR="006323CF" w:rsidRPr="00211BAA">
              <w:t>labour ratio and productivity level</w:t>
            </w:r>
          </w:p>
        </w:tc>
      </w:tr>
      <w:tr w:rsidR="0081685C" w:rsidRPr="00211BAA" w14:paraId="2B2F7D56" w14:textId="77777777" w:rsidTr="008A099C">
        <w:tc>
          <w:tcPr>
            <w:tcW w:w="8080" w:type="dxa"/>
          </w:tcPr>
          <w:p w14:paraId="3F25E0D7" w14:textId="6DA280D1" w:rsidR="006323CF" w:rsidRPr="00211BAA" w:rsidRDefault="00C11CBF" w:rsidP="007E6C7A">
            <w:pPr>
              <w:keepNext/>
            </w:pPr>
            <w:r w:rsidRPr="00211BAA">
              <w:rPr>
                <w:noProof/>
              </w:rPr>
              <mc:AlternateContent>
                <mc:Choice Requires="wps">
                  <w:drawing>
                    <wp:anchor distT="0" distB="0" distL="114300" distR="114300" simplePos="0" relativeHeight="251658240" behindDoc="0" locked="0" layoutInCell="1" allowOverlap="1" wp14:anchorId="665B8B8D" wp14:editId="70E140B4">
                      <wp:simplePos x="0" y="0"/>
                      <wp:positionH relativeFrom="column">
                        <wp:posOffset>1375410</wp:posOffset>
                      </wp:positionH>
                      <wp:positionV relativeFrom="paragraph">
                        <wp:posOffset>986790</wp:posOffset>
                      </wp:positionV>
                      <wp:extent cx="1256030" cy="217170"/>
                      <wp:effectExtent l="0" t="0" r="0" b="0"/>
                      <wp:wrapNone/>
                      <wp:docPr id="101122330" name="Series Label"/>
                      <wp:cNvGraphicFramePr/>
                      <a:graphic xmlns:a="http://schemas.openxmlformats.org/drawingml/2006/main">
                        <a:graphicData uri="http://schemas.microsoft.com/office/word/2010/wordprocessingShape">
                          <wps:wsp>
                            <wps:cNvSpPr txBox="1"/>
                            <wps:spPr>
                              <a:xfrm>
                                <a:off x="0" y="0"/>
                                <a:ext cx="1256030" cy="217170"/>
                              </a:xfrm>
                              <a:prstGeom prst="rect">
                                <a:avLst/>
                              </a:prstGeom>
                            </wps:spPr>
                            <wps:txbx>
                              <w:txbxContent>
                                <w:p w14:paraId="33952FC9" w14:textId="77777777" w:rsidR="006323CF" w:rsidRDefault="006323CF" w:rsidP="006323CF">
                                  <w:pPr>
                                    <w:jc w:val="center"/>
                                    <w:rPr>
                                      <w:rFonts w:ascii="Arial" w:hAnsi="Arial" w:cstheme="minorBidi"/>
                                      <w:b/>
                                      <w:bCs/>
                                      <w:color w:val="2C384A" w:themeColor="accent1"/>
                                      <w:sz w:val="16"/>
                                      <w:szCs w:val="16"/>
                                    </w:rPr>
                                  </w:pPr>
                                  <w:r>
                                    <w:rPr>
                                      <w:rFonts w:ascii="Arial" w:hAnsi="Arial" w:cstheme="minorBidi"/>
                                      <w:b/>
                                      <w:bCs/>
                                      <w:color w:val="2C384A" w:themeColor="accent1"/>
                                      <w:sz w:val="16"/>
                                      <w:szCs w:val="16"/>
                                    </w:rPr>
                                    <w:t>Capital-to-labour ratio</w:t>
                                  </w:r>
                                </w:p>
                              </w:txbxContent>
                            </wps:txbx>
                            <wps:bodyPr vertOverflow="clip" vert="horz" wrap="none" rtlCol="0">
                              <a:spAutoFit/>
                            </wps:bodyPr>
                          </wps:wsp>
                        </a:graphicData>
                      </a:graphic>
                    </wp:anchor>
                  </w:drawing>
                </mc:Choice>
                <mc:Fallback>
                  <w:pict>
                    <v:shape w14:anchorId="665B8B8D" id="Series Label" o:spid="_x0000_s1027" type="#_x0000_t202" style="position:absolute;margin-left:108.3pt;margin-top:77.7pt;width:98.9pt;height:17.1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" filled="f" stroked="f">
                      <v:textbox style="mso-fit-shape-to-text:t">
                        <w:txbxContent>
                          <w:p w14:paraId="33952FC9" w14:textId="77777777" w:rsidR="006323CF" w:rsidRDefault="006323CF" w:rsidP="006323CF">
                            <w:pPr>
                              <w:jc w:val="center"/>
                              <w:rPr>
                                <w:rFonts w:ascii="Arial" w:hAnsi="Arial" w:cstheme="minorBidi"/>
                                <w:b/>
                                <w:bCs/>
                                <w:color w:val="2C384A" w:themeColor="accent1"/>
                                <w:sz w:val="16"/>
                                <w:szCs w:val="16"/>
                              </w:rPr>
                            </w:pPr>
                            <w:r>
                              <w:rPr>
                                <w:rFonts w:ascii="Arial" w:hAnsi="Arial" w:cstheme="minorBidi"/>
                                <w:b/>
                                <w:bCs/>
                                <w:color w:val="2C384A" w:themeColor="accent1"/>
                                <w:sz w:val="16"/>
                                <w:szCs w:val="16"/>
                              </w:rPr>
                              <w:t>Capital-to-labour ratio</w:t>
                            </w:r>
                          </w:p>
                        </w:txbxContent>
                      </v:textbox>
                    </v:shape>
                  </w:pict>
                </mc:Fallback>
              </mc:AlternateContent>
            </w:r>
            <w:r w:rsidRPr="00211BAA">
              <w:rPr>
                <w:noProof/>
              </w:rPr>
              <mc:AlternateContent>
                <mc:Choice Requires="wps">
                  <w:drawing>
                    <wp:anchor distT="0" distB="0" distL="114300" distR="114300" simplePos="0" relativeHeight="251658243" behindDoc="0" locked="0" layoutInCell="1" allowOverlap="1" wp14:anchorId="77B2F440" wp14:editId="2ACC0B7B">
                      <wp:simplePos x="0" y="0"/>
                      <wp:positionH relativeFrom="column">
                        <wp:posOffset>1375791</wp:posOffset>
                      </wp:positionH>
                      <wp:positionV relativeFrom="paragraph">
                        <wp:posOffset>752678</wp:posOffset>
                      </wp:positionV>
                      <wp:extent cx="1238885" cy="210185"/>
                      <wp:effectExtent l="0" t="0" r="0" b="0"/>
                      <wp:wrapNone/>
                      <wp:docPr id="2" name="Series Label">
                        <a:extLst xmlns:a="http://schemas.openxmlformats.org/drawingml/2006/main">
                          <a:ext uri="{FF2B5EF4-FFF2-40B4-BE49-F238E27FC236}">
                            <a16:creationId xmlns:a16="http://schemas.microsoft.com/office/drawing/2014/main" id="{CDA7AB0E-DE0A-C5D6-B872-B1B75098DAC7}"/>
                          </a:ext>
                        </a:extLst>
                      </wp:docPr>
                      <wp:cNvGraphicFramePr/>
                      <a:graphic xmlns:a="http://schemas.openxmlformats.org/drawingml/2006/main">
                        <a:graphicData uri="http://schemas.microsoft.com/office/word/2010/wordprocessingShape">
                          <wps:wsp>
                            <wps:cNvSpPr txBox="1"/>
                            <wps:spPr>
                              <a:xfrm>
                                <a:off x="0" y="0"/>
                                <a:ext cx="1238885" cy="210185"/>
                              </a:xfrm>
                              <a:prstGeom prst="rect">
                                <a:avLst/>
                              </a:prstGeom>
                            </wps:spPr>
                            <wps:txbx>
                              <w:txbxContent>
                                <w:p w14:paraId="7D570C14" w14:textId="77777777" w:rsidR="005C639F" w:rsidRPr="005C639F" w:rsidRDefault="005C639F" w:rsidP="005C639F">
                                  <w:pPr>
                                    <w:jc w:val="center"/>
                                    <w:rPr>
                                      <w:rFonts w:ascii="Arial" w:hAnsi="Arial" w:cstheme="minorBidi"/>
                                      <w:b/>
                                      <w:bCs/>
                                      <w:color w:val="FF0000"/>
                                      <w:sz w:val="16"/>
                                      <w:szCs w:val="16"/>
                                    </w:rPr>
                                  </w:pPr>
                                  <w:r w:rsidRPr="005C639F">
                                    <w:rPr>
                                      <w:rFonts w:ascii="Arial" w:hAnsi="Arial" w:cstheme="minorBidi"/>
                                      <w:b/>
                                      <w:bCs/>
                                      <w:color w:val="FF0000"/>
                                      <w:sz w:val="16"/>
                                      <w:szCs w:val="16"/>
                                    </w:rPr>
                                    <w:t>GDP per hour worked</w:t>
                                  </w:r>
                                </w:p>
                              </w:txbxContent>
                            </wps:txbx>
                            <wps:bodyPr vertOverflow="clip" vert="horz" wrap="none" rtlCol="0">
                              <a:spAutoFit/>
                            </wps:bodyPr>
                          </wps:wsp>
                        </a:graphicData>
                      </a:graphic>
                    </wp:anchor>
                  </w:drawing>
                </mc:Choice>
                <mc:Fallback>
                  <w:pict>
                    <v:shape w14:anchorId="77B2F440" id="_x0000_s1028" type="#_x0000_t202" style="position:absolute;margin-left:108.35pt;margin-top:59.25pt;width:97.55pt;height:16.5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" filled="f" stroked="f">
                      <v:textbox style="mso-fit-shape-to-text:t">
                        <w:txbxContent>
                          <w:p w14:paraId="7D570C14" w14:textId="77777777" w:rsidR="005C639F" w:rsidRPr="005C639F" w:rsidRDefault="005C639F" w:rsidP="005C639F">
                            <w:pPr>
                              <w:jc w:val="center"/>
                              <w:rPr>
                                <w:rFonts w:ascii="Arial" w:hAnsi="Arial" w:cstheme="minorBidi"/>
                                <w:b/>
                                <w:bCs/>
                                <w:color w:val="FF0000"/>
                                <w:sz w:val="16"/>
                                <w:szCs w:val="16"/>
                              </w:rPr>
                            </w:pPr>
                            <w:r w:rsidRPr="005C639F">
                              <w:rPr>
                                <w:rFonts w:ascii="Arial" w:hAnsi="Arial" w:cstheme="minorBidi"/>
                                <w:b/>
                                <w:bCs/>
                                <w:color w:val="FF0000"/>
                                <w:sz w:val="16"/>
                                <w:szCs w:val="16"/>
                              </w:rPr>
                              <w:t>GDP per hour worked</w:t>
                            </w:r>
                          </w:p>
                        </w:txbxContent>
                      </v:textbox>
                    </v:shape>
                  </w:pict>
                </mc:Fallback>
              </mc:AlternateContent>
            </w:r>
            <w:r w:rsidRPr="00211BAA">
              <w:rPr>
                <w:noProof/>
              </w:rPr>
              <mc:AlternateContent>
                <mc:Choice Requires="wps">
                  <w:drawing>
                    <wp:anchor distT="0" distB="0" distL="114300" distR="114300" simplePos="0" relativeHeight="251658242" behindDoc="0" locked="0" layoutInCell="1" allowOverlap="1" wp14:anchorId="699AB63E" wp14:editId="392E0630">
                      <wp:simplePos x="0" y="0"/>
                      <wp:positionH relativeFrom="column">
                        <wp:posOffset>3934460</wp:posOffset>
                      </wp:positionH>
                      <wp:positionV relativeFrom="paragraph">
                        <wp:posOffset>-15570</wp:posOffset>
                      </wp:positionV>
                      <wp:extent cx="1094405" cy="173765"/>
                      <wp:effectExtent l="0" t="0" r="0" b="0"/>
                      <wp:wrapNone/>
                      <wp:docPr id="5" name="txt_SecondaryLabel">
                        <a:extLst xmlns:a="http://schemas.openxmlformats.org/drawingml/2006/main">
                          <a:ext uri="{FF2B5EF4-FFF2-40B4-BE49-F238E27FC236}">
                            <a16:creationId xmlns:a16="http://schemas.microsoft.com/office/drawing/2014/main" id="{F5EDEBE1-97A5-AE2E-A0AA-80E8073CD65A}"/>
                          </a:ext>
                        </a:extLst>
                      </wp:docPr>
                      <wp:cNvGraphicFramePr/>
                      <a:graphic xmlns:a="http://schemas.openxmlformats.org/drawingml/2006/main">
                        <a:graphicData uri="http://schemas.microsoft.com/office/word/2010/wordprocessingShape">
                          <wps:wsp>
                            <wps:cNvSpPr txBox="1"/>
                            <wps:spPr>
                              <a:xfrm>
                                <a:off x="0" y="0"/>
                                <a:ext cx="1094405" cy="173765"/>
                              </a:xfrm>
                              <a:prstGeom prst="rect">
                                <a:avLst/>
                              </a:prstGeom>
                            </wps:spPr>
                            <wps:txbx>
                              <w:txbxContent>
                                <w:p w14:paraId="7725FC47" w14:textId="77777777" w:rsidR="006323CF" w:rsidRDefault="006323CF" w:rsidP="006323CF">
                                  <w:pPr>
                                    <w:jc w:val="right"/>
                                    <w:rPr>
                                      <w:rFonts w:ascii="Arial" w:hAnsi="Arial" w:cstheme="minorBidi"/>
                                      <w:color w:val="000000"/>
                                      <w:kern w:val="24"/>
                                      <w:sz w:val="16"/>
                                      <w:szCs w:val="16"/>
                                    </w:rPr>
                                  </w:pPr>
                                  <w:r>
                                    <w:rPr>
                                      <w:rFonts w:ascii="Arial" w:hAnsi="Arial" w:cstheme="minorBidi"/>
                                      <w:color w:val="000000"/>
                                      <w:kern w:val="24"/>
                                      <w:sz w:val="16"/>
                                      <w:szCs w:val="16"/>
                                    </w:rPr>
                                    <w:t>Index (Dec-19=100)</w:t>
                                  </w:r>
                                </w:p>
                              </w:txbxContent>
                            </wps:txbx>
                            <wps:bodyPr vertOverflow="clip" vert="horz" wrap="none" rtlCol="0" anchor="ctr">
                              <a:spAutoFit/>
                            </wps:bodyPr>
                          </wps:wsp>
                        </a:graphicData>
                      </a:graphic>
                    </wp:anchor>
                  </w:drawing>
                </mc:Choice>
                <mc:Fallback>
                  <w:pict>
                    <v:shape w14:anchorId="699AB63E" id="txt_SecondaryLabel" o:spid="_x0000_s1029" type="#_x0000_t202" style="position:absolute;margin-left:309.8pt;margin-top:-1.25pt;width:86.15pt;height:13.7pt;z-index:25165824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" filled="f" stroked="f">
                      <v:textbox style="mso-fit-shape-to-text:t">
                        <w:txbxContent>
                          <w:p w14:paraId="7725FC47" w14:textId="77777777" w:rsidR="006323CF" w:rsidRDefault="006323CF" w:rsidP="006323CF">
                            <w:pPr>
                              <w:jc w:val="right"/>
                              <w:rPr>
                                <w:rFonts w:ascii="Arial" w:hAnsi="Arial" w:cstheme="minorBidi"/>
                                <w:color w:val="000000"/>
                                <w:kern w:val="24"/>
                                <w:sz w:val="16"/>
                                <w:szCs w:val="16"/>
                              </w:rPr>
                            </w:pPr>
                            <w:r>
                              <w:rPr>
                                <w:rFonts w:ascii="Arial" w:hAnsi="Arial" w:cstheme="minorBidi"/>
                                <w:color w:val="000000"/>
                                <w:kern w:val="24"/>
                                <w:sz w:val="16"/>
                                <w:szCs w:val="16"/>
                              </w:rPr>
                              <w:t>Index (Dec-19=100)</w:t>
                            </w:r>
                          </w:p>
                        </w:txbxContent>
                      </v:textbox>
                    </v:shape>
                  </w:pict>
                </mc:Fallback>
              </mc:AlternateContent>
            </w:r>
            <w:r w:rsidRPr="00211BAA">
              <w:rPr>
                <w:noProof/>
              </w:rPr>
              <w:drawing>
                <wp:inline distT="0" distB="0" distL="0" distR="0" wp14:anchorId="1E587293" wp14:editId="6C93B65C">
                  <wp:extent cx="4993640" cy="2961564"/>
                  <wp:effectExtent l="0" t="0" r="0" b="0"/>
                  <wp:docPr id="391284972" name="Chart 1">
                    <a:extLst xmlns:a="http://schemas.openxmlformats.org/drawingml/2006/main">
                      <a:ext uri="{FF2B5EF4-FFF2-40B4-BE49-F238E27FC236}">
                        <a16:creationId xmlns:a16="http://schemas.microsoft.com/office/drawing/2014/main" id="{5734A77C-A0C3-471F-BA18-F133BDC577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81685C" w:rsidRPr="00211BAA" w14:paraId="76E52425" w14:textId="77777777" w:rsidTr="008A099C">
        <w:tc>
          <w:tcPr>
            <w:tcW w:w="8080" w:type="dxa"/>
          </w:tcPr>
          <w:p w14:paraId="0C61DA63" w14:textId="77777777" w:rsidR="0079112C" w:rsidRPr="00211BAA" w:rsidRDefault="0079112C" w:rsidP="000C4892">
            <w:pPr>
              <w:pStyle w:val="ChartSource"/>
              <w:rPr>
                <w:color w:val="auto"/>
              </w:rPr>
            </w:pPr>
            <w:r w:rsidRPr="00211BAA">
              <w:rPr>
                <w:color w:val="auto"/>
              </w:rPr>
              <w:t>Note: Treasury estimates quarterly capital stock using annual capital stock data published by the ABS.</w:t>
            </w:r>
            <w:r w:rsidR="0056471D" w:rsidRPr="00211BAA">
              <w:rPr>
                <w:color w:val="auto"/>
              </w:rPr>
              <w:t xml:space="preserve"> S</w:t>
            </w:r>
            <w:r w:rsidRPr="00211BAA">
              <w:rPr>
                <w:color w:val="auto"/>
              </w:rPr>
              <w:t xml:space="preserve">eptember 2025 observation for the capital stock is a projection. </w:t>
            </w:r>
          </w:p>
          <w:p w14:paraId="7C918D42" w14:textId="2103AF4E" w:rsidR="0079112C" w:rsidRPr="00211BAA" w:rsidRDefault="0079112C" w:rsidP="000C4892">
            <w:pPr>
              <w:pStyle w:val="ChartSource"/>
              <w:rPr>
                <w:color w:val="auto"/>
              </w:rPr>
            </w:pPr>
            <w:r w:rsidRPr="00211BAA">
              <w:rPr>
                <w:color w:val="auto"/>
              </w:rPr>
              <w:t>Source: ABS Australian National Accounts: National Income, Expenditure and Product; ABS Labour Account; and Treasury.</w:t>
            </w:r>
          </w:p>
        </w:tc>
      </w:tr>
    </w:tbl>
    <w:p w14:paraId="3C224259" w14:textId="1832B0C0" w:rsidR="002A3E63" w:rsidRPr="00211BAA" w:rsidRDefault="002A3E63" w:rsidP="00A817A6">
      <w:pPr>
        <w:pStyle w:val="NumberedParagraph"/>
      </w:pPr>
      <w:r w:rsidRPr="00211BAA">
        <w:t xml:space="preserve">Standard growth models imply that investment is induced by gains in MFP, which raises production possibilities and the expected returns on investment. This view is consistent with technological change being the key driver of productivity growth over the long run and embodied in new capital. </w:t>
      </w:r>
    </w:p>
    <w:p w14:paraId="095837A9" w14:textId="051A6BA3" w:rsidR="002A3E63" w:rsidRPr="00211BAA" w:rsidRDefault="002A3E63" w:rsidP="00A817A6">
      <w:pPr>
        <w:pStyle w:val="NumberedParagraph"/>
      </w:pPr>
      <w:r w:rsidRPr="00211BAA">
        <w:t xml:space="preserve">There has been a broad-based decline in business investment intensity following the </w:t>
      </w:r>
      <w:r w:rsidR="00287A17" w:rsidRPr="00211BAA">
        <w:t>GFC</w:t>
      </w:r>
      <w:r w:rsidRPr="00211BAA">
        <w:t xml:space="preserve">, particularly in advanced economies. This has been attributed to weaker expected demand </w:t>
      </w:r>
      <w:r w:rsidRPr="00211BAA">
        <w:lastRenderedPageBreak/>
        <w:t xml:space="preserve">growth, heightened uncertainty and structural shifts towards less capital-intensive service activities (OECD, 2025b). </w:t>
      </w:r>
    </w:p>
    <w:p w14:paraId="6299EDF4" w14:textId="61A00D8D" w:rsidR="002A3E63" w:rsidRPr="00211BAA" w:rsidRDefault="002A3E63" w:rsidP="00A817A6">
      <w:pPr>
        <w:pStyle w:val="NumberedParagraph"/>
      </w:pPr>
      <w:r w:rsidRPr="00211BAA">
        <w:t xml:space="preserve">Analysis using Australia and the United States data suggests weak investment since the GFC reflects a higher risk premium, with firms applying elevated hurdle rates despite low interest rates, weighing on capital deepening and productivity (Farhi and </w:t>
      </w:r>
      <w:proofErr w:type="spellStart"/>
      <w:r w:rsidRPr="00211BAA">
        <w:t>Gourio</w:t>
      </w:r>
      <w:proofErr w:type="spellEnd"/>
      <w:r w:rsidRPr="00211BAA">
        <w:t>, 201</w:t>
      </w:r>
      <w:r w:rsidR="00D032B2" w:rsidRPr="00211BAA">
        <w:t>8</w:t>
      </w:r>
      <w:r w:rsidRPr="00211BAA">
        <w:t>; Evans et al., 2024).</w:t>
      </w:r>
      <w:r w:rsidR="00C35CB9" w:rsidRPr="00211BAA">
        <w:t xml:space="preserve"> </w:t>
      </w:r>
      <w:r w:rsidR="00912B5B" w:rsidRPr="00211BAA">
        <w:t>Similarly, t</w:t>
      </w:r>
      <w:r w:rsidR="00F3697F" w:rsidRPr="00211BAA">
        <w:t xml:space="preserve">he </w:t>
      </w:r>
      <w:r w:rsidR="00CC065C" w:rsidRPr="00211BAA">
        <w:t xml:space="preserve">Australian </w:t>
      </w:r>
      <w:r w:rsidR="004408CA" w:rsidRPr="00211BAA">
        <w:t xml:space="preserve">Heads of Treasuries </w:t>
      </w:r>
      <w:r w:rsidR="005576D2" w:rsidRPr="00211BAA">
        <w:t>(2017)</w:t>
      </w:r>
      <w:r w:rsidR="004408CA" w:rsidRPr="00211BAA">
        <w:t xml:space="preserve"> </w:t>
      </w:r>
      <w:r w:rsidR="00F3697F" w:rsidRPr="00211BAA">
        <w:t>found</w:t>
      </w:r>
      <w:r w:rsidR="00C35CB9" w:rsidRPr="00211BAA">
        <w:t xml:space="preserve"> that post</w:t>
      </w:r>
      <w:r w:rsidR="00C35CB9" w:rsidRPr="00211BAA">
        <w:rPr>
          <w:rFonts w:ascii="Cambria Math" w:hAnsi="Cambria Math" w:cs="Cambria Math"/>
        </w:rPr>
        <w:t>‑</w:t>
      </w:r>
      <w:r w:rsidR="00C35CB9" w:rsidRPr="00211BAA">
        <w:t xml:space="preserve">GFC uncertainty and the enduring scars of the crisis </w:t>
      </w:r>
      <w:r w:rsidR="006538D9" w:rsidRPr="00211BAA">
        <w:t xml:space="preserve">had </w:t>
      </w:r>
      <w:r w:rsidR="00C35CB9" w:rsidRPr="00211BAA">
        <w:t>lowered firms</w:t>
      </w:r>
      <w:r w:rsidR="00C35CB9" w:rsidRPr="00211BAA">
        <w:rPr>
          <w:rFonts w:cs="Calibri Light"/>
        </w:rPr>
        <w:t>’</w:t>
      </w:r>
      <w:r w:rsidR="00C35CB9" w:rsidRPr="00211BAA">
        <w:t xml:space="preserve"> risk appetite</w:t>
      </w:r>
      <w:r w:rsidR="00441584" w:rsidRPr="00211BAA">
        <w:t>s</w:t>
      </w:r>
      <w:r w:rsidR="00C35CB9" w:rsidRPr="00211BAA">
        <w:t xml:space="preserve">, </w:t>
      </w:r>
      <w:r w:rsidR="00B6455D" w:rsidRPr="00211BAA">
        <w:t>contributing to</w:t>
      </w:r>
      <w:r w:rsidR="00C35CB9" w:rsidRPr="00211BAA">
        <w:t xml:space="preserve"> boards </w:t>
      </w:r>
      <w:r w:rsidR="00BE6097" w:rsidRPr="00211BAA">
        <w:t>favouring</w:t>
      </w:r>
      <w:r w:rsidR="00C35CB9" w:rsidRPr="00211BAA">
        <w:t xml:space="preserve"> defensive strategies and </w:t>
      </w:r>
      <w:r w:rsidR="005E2DDB" w:rsidRPr="00211BAA">
        <w:t xml:space="preserve">lifting </w:t>
      </w:r>
      <w:r w:rsidR="00FA6F53" w:rsidRPr="00211BAA">
        <w:t xml:space="preserve">required rates of </w:t>
      </w:r>
      <w:r w:rsidR="00C35CB9" w:rsidRPr="00211BAA">
        <w:t>return</w:t>
      </w:r>
      <w:r w:rsidR="006538D9" w:rsidRPr="00211BAA">
        <w:t xml:space="preserve">. This </w:t>
      </w:r>
      <w:r w:rsidR="00C35CB9" w:rsidRPr="00211BAA">
        <w:t>suppress</w:t>
      </w:r>
      <w:r w:rsidR="006538D9" w:rsidRPr="00211BAA">
        <w:t>ed</w:t>
      </w:r>
      <w:r w:rsidR="00C35CB9" w:rsidRPr="00211BAA">
        <w:t xml:space="preserve"> non</w:t>
      </w:r>
      <w:r w:rsidR="00C35CB9" w:rsidRPr="00211BAA">
        <w:rPr>
          <w:rFonts w:ascii="Cambria Math" w:hAnsi="Cambria Math" w:cs="Cambria Math"/>
        </w:rPr>
        <w:t>‑</w:t>
      </w:r>
      <w:r w:rsidR="00C35CB9" w:rsidRPr="00211BAA">
        <w:t>mining business investment</w:t>
      </w:r>
      <w:r w:rsidR="00D64E55" w:rsidRPr="00211BAA">
        <w:t>,</w:t>
      </w:r>
      <w:r w:rsidR="00C35CB9" w:rsidRPr="00211BAA">
        <w:t xml:space="preserve"> despite </w:t>
      </w:r>
      <w:r w:rsidR="00B12A39" w:rsidRPr="00211BAA">
        <w:t>then</w:t>
      </w:r>
      <w:r w:rsidR="006538D9" w:rsidRPr="00211BAA">
        <w:t>-</w:t>
      </w:r>
      <w:r w:rsidR="00C35CB9" w:rsidRPr="00211BAA">
        <w:t>accommodative financing conditions.</w:t>
      </w:r>
    </w:p>
    <w:p w14:paraId="75164382" w14:textId="0E8033B0" w:rsidR="00742C29" w:rsidRPr="00211BAA" w:rsidRDefault="00742C29" w:rsidP="00A817A6">
      <w:pPr>
        <w:pStyle w:val="NumberedParagraph"/>
      </w:pPr>
      <w:r w:rsidRPr="00211BAA">
        <w:t>Many have also pointed to weaker potential output growth as a constraint on business investment (RBA, 2022). This may reflect a reduced pipeline of innovative projects, stemming either from global trends in technological development or from firms’ relatively slow adoption of new technologies in Australia.</w:t>
      </w:r>
    </w:p>
    <w:p w14:paraId="7B8DD4E3" w14:textId="56371967" w:rsidR="002E3CAA" w:rsidRPr="00211BAA" w:rsidRDefault="00742C29" w:rsidP="00A817A6">
      <w:pPr>
        <w:pStyle w:val="NumberedParagraph"/>
      </w:pPr>
      <w:r w:rsidRPr="00211BAA">
        <w:t xml:space="preserve">In Australia, </w:t>
      </w:r>
      <w:r w:rsidR="002E3CAA" w:rsidRPr="00211BAA">
        <w:t xml:space="preserve">investment </w:t>
      </w:r>
      <w:r w:rsidR="008C0E7A" w:rsidRPr="00211BAA">
        <w:t xml:space="preserve">as a share of GDP </w:t>
      </w:r>
      <w:r w:rsidR="00062272" w:rsidRPr="00211BAA">
        <w:t>fell</w:t>
      </w:r>
      <w:r w:rsidR="008C0E7A" w:rsidRPr="00211BAA">
        <w:t xml:space="preserve"> from around 18 per cent in the late 1960s to </w:t>
      </w:r>
      <w:r w:rsidR="002E3CAA" w:rsidRPr="00211BAA">
        <w:t xml:space="preserve">a little over 12 per cent </w:t>
      </w:r>
      <w:r w:rsidR="0039065F" w:rsidRPr="00211BAA">
        <w:t xml:space="preserve">in recent years </w:t>
      </w:r>
      <w:r w:rsidR="00850EBC" w:rsidRPr="00211BAA">
        <w:t>– split between around 3 per cent for mining investment and 9 per cent for private investment excluding mining</w:t>
      </w:r>
      <w:r w:rsidR="002E3CAA" w:rsidRPr="00211BAA">
        <w:t>.</w:t>
      </w:r>
    </w:p>
    <w:p w14:paraId="45D73005" w14:textId="349615C7" w:rsidR="000B18B6" w:rsidRPr="00211BAA" w:rsidRDefault="000B18B6" w:rsidP="00A817A6">
      <w:pPr>
        <w:pStyle w:val="NumberedParagraph"/>
      </w:pPr>
      <w:r w:rsidRPr="00211BAA">
        <w:t xml:space="preserve">Business investment outside mining has declined as a share of GDP over the long run. A major driver of this long-run trend is the change in Australia's industry structure, including the decline in the share of the economy in agriculture and manufacturing, towards less capital-intensive services. Since the 1990s, reduced depreciation rates, the shift towards IT as a service, and falling electronics prices have also played a role (van der Merwe et al., 2018).  </w:t>
      </w:r>
    </w:p>
    <w:p w14:paraId="4A68ADE4" w14:textId="1AD672DD" w:rsidR="008046B9" w:rsidRPr="00211BAA" w:rsidRDefault="008046B9" w:rsidP="00A817A6">
      <w:pPr>
        <w:pStyle w:val="NumberedParagraph"/>
      </w:pPr>
      <w:r w:rsidRPr="00211BAA">
        <w:t>By contrast, investment in mining rose substantially from the early 2000s, expanding the resource sector’s capital stock and contributing to strong productivity growth within mining. After a sharp decline in the early 2010s, following the completion of several large resource projects and the transition from the construction phase of the mining boom to the production phase, mining investment has been steady since around 2015–16</w:t>
      </w:r>
      <w:r w:rsidR="002F46DF" w:rsidRPr="00211BAA">
        <w:t xml:space="preserve"> </w:t>
      </w:r>
      <w:r w:rsidRPr="00211BAA">
        <w:t xml:space="preserve">(Jenner et al. 2018). Mining investment is increasingly oriented toward sustaining existing capacity rather than expanding it, moderating the contribution of new mining investment to aggregate productivity growth. </w:t>
      </w:r>
    </w:p>
    <w:p w14:paraId="216CE7C3" w14:textId="4F2CF3FB" w:rsidR="002C3580" w:rsidRPr="00211BAA" w:rsidRDefault="001A5C83" w:rsidP="00A817A6">
      <w:pPr>
        <w:pStyle w:val="NumberedParagraph"/>
      </w:pPr>
      <w:r w:rsidRPr="00211BAA">
        <w:t>More recent National Accounts show that business investment has strengthened. This reflects a lift in building and structures investment, including data centre projects, alongside improving investment intentions.</w:t>
      </w:r>
    </w:p>
    <w:p w14:paraId="7A1E0EA2" w14:textId="77777777" w:rsidR="00742C29" w:rsidRPr="00211BAA" w:rsidRDefault="00742C29" w:rsidP="003618DB">
      <w:pPr>
        <w:pStyle w:val="Heading2"/>
        <w:rPr>
          <w:color w:val="auto"/>
        </w:rPr>
      </w:pPr>
      <w:bookmarkStart w:id="27" w:name="_Toc224893981"/>
      <w:r w:rsidRPr="00211BAA">
        <w:rPr>
          <w:color w:val="auto"/>
        </w:rPr>
        <w:t>Declining economic dynamism</w:t>
      </w:r>
      <w:bookmarkEnd w:id="27"/>
    </w:p>
    <w:p w14:paraId="6E2456FB" w14:textId="77777777" w:rsidR="00742C29" w:rsidRPr="00211BAA" w:rsidRDefault="00742C29" w:rsidP="00A817A6">
      <w:pPr>
        <w:pStyle w:val="NumberedParagraph"/>
      </w:pPr>
      <w:r w:rsidRPr="00211BAA">
        <w:t xml:space="preserve">Economic dynamism, defined as the capacity of an economy to innovate, adapt and reallocate resources efficiently, is a critical mechanism for sustaining long-term productivity growth. </w:t>
      </w:r>
    </w:p>
    <w:p w14:paraId="0329DE63" w14:textId="69FC5256" w:rsidR="00742C29" w:rsidRPr="00211BAA" w:rsidRDefault="00742C29" w:rsidP="00A817A6">
      <w:pPr>
        <w:pStyle w:val="NumberedParagraph"/>
      </w:pPr>
      <w:r w:rsidRPr="00211BAA">
        <w:t xml:space="preserve">Advanced economies experiencing lower competitive pressures and weaker firm turnover tend to exhibit slower adoption of frontier </w:t>
      </w:r>
      <w:proofErr w:type="gramStart"/>
      <w:r w:rsidRPr="00211BAA">
        <w:t>technologies, and</w:t>
      </w:r>
      <w:proofErr w:type="gramEnd"/>
      <w:r w:rsidRPr="00211BAA">
        <w:t xml:space="preserve"> widening productivity disparities between leading and lagging firms (OECD, 202</w:t>
      </w:r>
      <w:r w:rsidR="002F7CA9" w:rsidRPr="00211BAA">
        <w:t>5c</w:t>
      </w:r>
      <w:r w:rsidRPr="00211BAA">
        <w:t xml:space="preserve">). </w:t>
      </w:r>
    </w:p>
    <w:p w14:paraId="78453189" w14:textId="09786019" w:rsidR="00742C29" w:rsidRPr="00211BAA" w:rsidRDefault="00742C29" w:rsidP="00A817A6">
      <w:pPr>
        <w:pStyle w:val="NumberedParagraph"/>
      </w:pPr>
      <w:r w:rsidRPr="00211BAA">
        <w:t>A range of indicators suggest that economic dynamism has weakened in Australia and other advanced economies, particularly measures related to competitive intensity and the reallocation of labour and capital toward more productive firms.</w:t>
      </w:r>
    </w:p>
    <w:p w14:paraId="118A501B" w14:textId="6D410A0D" w:rsidR="00742C29" w:rsidRPr="00211BAA" w:rsidRDefault="00742C29" w:rsidP="00A817A6">
      <w:pPr>
        <w:pStyle w:val="NumberedParagraph"/>
      </w:pPr>
      <w:r w:rsidRPr="00211BAA">
        <w:t>Rising mark-ups, greater persistence of incumbent firms, and increasing concentration across many industries suggest a decline in competitive pressure, which dampens incentives for investment, innovation, and efficiency</w:t>
      </w:r>
      <w:r w:rsidRPr="00211BAA">
        <w:rPr>
          <w:rFonts w:ascii="Cambria Math" w:hAnsi="Cambria Math" w:cs="Cambria Math"/>
        </w:rPr>
        <w:t>‑</w:t>
      </w:r>
      <w:r w:rsidRPr="00211BAA">
        <w:t xml:space="preserve">enhancing change. As a result, there are fewer new </w:t>
      </w:r>
      <w:r w:rsidRPr="00211BAA">
        <w:lastRenderedPageBreak/>
        <w:t>entrants and less displacement of dominant firms (</w:t>
      </w:r>
      <w:proofErr w:type="spellStart"/>
      <w:r w:rsidR="00823B92" w:rsidRPr="00211BAA">
        <w:t>Hambur</w:t>
      </w:r>
      <w:proofErr w:type="spellEnd"/>
      <w:r w:rsidR="00823B92" w:rsidRPr="00211BAA">
        <w:t xml:space="preserve"> and Andrews, 2023; </w:t>
      </w:r>
      <w:r w:rsidR="005242D6" w:rsidRPr="00211BAA">
        <w:t>Day et al., 2022</w:t>
      </w:r>
      <w:r w:rsidRPr="00211BAA">
        <w:t>).</w:t>
      </w:r>
    </w:p>
    <w:p w14:paraId="73B5B0EC" w14:textId="3E9D08A0" w:rsidR="00742C29" w:rsidRPr="00211BAA" w:rsidRDefault="009E03FF" w:rsidP="00A817A6">
      <w:pPr>
        <w:pStyle w:val="NumberedParagraph"/>
      </w:pPr>
      <w:r w:rsidRPr="00211BAA">
        <w:t>There was a decline in f</w:t>
      </w:r>
      <w:r w:rsidR="00742C29" w:rsidRPr="00211BAA">
        <w:t>irm entry and exit rates between the mid</w:t>
      </w:r>
      <w:r w:rsidR="00B57344" w:rsidRPr="00211BAA">
        <w:t>-</w:t>
      </w:r>
      <w:r w:rsidR="00742C29" w:rsidRPr="00211BAA">
        <w:t>2000s and early 2010s</w:t>
      </w:r>
      <w:r w:rsidR="00411E49" w:rsidRPr="00211BAA">
        <w:t xml:space="preserve"> </w:t>
      </w:r>
      <w:r w:rsidR="00742C29" w:rsidRPr="00211BAA">
        <w:t>(</w:t>
      </w:r>
      <w:r w:rsidR="007454F2" w:rsidRPr="00211BAA">
        <w:t>Chart</w:t>
      </w:r>
      <w:r w:rsidR="00411E49" w:rsidRPr="00211BAA">
        <w:t> </w:t>
      </w:r>
      <w:r w:rsidR="00925DC5" w:rsidRPr="00211BAA">
        <w:t>7</w:t>
      </w:r>
      <w:r w:rsidR="00742C29" w:rsidRPr="00211BAA">
        <w: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81685C" w:rsidRPr="00211BAA" w14:paraId="57A451A6" w14:textId="77777777" w:rsidTr="0054766D">
        <w:tc>
          <w:tcPr>
            <w:tcW w:w="8222" w:type="dxa"/>
          </w:tcPr>
          <w:p w14:paraId="4C64F1FD" w14:textId="014B2B0F" w:rsidR="00266FC4" w:rsidRPr="00211BAA" w:rsidRDefault="007454F2" w:rsidP="00926C97">
            <w:pPr>
              <w:pStyle w:val="ChartTitle"/>
            </w:pPr>
            <w:r w:rsidRPr="00211BAA">
              <w:t>Chart</w:t>
            </w:r>
            <w:r w:rsidR="00EC2AA8" w:rsidRPr="00211BAA">
              <w:t xml:space="preserve"> </w:t>
            </w:r>
            <w:r w:rsidR="00925DC5" w:rsidRPr="00211BAA">
              <w:t>7</w:t>
            </w:r>
            <w:r w:rsidR="00EC2AA8" w:rsidRPr="00211BAA">
              <w:t>: Decline in dynamism measures</w:t>
            </w:r>
          </w:p>
        </w:tc>
      </w:tr>
      <w:tr w:rsidR="0081685C" w:rsidRPr="00211BAA" w14:paraId="2002AA50" w14:textId="77777777" w:rsidTr="0054766D">
        <w:tc>
          <w:tcPr>
            <w:tcW w:w="8222" w:type="dxa"/>
          </w:tcPr>
          <w:p w14:paraId="55DD25DE" w14:textId="6510DD88" w:rsidR="00266FC4" w:rsidRPr="00211BAA" w:rsidRDefault="00B621ED" w:rsidP="00EC2AA8">
            <w:pPr>
              <w:jc w:val="center"/>
            </w:pPr>
            <w:r w:rsidRPr="00211BAA">
              <w:rPr>
                <w:noProof/>
              </w:rPr>
              <w:drawing>
                <wp:inline distT="0" distB="0" distL="0" distR="0" wp14:anchorId="530F9F5E" wp14:editId="5484F4BC">
                  <wp:extent cx="5083810" cy="2551814"/>
                  <wp:effectExtent l="0" t="0" r="0" b="1270"/>
                  <wp:docPr id="2052174485" name="Chart 1">
                    <a:extLst xmlns:a="http://schemas.openxmlformats.org/drawingml/2006/main">
                      <a:ext uri="{FF2B5EF4-FFF2-40B4-BE49-F238E27FC236}">
                        <a16:creationId xmlns:a16="http://schemas.microsoft.com/office/drawing/2014/main" id="{39DBE5A2-73A9-4AEB-8FA0-DF65A351C2A7}"/>
                      </a:ext>
                      <a:ext uri="{147F2762-F138-4A5C-976F-8EAC2B608ADB}">
                        <a16:predDERef xmlns:a16="http://schemas.microsoft.com/office/drawing/2014/main" pred="{CF0E56CC-8E03-4B99-A7E6-16B2AAA3E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81685C" w:rsidRPr="00211BAA" w14:paraId="118193E1" w14:textId="77777777" w:rsidTr="0054766D">
        <w:tc>
          <w:tcPr>
            <w:tcW w:w="8222" w:type="dxa"/>
          </w:tcPr>
          <w:p w14:paraId="441ACE9B" w14:textId="77777777" w:rsidR="00EC2AA8" w:rsidRPr="00211BAA" w:rsidRDefault="00EC2AA8" w:rsidP="000C4892">
            <w:pPr>
              <w:pStyle w:val="ChartSource"/>
              <w:rPr>
                <w:color w:val="auto"/>
              </w:rPr>
            </w:pPr>
            <w:r w:rsidRPr="00211BAA">
              <w:rPr>
                <w:color w:val="auto"/>
              </w:rPr>
              <w:t>Note: Entry and exit rates are for employing firms.</w:t>
            </w:r>
          </w:p>
          <w:p w14:paraId="214C91C9" w14:textId="686D40AE" w:rsidR="00266FC4" w:rsidRPr="00211BAA" w:rsidRDefault="00EC2AA8" w:rsidP="000C4892">
            <w:pPr>
              <w:pStyle w:val="ChartSource"/>
              <w:rPr>
                <w:color w:val="auto"/>
              </w:rPr>
            </w:pPr>
            <w:r w:rsidRPr="00211BAA">
              <w:rPr>
                <w:color w:val="auto"/>
              </w:rPr>
              <w:t>Source: Treasury analysis of ABS Counts of Australian Businesses data and ABS Labour Force microdata.</w:t>
            </w:r>
          </w:p>
        </w:tc>
      </w:tr>
    </w:tbl>
    <w:p w14:paraId="17408BE7" w14:textId="732B7F91" w:rsidR="00E44FDD" w:rsidRPr="00211BAA" w:rsidRDefault="00E44FDD" w:rsidP="00A817A6">
      <w:pPr>
        <w:pStyle w:val="NumberedParagraph"/>
      </w:pPr>
      <w:r w:rsidRPr="00211BAA">
        <w:t>At the same time, evidence points to a broad slowdown in the reallocation process. The reallocation of market share from less productive to more productive firms has slowed, alongside reduced rates of firm</w:t>
      </w:r>
      <w:r w:rsidRPr="00211BAA">
        <w:rPr>
          <w:rFonts w:ascii="Cambria Math" w:hAnsi="Cambria Math" w:cs="Cambria Math"/>
        </w:rPr>
        <w:t>‑</w:t>
      </w:r>
      <w:r w:rsidRPr="00211BAA">
        <w:t xml:space="preserve">level innovation and declining labour mobility across firms and industries. </w:t>
      </w:r>
    </w:p>
    <w:p w14:paraId="2243DE55" w14:textId="2B20CAEB" w:rsidR="00E44FDD" w:rsidRPr="00211BAA" w:rsidRDefault="00E44FDD" w:rsidP="00A817A6">
      <w:pPr>
        <w:pStyle w:val="NumberedParagraph"/>
      </w:pPr>
      <w:r w:rsidRPr="00211BAA">
        <w:t>Treasury estimates suggest that the slower pace at which labour is reallocated from low to high productivity firms accounted for a quarter of the slowdown in productivity growth from 2012 to 2016 (Andrews and Hansell, 2019).</w:t>
      </w:r>
    </w:p>
    <w:p w14:paraId="338D2E47" w14:textId="40DBD852" w:rsidR="00E44FDD" w:rsidRPr="00211BAA" w:rsidRDefault="00E44FDD" w:rsidP="00A817A6">
      <w:pPr>
        <w:pStyle w:val="NumberedParagraph"/>
      </w:pPr>
      <w:r w:rsidRPr="00211BAA">
        <w:t xml:space="preserve">A reduction in competitive pressures has also led to more dispersion in mark-ups, as firms facing less competition are able to restrict their output and raise prices. This results in a misallocation of resources and production across firms and lower aggregate productivity. If the degree of competition in the Australian economy had not declined from mid-2000s levels, productivity would </w:t>
      </w:r>
      <w:r w:rsidR="0016262E" w:rsidRPr="00211BAA">
        <w:t xml:space="preserve">likely </w:t>
      </w:r>
      <w:r w:rsidRPr="00211BAA">
        <w:t>be 1–3 per cent higher (</w:t>
      </w:r>
      <w:proofErr w:type="spellStart"/>
      <w:r w:rsidRPr="00211BAA">
        <w:t>Hambur</w:t>
      </w:r>
      <w:proofErr w:type="spellEnd"/>
      <w:r w:rsidRPr="00211BAA">
        <w:t xml:space="preserve"> and Freestone, 2025).</w:t>
      </w:r>
    </w:p>
    <w:p w14:paraId="1DB41B24" w14:textId="77777777" w:rsidR="00742C29" w:rsidRPr="00211BAA" w:rsidRDefault="00742C29" w:rsidP="00A817A6">
      <w:pPr>
        <w:pStyle w:val="NumberedParagraph"/>
      </w:pPr>
      <w:r w:rsidRPr="00211BAA">
        <w:t xml:space="preserve">These dynamics do not occur in isolation. Instead, they interact with broader market structures and institutional settings that shape incentives for risk taking and technological adoption. Barriers to entry, regulatory burdens and constraints on labour mobility can weaken competitive pressure and slow the reallocation of resources to more productive firms. </w:t>
      </w:r>
    </w:p>
    <w:p w14:paraId="2181E8C1" w14:textId="77777777" w:rsidR="00742C29" w:rsidRPr="00211BAA" w:rsidRDefault="00742C29" w:rsidP="00A817A6">
      <w:pPr>
        <w:pStyle w:val="NumberedParagraph"/>
      </w:pPr>
      <w:r w:rsidRPr="00211BAA">
        <w:t xml:space="preserve">OECD studies note that more rigid product-market regulations and labour market frictions have been associated with lower firm entry and diminished labour mobility, which can blunt competitive forces and slow productivity growth by reducing opportunities for dynamic resource reallocation (Andrews and </w:t>
      </w:r>
      <w:proofErr w:type="spellStart"/>
      <w:r w:rsidRPr="00211BAA">
        <w:t>Garnero</w:t>
      </w:r>
      <w:proofErr w:type="spellEnd"/>
      <w:r w:rsidRPr="00211BAA">
        <w:t>, 2025).</w:t>
      </w:r>
    </w:p>
    <w:p w14:paraId="0FCB0231" w14:textId="77777777" w:rsidR="00742C29" w:rsidRPr="00211BAA" w:rsidRDefault="00742C29" w:rsidP="00A817A6">
      <w:pPr>
        <w:pStyle w:val="NumberedParagraph"/>
      </w:pPr>
      <w:r w:rsidRPr="00211BAA">
        <w:t xml:space="preserve">The growing non-market sector also has important implications for competition, as health care, education and care services account for a larger share of economic activity. A rising proportion </w:t>
      </w:r>
      <w:r w:rsidRPr="00211BAA">
        <w:lastRenderedPageBreak/>
        <w:t>of output is being delivered in settings where competitive pressures are inherently weaker and where prices, entry and firm expansion are shaped by regulation and public funding rather than market competition (King, 2025).</w:t>
      </w:r>
    </w:p>
    <w:p w14:paraId="23B80796" w14:textId="77777777" w:rsidR="00742C29" w:rsidRPr="00211BAA" w:rsidRDefault="00742C29" w:rsidP="003618DB">
      <w:pPr>
        <w:pStyle w:val="Heading2"/>
        <w:rPr>
          <w:color w:val="auto"/>
        </w:rPr>
      </w:pPr>
      <w:bookmarkStart w:id="28" w:name="_Toc224893982"/>
      <w:r w:rsidRPr="00211BAA">
        <w:rPr>
          <w:color w:val="auto"/>
        </w:rPr>
        <w:t>Labour force matching</w:t>
      </w:r>
      <w:bookmarkEnd w:id="28"/>
    </w:p>
    <w:p w14:paraId="41AF13B7" w14:textId="250B3F81" w:rsidR="00915A33" w:rsidRPr="00211BAA" w:rsidRDefault="00915A33" w:rsidP="00A817A6">
      <w:pPr>
        <w:pStyle w:val="NumberedParagraph"/>
      </w:pPr>
      <w:bookmarkStart w:id="29" w:name="_Ref221797076"/>
      <w:r w:rsidRPr="00211BAA">
        <w:t xml:space="preserve">Australia’s historically strong productivity performance has been supported by a relatively skilled labour force, underpinned by rising educational attainment, migration-driven skills inflows and sustained investment in human capital (Bruno et al., 2025). </w:t>
      </w:r>
    </w:p>
    <w:p w14:paraId="6607CCD2" w14:textId="3B900BEF" w:rsidR="00742C29" w:rsidRPr="00211BAA" w:rsidRDefault="00915A33" w:rsidP="00A817A6">
      <w:pPr>
        <w:pStyle w:val="NumberedParagraph"/>
      </w:pPr>
      <w:r w:rsidRPr="00211BAA">
        <w:t>However, p</w:t>
      </w:r>
      <w:r w:rsidR="00742C29" w:rsidRPr="00211BAA">
        <w:t>roductivity growth depends not only on the skills of the workforce, but also by how well workers’ skills are matched to their jobs. When individuals’ abilities closely align with the job requirements, tasks are performed more efficiently, leading to higher output. Improving labour market matching ensures that skills are allocated to their most productive uses, enabling Australia to generate greater output from the same workforce.</w:t>
      </w:r>
      <w:bookmarkEnd w:id="29"/>
    </w:p>
    <w:p w14:paraId="15A9E62A" w14:textId="65408494" w:rsidR="00991611" w:rsidRPr="00211BAA" w:rsidRDefault="00742C29" w:rsidP="00A817A6">
      <w:pPr>
        <w:pStyle w:val="NumberedParagraph"/>
      </w:pPr>
      <w:r w:rsidRPr="00211BAA">
        <w:t>Labour market mismatch can take several fo</w:t>
      </w:r>
      <w:r w:rsidR="00991611" w:rsidRPr="00211BAA">
        <w:t>rms, and it changes over time depending on occupational structures, the skills required within occupations</w:t>
      </w:r>
      <w:r w:rsidR="00F65D78" w:rsidRPr="00211BAA">
        <w:t xml:space="preserve"> and </w:t>
      </w:r>
      <w:r w:rsidR="00991611" w:rsidRPr="00211BAA">
        <w:t>the composition of the workforce</w:t>
      </w:r>
      <w:r w:rsidR="00F65D78" w:rsidRPr="00211BAA">
        <w:t xml:space="preserve">. The </w:t>
      </w:r>
      <w:r w:rsidR="00991611" w:rsidRPr="00211BAA">
        <w:t xml:space="preserve">processes by which workers are matched to jobs are all evolving: </w:t>
      </w:r>
    </w:p>
    <w:p w14:paraId="255F7C9F" w14:textId="4BF8EC1C" w:rsidR="00742C29" w:rsidRPr="00211BAA" w:rsidRDefault="00742C29" w:rsidP="00A817A6">
      <w:pPr>
        <w:pStyle w:val="Bulletparagraph"/>
      </w:pPr>
      <w:r w:rsidRPr="00211BAA">
        <w:t xml:space="preserve">Vertical mismatch occurs when a worker’s level of education or qualification is higher or lower than that required for their role. While over-skilled workers may not directly reduce a firm’s productivity, they create inefficiencies in skill allocation, as other firms may use these mismatched workers more effectively. </w:t>
      </w:r>
    </w:p>
    <w:p w14:paraId="5B3C9E2D" w14:textId="65CA3FF5" w:rsidR="00742C29" w:rsidRPr="00211BAA" w:rsidRDefault="00742C29" w:rsidP="00A817A6">
      <w:pPr>
        <w:pStyle w:val="Bulletparagraph"/>
      </w:pPr>
      <w:r w:rsidRPr="00211BAA">
        <w:t xml:space="preserve">Horizontal mismatch arises when the type of education or skills does not align with the demands of the job. </w:t>
      </w:r>
      <w:r w:rsidR="00FC732F" w:rsidRPr="00211BAA">
        <w:t>Technological progress can render certain skills obsolete, while creating demand for others.</w:t>
      </w:r>
      <w:r w:rsidR="00AD35C1" w:rsidRPr="00211BAA">
        <w:t xml:space="preserve"> </w:t>
      </w:r>
      <w:r w:rsidR="00C37F10" w:rsidRPr="00211BAA">
        <w:t>Education and training pathways equip work</w:t>
      </w:r>
      <w:r w:rsidR="002C6E4A" w:rsidRPr="00211BAA">
        <w:t>er</w:t>
      </w:r>
      <w:r w:rsidR="00C37F10" w:rsidRPr="00211BAA">
        <w:t>s with skills aligned to evolving occupational and industrial demands.</w:t>
      </w:r>
    </w:p>
    <w:p w14:paraId="3F8D09F3" w14:textId="529470FF" w:rsidR="00742C29" w:rsidRPr="00211BAA" w:rsidRDefault="00742C29" w:rsidP="00A817A6">
      <w:pPr>
        <w:pStyle w:val="Bulletparagraph"/>
      </w:pPr>
      <w:r w:rsidRPr="00211BAA">
        <w:t>Geographic mismatch happens when suitably skilled jobs are not available in a worker’s region, forcing them to accept lower-skilled roles or leaving higher-skilled positions unfilled.</w:t>
      </w:r>
      <w:r w:rsidR="00383856" w:rsidRPr="00211BAA">
        <w:t xml:space="preserve"> </w:t>
      </w:r>
      <w:r w:rsidR="000C2A09" w:rsidRPr="00211BAA">
        <w:t>Geographic mobility, with workers moving to regions where their skills are in demand, reduces local labour shortages and surpluses.</w:t>
      </w:r>
    </w:p>
    <w:p w14:paraId="3A490B4E" w14:textId="161E2739" w:rsidR="00742C29" w:rsidRPr="00211BAA" w:rsidRDefault="00742C29" w:rsidP="00A817A6">
      <w:pPr>
        <w:pStyle w:val="NumberedParagraph"/>
      </w:pPr>
      <w:bookmarkStart w:id="30" w:name="_Ref221797085"/>
      <w:r w:rsidRPr="00211BAA">
        <w:t>Job mobility plays a crucial role</w:t>
      </w:r>
      <w:r w:rsidR="007D2BF6" w:rsidRPr="00211BAA">
        <w:t xml:space="preserve"> in effective labour force matching</w:t>
      </w:r>
      <w:r w:rsidRPr="00211BAA">
        <w:t xml:space="preserve">. Higher rates of job-to-job movement allow workers to transition into roles that better match their skills and offer higher </w:t>
      </w:r>
      <w:proofErr w:type="gramStart"/>
      <w:r w:rsidRPr="00211BAA">
        <w:t>wages</w:t>
      </w:r>
      <w:proofErr w:type="gramEnd"/>
      <w:r w:rsidRPr="00211BAA">
        <w:t xml:space="preserve"> </w:t>
      </w:r>
      <w:r w:rsidR="00036CAF" w:rsidRPr="00211BAA">
        <w:t xml:space="preserve">but job mobility rates have fallen over time </w:t>
      </w:r>
      <w:r w:rsidRPr="00211BAA">
        <w:t>(Deutscher, 2019). Workers who change jobs tend to move to firms that are, on average, 13.1 per cent more productive than the firms they leave (</w:t>
      </w:r>
      <w:r w:rsidR="00041DE2" w:rsidRPr="00211BAA">
        <w:t>Buckley</w:t>
      </w:r>
      <w:r w:rsidRPr="00211BAA">
        <w:t>, 2023).</w:t>
      </w:r>
      <w:bookmarkEnd w:id="30"/>
    </w:p>
    <w:p w14:paraId="62B4E500" w14:textId="1C086563" w:rsidR="00C80DD6" w:rsidRPr="00211BAA" w:rsidRDefault="00C80DD6" w:rsidP="00A817A6">
      <w:pPr>
        <w:pStyle w:val="NumberedParagraph"/>
      </w:pPr>
      <w:r w:rsidRPr="00211BAA">
        <w:t xml:space="preserve">According to a study by Mackey (2024), matching efficiency of unemployed job seekers was high between 2004 and </w:t>
      </w:r>
      <w:proofErr w:type="gramStart"/>
      <w:r w:rsidRPr="00211BAA">
        <w:t xml:space="preserve">2009, </w:t>
      </w:r>
      <w:r w:rsidR="00D83569" w:rsidRPr="00211BAA">
        <w:t>but</w:t>
      </w:r>
      <w:proofErr w:type="gramEnd"/>
      <w:r w:rsidR="00D83569" w:rsidRPr="00211BAA">
        <w:t xml:space="preserve"> </w:t>
      </w:r>
      <w:r w:rsidRPr="00211BAA">
        <w:t xml:space="preserve">fell quickly during the GFC </w:t>
      </w:r>
      <w:r w:rsidR="00B8128B" w:rsidRPr="00211BAA">
        <w:t>and was</w:t>
      </w:r>
      <w:r w:rsidRPr="00211BAA">
        <w:t xml:space="preserve"> </w:t>
      </w:r>
      <w:r w:rsidR="00E44221" w:rsidRPr="00211BAA">
        <w:t xml:space="preserve">relatively </w:t>
      </w:r>
      <w:r w:rsidRPr="00211BAA">
        <w:t>low between 2010 and 2019. Labour market tightness had a partial rebound after falling in 2009, but job finding rates remained below pre-GFC peaks across all unemployment groups. Matching efficiency improved between 2019 and 2023.</w:t>
      </w:r>
    </w:p>
    <w:p w14:paraId="5F383031" w14:textId="6854D917" w:rsidR="00915A33" w:rsidRPr="00211BAA" w:rsidRDefault="00915A33" w:rsidP="00A817A6">
      <w:pPr>
        <w:pStyle w:val="NumberedParagraph"/>
      </w:pPr>
      <w:r w:rsidRPr="00211BAA">
        <w:t xml:space="preserve">The permanent skilled migration program </w:t>
      </w:r>
      <w:r w:rsidR="00650968" w:rsidRPr="00211BAA">
        <w:t>can</w:t>
      </w:r>
      <w:r w:rsidRPr="00211BAA">
        <w:t xml:space="preserve"> contribute to productivity growth, fill skills gaps and support increased labour force participation (Parkinson, Howe, and Azarias, 2023). Permanent skilled migrants tend to be younger, highly skilled and have high participation rates. Their presence also has positive spillover effects: on average, a region with a 10 per cent larger share of migrants is associated with a 1.3 per cent higher regional wage differential (OECD,</w:t>
      </w:r>
      <w:r w:rsidR="00CA797A" w:rsidRPr="00211BAA">
        <w:t> </w:t>
      </w:r>
      <w:r w:rsidRPr="00211BAA">
        <w:t>2023).</w:t>
      </w:r>
    </w:p>
    <w:p w14:paraId="1F438701" w14:textId="750279EA" w:rsidR="00742C29" w:rsidRPr="00211BAA" w:rsidRDefault="00742C29" w:rsidP="006323CF">
      <w:pPr>
        <w:pStyle w:val="Heading1"/>
        <w:rPr>
          <w:color w:val="auto"/>
        </w:rPr>
      </w:pPr>
      <w:bookmarkStart w:id="31" w:name="_Toc224893983"/>
      <w:r w:rsidRPr="00211BAA">
        <w:rPr>
          <w:color w:val="auto"/>
        </w:rPr>
        <w:lastRenderedPageBreak/>
        <w:t>Geographic factors</w:t>
      </w:r>
      <w:bookmarkEnd w:id="31"/>
      <w:r w:rsidRPr="00211BAA">
        <w:rPr>
          <w:color w:val="auto"/>
        </w:rPr>
        <w:t xml:space="preserve"> </w:t>
      </w:r>
    </w:p>
    <w:p w14:paraId="52EF0289" w14:textId="5B87B487" w:rsidR="00641794" w:rsidRPr="00211BAA" w:rsidRDefault="0039071F" w:rsidP="00A817A6">
      <w:pPr>
        <w:pStyle w:val="NumberedParagraph"/>
      </w:pPr>
      <w:r w:rsidRPr="00211BAA">
        <w:t xml:space="preserve">The geographic distribution of </w:t>
      </w:r>
      <w:r w:rsidR="006A35D8" w:rsidRPr="00211BAA">
        <w:t xml:space="preserve">Australia’s </w:t>
      </w:r>
      <w:r w:rsidRPr="00211BAA">
        <w:t xml:space="preserve">productivity is shaped by </w:t>
      </w:r>
      <w:r w:rsidR="00BA4C7C" w:rsidRPr="00211BAA">
        <w:t xml:space="preserve">agglomerations and natural endowments. </w:t>
      </w:r>
      <w:r w:rsidR="003D1939" w:rsidRPr="00211BAA">
        <w:t xml:space="preserve">Specifically, </w:t>
      </w:r>
      <w:r w:rsidR="00B322C0" w:rsidRPr="00211BAA">
        <w:t>productivity is highest in central business districts</w:t>
      </w:r>
      <w:r w:rsidR="004136BC" w:rsidRPr="00211BAA">
        <w:t>, where high</w:t>
      </w:r>
      <w:r w:rsidR="00A3455A" w:rsidRPr="00211BAA">
        <w:t>-</w:t>
      </w:r>
      <w:r w:rsidR="004136BC" w:rsidRPr="00211BAA">
        <w:t xml:space="preserve">value knowledge work is concentrated, </w:t>
      </w:r>
      <w:r w:rsidR="0029768C" w:rsidRPr="00211BAA">
        <w:t xml:space="preserve">and in </w:t>
      </w:r>
      <w:r w:rsidR="00B322C0" w:rsidRPr="00211BAA">
        <w:t xml:space="preserve">regional </w:t>
      </w:r>
      <w:r w:rsidR="00F34BE5" w:rsidRPr="00211BAA">
        <w:t xml:space="preserve">areas </w:t>
      </w:r>
      <w:r w:rsidR="0029768C" w:rsidRPr="00211BAA">
        <w:t xml:space="preserve">where </w:t>
      </w:r>
      <w:r w:rsidR="00853B35" w:rsidRPr="00211BAA">
        <w:t>mining and agriculture</w:t>
      </w:r>
      <w:r w:rsidR="00F34BE5" w:rsidRPr="00211BAA">
        <w:t xml:space="preserve"> generate high levels of output</w:t>
      </w:r>
      <w:r w:rsidR="004136BC" w:rsidRPr="00211BAA">
        <w:t xml:space="preserve"> with relatively small</w:t>
      </w:r>
      <w:r w:rsidR="00A3455A" w:rsidRPr="00211BAA">
        <w:t xml:space="preserve"> workforces</w:t>
      </w:r>
      <w:r w:rsidR="00853B35" w:rsidRPr="00211BAA">
        <w:t>.</w:t>
      </w:r>
    </w:p>
    <w:p w14:paraId="1F75D612" w14:textId="4C812A18" w:rsidR="005C2F6C" w:rsidRPr="00211BAA" w:rsidRDefault="009E0578" w:rsidP="00A817A6">
      <w:pPr>
        <w:pStyle w:val="NumberedParagraph"/>
      </w:pPr>
      <w:r w:rsidRPr="00211BAA">
        <w:t xml:space="preserve">Overlaying this, Australia’s </w:t>
      </w:r>
      <w:r w:rsidR="00EF45CB" w:rsidRPr="00211BAA">
        <w:t xml:space="preserve">geography poses </w:t>
      </w:r>
      <w:r w:rsidR="00E75629" w:rsidRPr="00211BAA">
        <w:t>structural challenges</w:t>
      </w:r>
      <w:r w:rsidR="002E2B0F" w:rsidRPr="00211BAA">
        <w:t xml:space="preserve"> in the form </w:t>
      </w:r>
      <w:r w:rsidR="00DB7BE1" w:rsidRPr="00211BAA">
        <w:t xml:space="preserve">of </w:t>
      </w:r>
      <w:r w:rsidR="005C2F6C" w:rsidRPr="00211BAA">
        <w:t xml:space="preserve">distance from major global markets and </w:t>
      </w:r>
      <w:r w:rsidR="00DB7BE1" w:rsidRPr="00211BAA">
        <w:t xml:space="preserve">a </w:t>
      </w:r>
      <w:r w:rsidR="005C2F6C" w:rsidRPr="00211BAA">
        <w:t>relatively small, dispersed population</w:t>
      </w:r>
      <w:r w:rsidR="006C7704" w:rsidRPr="00211BAA">
        <w:t xml:space="preserve"> </w:t>
      </w:r>
      <w:r w:rsidR="005C2F6C" w:rsidRPr="00211BAA">
        <w:t>(OECD, 2026).</w:t>
      </w:r>
    </w:p>
    <w:p w14:paraId="7C9EF8C4" w14:textId="3A094326" w:rsidR="00742C29" w:rsidRPr="00211BAA" w:rsidRDefault="00987E30" w:rsidP="00987E30">
      <w:pPr>
        <w:pStyle w:val="Heading2"/>
        <w:rPr>
          <w:color w:val="auto"/>
        </w:rPr>
      </w:pPr>
      <w:bookmarkStart w:id="32" w:name="_Toc224893984"/>
      <w:r w:rsidRPr="00211BAA">
        <w:rPr>
          <w:color w:val="auto"/>
        </w:rPr>
        <w:t>Australia’s distance from large markets</w:t>
      </w:r>
      <w:bookmarkEnd w:id="32"/>
    </w:p>
    <w:p w14:paraId="01C87293" w14:textId="1238A833" w:rsidR="000C0867" w:rsidRPr="00211BAA" w:rsidRDefault="000C0867" w:rsidP="00A817A6">
      <w:pPr>
        <w:pStyle w:val="NumberedParagraph"/>
      </w:pPr>
      <w:r w:rsidRPr="00211BAA">
        <w:t xml:space="preserve">Several enduring features help explain the productivity gap between Australia and the global frontier. Prime among these is Australia’s geography, which has long been recognised as a defining influence on its economic and national development (Blainey, 1966). </w:t>
      </w:r>
    </w:p>
    <w:p w14:paraId="021BFB9A" w14:textId="6AA74664" w:rsidR="00742C29" w:rsidRPr="00211BAA" w:rsidRDefault="00742C29" w:rsidP="00A817A6">
      <w:pPr>
        <w:pStyle w:val="NumberedParagraph"/>
      </w:pPr>
      <w:r w:rsidRPr="00211BAA">
        <w:t xml:space="preserve">Australia’s remoteness from traditional economic hubs in Europe and North America has historically raised the costs of trade, capital flows and knowledge diffusion, constraining productivity growth relative to frontier economies. Distance from major global markets also reduces some opportunities for trade and positive spillover effects compared to economies located in larger, closely integrated economic regions. </w:t>
      </w:r>
      <w:r w:rsidR="00E90FB5" w:rsidRPr="00211BAA">
        <w:t>Geography remains an important determinant of comparative advantage, notably for certain minerals and fuels (Robertson and Robitaille, 2017).</w:t>
      </w:r>
      <w:r w:rsidR="00AE0D88" w:rsidRPr="00211BAA">
        <w:t xml:space="preserve"> Estimates using data from the late 1900s to the early 2000s suggest that as much as 45 per cent of Australia’s productivity gap relative to the United States </w:t>
      </w:r>
      <w:r w:rsidR="00153D52" w:rsidRPr="00211BAA">
        <w:t>could</w:t>
      </w:r>
      <w:r w:rsidR="00AE0D88" w:rsidRPr="00211BAA">
        <w:t xml:space="preserve"> be attributed to distance from major markets (Battersby, 2006).</w:t>
      </w:r>
    </w:p>
    <w:p w14:paraId="5DA24B40" w14:textId="77777777" w:rsidR="0083119B" w:rsidRPr="00211BAA" w:rsidRDefault="00742C29" w:rsidP="00A817A6">
      <w:pPr>
        <w:pStyle w:val="NumberedParagraph"/>
      </w:pPr>
      <w:r w:rsidRPr="00211BAA">
        <w:t>At the same time, shifts in the global economic centre of gravity provide a more nuanced outlook. The rising economic weight of China and ASEAN economies has increased Australia’s proximity to faster</w:t>
      </w:r>
      <w:r w:rsidRPr="00211BAA">
        <w:rPr>
          <w:rFonts w:ascii="Cambria Math" w:hAnsi="Cambria Math" w:cs="Cambria Math"/>
        </w:rPr>
        <w:t>‑</w:t>
      </w:r>
      <w:r w:rsidRPr="00211BAA">
        <w:t>growing regional markets, creating new opportunities for trade, investment and technology spillovers. Over time, deeper integration with the Indo</w:t>
      </w:r>
      <w:r w:rsidRPr="00211BAA">
        <w:rPr>
          <w:rFonts w:ascii="Cambria Math" w:hAnsi="Cambria Math" w:cs="Cambria Math"/>
        </w:rPr>
        <w:t>‑</w:t>
      </w:r>
      <w:r w:rsidRPr="00211BAA">
        <w:t>Pacific region may partially offset the disadvantages associated with distance from traditional advanced</w:t>
      </w:r>
      <w:r w:rsidRPr="00211BAA">
        <w:rPr>
          <w:rFonts w:ascii="Cambria Math" w:hAnsi="Cambria Math" w:cs="Cambria Math"/>
        </w:rPr>
        <w:t>‑</w:t>
      </w:r>
      <w:r w:rsidRPr="00211BAA">
        <w:t>economy hubs.</w:t>
      </w:r>
    </w:p>
    <w:p w14:paraId="362DBA0C" w14:textId="4CFA70A2" w:rsidR="00742C29" w:rsidRPr="00211BAA" w:rsidRDefault="00FE04EA" w:rsidP="003618DB">
      <w:pPr>
        <w:pStyle w:val="Heading2"/>
        <w:rPr>
          <w:color w:val="auto"/>
        </w:rPr>
      </w:pPr>
      <w:bookmarkStart w:id="33" w:name="_Toc224893985"/>
      <w:r w:rsidRPr="00211BAA">
        <w:rPr>
          <w:color w:val="auto"/>
        </w:rPr>
        <w:t>Geographic influences on the domestic market</w:t>
      </w:r>
      <w:bookmarkEnd w:id="33"/>
    </w:p>
    <w:p w14:paraId="134726D1" w14:textId="2900FA07" w:rsidR="00742C29" w:rsidRPr="00211BAA" w:rsidRDefault="00742C29" w:rsidP="00A817A6">
      <w:pPr>
        <w:pStyle w:val="NumberedParagraph"/>
      </w:pPr>
      <w:r w:rsidRPr="00211BAA">
        <w:t xml:space="preserve">Domestically, Australia’s population </w:t>
      </w:r>
      <w:r w:rsidR="007C1610" w:rsidRPr="00211BAA">
        <w:t xml:space="preserve">distribution </w:t>
      </w:r>
      <w:r w:rsidRPr="00211BAA">
        <w:t xml:space="preserve">and large land mass shape productivity outcomes through spatial frictions. Large internal distances </w:t>
      </w:r>
      <w:r w:rsidR="006C7704" w:rsidRPr="00211BAA">
        <w:t xml:space="preserve">between major population centres </w:t>
      </w:r>
      <w:r w:rsidRPr="00211BAA">
        <w:t>increase distribution costs</w:t>
      </w:r>
      <w:r w:rsidR="00F34BE5" w:rsidRPr="00211BAA">
        <w:t xml:space="preserve">, limit economies of scale, </w:t>
      </w:r>
      <w:r w:rsidRPr="00211BAA">
        <w:t>and can constrain market integration.</w:t>
      </w:r>
      <w:r w:rsidR="006C7704" w:rsidRPr="00211BAA">
        <w:t xml:space="preserve"> </w:t>
      </w:r>
    </w:p>
    <w:p w14:paraId="4600977F" w14:textId="7FA2A06F" w:rsidR="00A3499E" w:rsidRPr="00211BAA" w:rsidRDefault="001B1F47" w:rsidP="00A817A6">
      <w:pPr>
        <w:pStyle w:val="NumberedParagraph"/>
      </w:pPr>
      <w:r w:rsidRPr="00211BAA">
        <w:t>Australia’s comparatively small domestic market can limit opportunities for competitive pressures to drive economic efficiency. The limited size of Australia’s domestic market constrains the realisation of economies of scale, particularly in industries characterised by high fixed costs. As a result, efficient production may be concentrated among a small number of large firms that are able to reach minimum efficient scale and remain globally competitive. In high fixed-cost industries where efficiencies could be realised, barriers to new entrants tend to be high. This highlights the importance of open trade and investment for the Australian economy – it provides access to larger markets and helps reduce barriers to entry.</w:t>
      </w:r>
    </w:p>
    <w:p w14:paraId="31768D54" w14:textId="2DA299B2" w:rsidR="006A1339" w:rsidRPr="00211BAA" w:rsidRDefault="006A1339" w:rsidP="006A1339">
      <w:pPr>
        <w:pStyle w:val="Heading2"/>
        <w:rPr>
          <w:color w:val="auto"/>
        </w:rPr>
      </w:pPr>
      <w:bookmarkStart w:id="34" w:name="_Toc224893986"/>
      <w:r w:rsidRPr="00211BAA">
        <w:rPr>
          <w:color w:val="auto"/>
        </w:rPr>
        <w:t>Cities</w:t>
      </w:r>
      <w:bookmarkEnd w:id="34"/>
    </w:p>
    <w:p w14:paraId="56AEADCF" w14:textId="77777777" w:rsidR="0000583A" w:rsidRPr="00211BAA" w:rsidRDefault="000A10F5" w:rsidP="00A817A6">
      <w:pPr>
        <w:pStyle w:val="NumberedParagraph"/>
      </w:pPr>
      <w:r w:rsidRPr="00211BAA">
        <w:t xml:space="preserve">It is well-established that </w:t>
      </w:r>
      <w:r w:rsidR="00B10862" w:rsidRPr="00211BAA">
        <w:t>agglomeration</w:t>
      </w:r>
      <w:r w:rsidR="003739B9" w:rsidRPr="00211BAA">
        <w:t xml:space="preserve">, or the geographic concentration of economic activity, is associated with </w:t>
      </w:r>
      <w:r w:rsidR="00EA39F2" w:rsidRPr="00211BAA">
        <w:t>higher productivity for firms and workers.</w:t>
      </w:r>
      <w:r w:rsidR="00C167E6" w:rsidRPr="00211BAA">
        <w:t xml:space="preserve"> </w:t>
      </w:r>
    </w:p>
    <w:p w14:paraId="0E37FED8" w14:textId="66DA1042" w:rsidR="00C167E6" w:rsidRPr="00211BAA" w:rsidRDefault="00C167E6" w:rsidP="00A817A6">
      <w:pPr>
        <w:pStyle w:val="NumberedParagraph"/>
      </w:pPr>
      <w:r w:rsidRPr="00211BAA">
        <w:lastRenderedPageBreak/>
        <w:t>In Australia, economic output concentrates in and around central business districts (CBDs) due to the concentration of workers combined with high</w:t>
      </w:r>
      <w:r w:rsidRPr="00211BAA">
        <w:rPr>
          <w:rFonts w:ascii="Cambria Math" w:hAnsi="Cambria Math" w:cs="Cambria Math"/>
        </w:rPr>
        <w:t>‑</w:t>
      </w:r>
      <w:r w:rsidRPr="00211BAA">
        <w:t>productivity industries such as financial and professional services (Figure 1).</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81685C" w:rsidRPr="00211BAA" w14:paraId="2930A8DF" w14:textId="77777777">
        <w:tc>
          <w:tcPr>
            <w:tcW w:w="8222" w:type="dxa"/>
          </w:tcPr>
          <w:p w14:paraId="262D0BF6" w14:textId="77777777" w:rsidR="001B1F47" w:rsidRPr="00211BAA" w:rsidRDefault="001B1F47">
            <w:pPr>
              <w:pStyle w:val="ChartTitle"/>
            </w:pPr>
            <w:r w:rsidRPr="00211BAA">
              <w:t>Figure 1: Output per square kilometre across urban centres</w:t>
            </w:r>
          </w:p>
        </w:tc>
      </w:tr>
      <w:tr w:rsidR="0081685C" w:rsidRPr="00211BAA" w14:paraId="712E1CF2" w14:textId="77777777">
        <w:tc>
          <w:tcPr>
            <w:tcW w:w="8222" w:type="dxa"/>
          </w:tcPr>
          <w:p w14:paraId="4ACB37F2" w14:textId="77777777" w:rsidR="001B1F47" w:rsidRPr="00211BAA" w:rsidRDefault="001B1F47">
            <w:pPr>
              <w:jc w:val="center"/>
            </w:pPr>
            <w:r w:rsidRPr="00211BAA">
              <w:rPr>
                <w:noProof/>
              </w:rPr>
              <w:drawing>
                <wp:inline distT="0" distB="0" distL="0" distR="0" wp14:anchorId="73481BB5" wp14:editId="544BE45C">
                  <wp:extent cx="3753134" cy="3208511"/>
                  <wp:effectExtent l="0" t="0" r="0" b="0"/>
                  <wp:docPr id="571552388" name="Picture 57155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6465" cy="3237005"/>
                          </a:xfrm>
                          <a:prstGeom prst="rect">
                            <a:avLst/>
                          </a:prstGeom>
                          <a:noFill/>
                        </pic:spPr>
                      </pic:pic>
                    </a:graphicData>
                  </a:graphic>
                </wp:inline>
              </w:drawing>
            </w:r>
          </w:p>
        </w:tc>
      </w:tr>
      <w:tr w:rsidR="0081685C" w:rsidRPr="00211BAA" w14:paraId="3B34CA77" w14:textId="77777777">
        <w:tc>
          <w:tcPr>
            <w:tcW w:w="8222" w:type="dxa"/>
          </w:tcPr>
          <w:p w14:paraId="11196E8C" w14:textId="77777777" w:rsidR="001B1F47" w:rsidRPr="00211BAA" w:rsidRDefault="001B1F47" w:rsidP="000C4892">
            <w:pPr>
              <w:pStyle w:val="ChartSource"/>
              <w:rPr>
                <w:color w:val="auto"/>
              </w:rPr>
            </w:pPr>
            <w:r w:rsidRPr="00211BAA">
              <w:rPr>
                <w:color w:val="auto"/>
              </w:rPr>
              <w:t>Note: Destination zone productivity levels are Treasury estimates.</w:t>
            </w:r>
          </w:p>
          <w:p w14:paraId="17B2A370" w14:textId="303193A2" w:rsidR="001B1F47" w:rsidRPr="00211BAA" w:rsidRDefault="001B1F47" w:rsidP="000C4892">
            <w:pPr>
              <w:pStyle w:val="ChartSource"/>
              <w:rPr>
                <w:color w:val="auto"/>
              </w:rPr>
            </w:pPr>
            <w:r w:rsidRPr="00211BAA">
              <w:rPr>
                <w:color w:val="auto"/>
              </w:rPr>
              <w:t>Source: Treasury microdata analysis using ABS System of National Accounts 2021</w:t>
            </w:r>
            <w:r w:rsidR="00202AEF" w:rsidRPr="00211BAA">
              <w:rPr>
                <w:color w:val="auto"/>
              </w:rPr>
              <w:t>–</w:t>
            </w:r>
            <w:r w:rsidRPr="00211BAA">
              <w:rPr>
                <w:color w:val="auto"/>
              </w:rPr>
              <w:t>22, ABS Labour Account 2021</w:t>
            </w:r>
            <w:r w:rsidR="00202AEF" w:rsidRPr="00211BAA">
              <w:rPr>
                <w:color w:val="auto"/>
              </w:rPr>
              <w:t>–</w:t>
            </w:r>
            <w:r w:rsidRPr="00211BAA">
              <w:rPr>
                <w:color w:val="auto"/>
              </w:rPr>
              <w:t>22 and Census 2021 (accessed through TableBuilder).</w:t>
            </w:r>
          </w:p>
        </w:tc>
      </w:tr>
    </w:tbl>
    <w:p w14:paraId="16F6D24A" w14:textId="6B4C7C47" w:rsidR="0000583A" w:rsidRPr="00211BAA" w:rsidRDefault="0000583A"/>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81685C" w:rsidRPr="00211BAA" w14:paraId="166C064B" w14:textId="77777777">
        <w:tc>
          <w:tcPr>
            <w:tcW w:w="8222" w:type="dxa"/>
          </w:tcPr>
          <w:p w14:paraId="7C09937C" w14:textId="1ED8628D" w:rsidR="00CD7203" w:rsidRPr="00211BAA" w:rsidRDefault="007454F2">
            <w:pPr>
              <w:pStyle w:val="ChartTitle"/>
            </w:pPr>
            <w:r w:rsidRPr="00211BAA">
              <w:t>Chart</w:t>
            </w:r>
            <w:r w:rsidR="00CD7203" w:rsidRPr="00211BAA">
              <w:t xml:space="preserve"> </w:t>
            </w:r>
            <w:r w:rsidR="00925DC5" w:rsidRPr="00211BAA">
              <w:t>8</w:t>
            </w:r>
            <w:r w:rsidR="00CD7203" w:rsidRPr="00211BAA">
              <w:t>: Productivity distribution by distance from CBDs</w:t>
            </w:r>
            <w:r w:rsidR="00BE6B45" w:rsidRPr="00211BAA">
              <w:br/>
              <w:t>(Average wages in dollars per hour)</w:t>
            </w:r>
          </w:p>
        </w:tc>
      </w:tr>
      <w:tr w:rsidR="0081685C" w:rsidRPr="00211BAA" w14:paraId="56772858" w14:textId="77777777">
        <w:tc>
          <w:tcPr>
            <w:tcW w:w="8222" w:type="dxa"/>
          </w:tcPr>
          <w:p w14:paraId="493A23AB" w14:textId="77777777" w:rsidR="00CD7203" w:rsidRPr="00211BAA" w:rsidRDefault="00CD7203">
            <w:r w:rsidRPr="00211BAA">
              <w:rPr>
                <w:noProof/>
              </w:rPr>
              <w:drawing>
                <wp:inline distT="0" distB="0" distL="0" distR="0" wp14:anchorId="28ECE282" wp14:editId="22BA5E82">
                  <wp:extent cx="5067300" cy="2057400"/>
                  <wp:effectExtent l="0" t="0" r="0" b="0"/>
                  <wp:docPr id="2123550693" name="Picture 2123550693"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of different sizes and color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7300" cy="2057400"/>
                          </a:xfrm>
                          <a:prstGeom prst="rect">
                            <a:avLst/>
                          </a:prstGeom>
                          <a:noFill/>
                          <a:ln>
                            <a:noFill/>
                          </a:ln>
                        </pic:spPr>
                      </pic:pic>
                    </a:graphicData>
                  </a:graphic>
                </wp:inline>
              </w:drawing>
            </w:r>
          </w:p>
        </w:tc>
      </w:tr>
      <w:tr w:rsidR="0081685C" w:rsidRPr="00211BAA" w14:paraId="0C3B5917" w14:textId="77777777">
        <w:tc>
          <w:tcPr>
            <w:tcW w:w="8222" w:type="dxa"/>
          </w:tcPr>
          <w:p w14:paraId="34538DEA" w14:textId="5965F620" w:rsidR="00CD7203" w:rsidRPr="00211BAA" w:rsidRDefault="00CD7203" w:rsidP="000C4892">
            <w:pPr>
              <w:pStyle w:val="ChartSource"/>
              <w:rPr>
                <w:color w:val="auto"/>
              </w:rPr>
            </w:pPr>
            <w:r w:rsidRPr="00211BAA">
              <w:rPr>
                <w:color w:val="auto"/>
              </w:rPr>
              <w:t xml:space="preserve">Note: Distance from CBD is based on straight line distances from destination zones to CBD midpoint coordinates. Each distance bin represents average productivity </w:t>
            </w:r>
            <w:r w:rsidR="00704292" w:rsidRPr="00211BAA">
              <w:rPr>
                <w:color w:val="auto"/>
              </w:rPr>
              <w:t>measured by wages in dollars per hour</w:t>
            </w:r>
            <w:r w:rsidRPr="00211BAA">
              <w:rPr>
                <w:color w:val="auto"/>
              </w:rPr>
              <w:t>.</w:t>
            </w:r>
          </w:p>
          <w:p w14:paraId="04780A9A" w14:textId="5D58AC28" w:rsidR="00CD7203" w:rsidRPr="00211BAA" w:rsidRDefault="00CD7203" w:rsidP="000C4892">
            <w:pPr>
              <w:pStyle w:val="ChartSource"/>
              <w:rPr>
                <w:color w:val="auto"/>
              </w:rPr>
            </w:pPr>
            <w:r w:rsidRPr="00211BAA">
              <w:rPr>
                <w:color w:val="auto"/>
              </w:rPr>
              <w:t>Source: Treasury microdata analysis using ABS System of National Accounts 2021</w:t>
            </w:r>
            <w:r w:rsidR="00202AEF" w:rsidRPr="00211BAA">
              <w:rPr>
                <w:color w:val="auto"/>
              </w:rPr>
              <w:t>–</w:t>
            </w:r>
            <w:r w:rsidRPr="00211BAA">
              <w:rPr>
                <w:color w:val="auto"/>
              </w:rPr>
              <w:t>22, ABS Labour Account 2021</w:t>
            </w:r>
            <w:r w:rsidR="00202AEF" w:rsidRPr="00211BAA">
              <w:rPr>
                <w:color w:val="auto"/>
              </w:rPr>
              <w:t>–</w:t>
            </w:r>
            <w:r w:rsidRPr="00211BAA">
              <w:rPr>
                <w:color w:val="auto"/>
              </w:rPr>
              <w:t>22 and Census 2021 (accessed through TableBuilder).</w:t>
            </w:r>
          </w:p>
        </w:tc>
      </w:tr>
    </w:tbl>
    <w:p w14:paraId="31B5CEAC" w14:textId="77777777" w:rsidR="00925DC5" w:rsidRPr="00211BAA" w:rsidRDefault="00925DC5" w:rsidP="00925DC5">
      <w:pPr>
        <w:pStyle w:val="NumberedParagraph"/>
      </w:pPr>
      <w:r w:rsidRPr="00211BAA">
        <w:lastRenderedPageBreak/>
        <w:t xml:space="preserve">Major CBDs are among the most productive areas in Australia’s economy. The four largest CBDs (defined as within a 2km radius from the CBD centre) Sydney, Melbourne, Brisbane and Perth account for 16.3 per cent of Australia’s output, and average productivity within these CBDs is 18.5 per cent higher, on average, than other areas (Chart 8). </w:t>
      </w:r>
    </w:p>
    <w:p w14:paraId="782ECB78" w14:textId="64A7887E" w:rsidR="00166EEF" w:rsidRPr="00211BAA" w:rsidRDefault="00166EEF" w:rsidP="00166EEF">
      <w:pPr>
        <w:pStyle w:val="NumberedParagraph"/>
      </w:pPr>
      <w:r w:rsidRPr="00211BAA">
        <w:t>Australia is a highly urbanised society. In 2023–24, the population of Australia’s capital cities was 18.4 million, representing 68 per cent of the total population. The population in the rest</w:t>
      </w:r>
      <w:r w:rsidRPr="00211BAA">
        <w:noBreakHyphen/>
        <w:t>of</w:t>
      </w:r>
      <w:r w:rsidRPr="00211BAA">
        <w:noBreakHyphen/>
        <w:t xml:space="preserve">state areas was 8.8 million. The rest-of-state population share, compared to the respective capital cities in that state, is declining in all states except Queensland. </w:t>
      </w:r>
    </w:p>
    <w:p w14:paraId="3640AC7C" w14:textId="77777777" w:rsidR="00166EEF" w:rsidRPr="00211BAA" w:rsidRDefault="00166EEF" w:rsidP="00166EEF">
      <w:pPr>
        <w:pStyle w:val="NumberedParagraph"/>
      </w:pPr>
      <w:r w:rsidRPr="00211BAA">
        <w:t xml:space="preserve">This urbanisation trend is expected to continue over the long term. Treasury’s Centre for Population projects capital cities to grow nearly twice as fast as the rest-of-state areas over 2023–24 to 2035–36, with average annual growth of 1.4 per cent in capital cities compared to 0.8 per cent in rest-of-state regions. Factors such as rising congestion, housing affordability pressures and infrastructure constraints could limit productivity gains from additional agglomeration (NSW Productivity Commission, 2021; Infrastructure Australia, 2010). </w:t>
      </w:r>
    </w:p>
    <w:p w14:paraId="6539897E" w14:textId="643F1283" w:rsidR="004C7F22" w:rsidRPr="00211BAA" w:rsidRDefault="004C7F22" w:rsidP="004C7F22">
      <w:pPr>
        <w:pStyle w:val="Heading2"/>
        <w:rPr>
          <w:color w:val="auto"/>
        </w:rPr>
      </w:pPr>
      <w:bookmarkStart w:id="35" w:name="_Toc224893987"/>
      <w:r w:rsidRPr="00211BAA">
        <w:rPr>
          <w:color w:val="auto"/>
        </w:rPr>
        <w:t>Regional Areas</w:t>
      </w:r>
      <w:bookmarkEnd w:id="35"/>
    </w:p>
    <w:p w14:paraId="2CEB271F" w14:textId="1BB71E2C" w:rsidR="006A1339" w:rsidRPr="00211BAA" w:rsidRDefault="00FB5097" w:rsidP="00A817A6">
      <w:pPr>
        <w:pStyle w:val="NumberedParagraph"/>
      </w:pPr>
      <w:r w:rsidRPr="00211BAA">
        <w:t xml:space="preserve">As noted </w:t>
      </w:r>
      <w:r w:rsidR="00792F07" w:rsidRPr="00211BAA">
        <w:t xml:space="preserve">in section 5, </w:t>
      </w:r>
      <w:r w:rsidRPr="00211BAA">
        <w:t>Australia operates relatively close to the global productivity frontier in industries aligned with its comparative advantages. Productivity levels in mining and agriculture are high by international standards</w:t>
      </w:r>
      <w:r w:rsidR="00095BD9" w:rsidRPr="00211BAA">
        <w:t>.</w:t>
      </w:r>
      <w:bookmarkStart w:id="36" w:name="_Ref221718682"/>
    </w:p>
    <w:p w14:paraId="025C8DD6" w14:textId="45CB4706" w:rsidR="006A1339" w:rsidRPr="00211BAA" w:rsidRDefault="004C7F22" w:rsidP="00A817A6">
      <w:pPr>
        <w:pStyle w:val="NumberedParagraph"/>
      </w:pPr>
      <w:r w:rsidRPr="00211BAA">
        <w:t>Australia’s leading mining companies are at, or very close to, the global productivity frontier in their industries</w:t>
      </w:r>
      <w:r w:rsidR="002E588F" w:rsidRPr="00211BAA">
        <w:t xml:space="preserve"> (Andrews et al., 2022)</w:t>
      </w:r>
      <w:r w:rsidRPr="00211BAA">
        <w:t xml:space="preserve">. In addition, the mining industry’s productivity levels are significantly higher compared to other Australian industries. This is represented by the mining </w:t>
      </w:r>
      <w:r w:rsidR="009E4353" w:rsidRPr="00211BAA">
        <w:t xml:space="preserve">industry’s </w:t>
      </w:r>
      <w:r w:rsidRPr="00211BAA">
        <w:t>productivity (GVA per hour worked) which is significantly higher than other industries, despite declines in within-industry mining productivity growth in recent years.</w:t>
      </w:r>
      <w:bookmarkEnd w:id="36"/>
      <w:r w:rsidRPr="00211BAA">
        <w:t xml:space="preserve"> </w:t>
      </w:r>
      <w:bookmarkStart w:id="37" w:name="_Ref222243265"/>
    </w:p>
    <w:p w14:paraId="2C1CA9C5" w14:textId="646734EA" w:rsidR="006A1339" w:rsidRPr="00211BAA" w:rsidRDefault="004D0EA6" w:rsidP="00A817A6">
      <w:pPr>
        <w:pStyle w:val="NumberedParagraph"/>
      </w:pPr>
      <w:r w:rsidRPr="00211BAA">
        <w:t>Australia has highly competitive farm businesses and one of the lowest levels of farm subsidies in the OECD (ABARES, 2024). From 1977</w:t>
      </w:r>
      <w:r w:rsidR="00202AEF" w:rsidRPr="00211BAA">
        <w:t>–</w:t>
      </w:r>
      <w:r w:rsidRPr="00211BAA">
        <w:t>78 to 2023</w:t>
      </w:r>
      <w:r w:rsidR="00202AEF" w:rsidRPr="00211BAA">
        <w:t>–</w:t>
      </w:r>
      <w:r w:rsidRPr="00211BAA">
        <w:t>24, annual productivity growth averaged 1.0 per cent for broadacre industries, 1.2 per cent for dairy, 0.6 per cent for beef and 0.5</w:t>
      </w:r>
      <w:r w:rsidR="007258E2" w:rsidRPr="00211BAA">
        <w:t> </w:t>
      </w:r>
      <w:r w:rsidRPr="00211BAA">
        <w:t>per</w:t>
      </w:r>
      <w:r w:rsidR="007258E2" w:rsidRPr="00211BAA">
        <w:t> </w:t>
      </w:r>
      <w:r w:rsidRPr="00211BAA">
        <w:t>cent for sheep (ABARES, 2025). Year-to-year productivity outcomes in agriculture are influenced by weather, the effect of which is captured in MFP statistics (ABS, 2023).</w:t>
      </w:r>
      <w:bookmarkEnd w:id="37"/>
    </w:p>
    <w:p w14:paraId="08111D0C" w14:textId="6D35900D" w:rsidR="00742C29" w:rsidRPr="00211BAA" w:rsidRDefault="00742C29" w:rsidP="00A817A6">
      <w:pPr>
        <w:pStyle w:val="NumberedParagraph"/>
      </w:pPr>
      <w:r w:rsidRPr="00211BAA">
        <w:t>Australia’s comparative advantage in low-cost renewable energy and critical mineral resources also presents longer-term opportunities to lift productivity. The combination of abundant solar and wind resources, land availability, and access to key inputs for clean-energy technologies positions Australia to develop globally competitive industries in renewable energy (Garnaut,</w:t>
      </w:r>
      <w:r w:rsidR="007258E2" w:rsidRPr="00211BAA">
        <w:t> </w:t>
      </w:r>
      <w:r w:rsidRPr="00211BAA">
        <w:t>2022). However, realising these opportunities will depend on complementary investment in infrastructure, skills and regulatory frameworks that support efficient project development and integration with global markets.</w:t>
      </w:r>
    </w:p>
    <w:p w14:paraId="70B4CE54" w14:textId="39A3B61E" w:rsidR="00E11626" w:rsidRPr="00211BAA" w:rsidRDefault="00296C61" w:rsidP="00A817A6">
      <w:pPr>
        <w:pStyle w:val="NumberedParagraph"/>
      </w:pPr>
      <w:r w:rsidRPr="00211BAA">
        <w:t>Despite these advantages, r</w:t>
      </w:r>
      <w:r w:rsidR="00E11626" w:rsidRPr="00211BAA">
        <w:t xml:space="preserve">egional areas </w:t>
      </w:r>
      <w:r w:rsidRPr="00211BAA">
        <w:t xml:space="preserve">also face challenges. These include </w:t>
      </w:r>
      <w:r w:rsidR="00E11626" w:rsidRPr="00211BAA">
        <w:t xml:space="preserve">constraints on technology adoption and firm scaling, </w:t>
      </w:r>
      <w:r w:rsidR="00823365" w:rsidRPr="00211BAA">
        <w:t xml:space="preserve">due to </w:t>
      </w:r>
      <w:r w:rsidR="001F3378" w:rsidRPr="00211BAA">
        <w:t xml:space="preserve">the smaller </w:t>
      </w:r>
      <w:r w:rsidR="00823365" w:rsidRPr="00211BAA">
        <w:t xml:space="preserve">size of </w:t>
      </w:r>
      <w:r w:rsidR="001F3378" w:rsidRPr="00211BAA">
        <w:t xml:space="preserve">agglomerations </w:t>
      </w:r>
      <w:r w:rsidR="00823365" w:rsidRPr="00211BAA">
        <w:t xml:space="preserve">outside the </w:t>
      </w:r>
      <w:r w:rsidR="005A3107" w:rsidRPr="00211BAA">
        <w:t xml:space="preserve">major cities. </w:t>
      </w:r>
      <w:r w:rsidR="0019098E" w:rsidRPr="00211BAA">
        <w:t xml:space="preserve">They also include </w:t>
      </w:r>
      <w:r w:rsidR="00E11626" w:rsidRPr="00211BAA">
        <w:t xml:space="preserve">spatial frictions </w:t>
      </w:r>
      <w:r w:rsidR="0019098E" w:rsidRPr="00211BAA">
        <w:t xml:space="preserve">that </w:t>
      </w:r>
      <w:r w:rsidR="008E4592" w:rsidRPr="00211BAA">
        <w:t xml:space="preserve">constrain </w:t>
      </w:r>
      <w:r w:rsidR="0019098E" w:rsidRPr="00211BAA">
        <w:t>production efficiencies</w:t>
      </w:r>
      <w:r w:rsidR="008E4592" w:rsidRPr="00211BAA">
        <w:t xml:space="preserve"> in some industries</w:t>
      </w:r>
      <w:r w:rsidR="00E11626" w:rsidRPr="00211BAA">
        <w:t xml:space="preserve">. </w:t>
      </w:r>
    </w:p>
    <w:p w14:paraId="55996C5B" w14:textId="77777777" w:rsidR="00925DC5" w:rsidRPr="00211BAA" w:rsidRDefault="00925DC5">
      <w:pPr>
        <w:spacing w:before="0" w:after="0"/>
        <w:rPr>
          <w:rFonts w:ascii="Calibri" w:hAnsi="Calibri" w:cs="Arial"/>
          <w:b/>
          <w:kern w:val="32"/>
          <w:sz w:val="36"/>
          <w:szCs w:val="28"/>
        </w:rPr>
      </w:pPr>
      <w:r w:rsidRPr="00211BAA">
        <w:br w:type="page"/>
      </w:r>
    </w:p>
    <w:p w14:paraId="13940DEF" w14:textId="0CCDFE17" w:rsidR="00742C29" w:rsidRPr="00211BAA" w:rsidRDefault="00742C29" w:rsidP="006323CF">
      <w:pPr>
        <w:pStyle w:val="Heading1"/>
        <w:rPr>
          <w:color w:val="auto"/>
        </w:rPr>
      </w:pPr>
      <w:bookmarkStart w:id="38" w:name="_Toc224893988"/>
      <w:r w:rsidRPr="00211BAA">
        <w:rPr>
          <w:color w:val="auto"/>
        </w:rPr>
        <w:lastRenderedPageBreak/>
        <w:t>A framework for the role of Government</w:t>
      </w:r>
      <w:bookmarkEnd w:id="38"/>
    </w:p>
    <w:p w14:paraId="3063D18B" w14:textId="77777777" w:rsidR="00987E30" w:rsidRPr="00211BAA" w:rsidRDefault="00987E30" w:rsidP="00A817A6">
      <w:pPr>
        <w:pStyle w:val="NumberedParagraph"/>
      </w:pPr>
      <w:r w:rsidRPr="00211BAA">
        <w:t>The terms of reference for this inquiry include the role of states and territories in driving productivity growth, the impact of regulatory and tax burdens on productivity, and priority opportunities for productivity growth across the market and non-market sectors. This section discusses economic frameworks for each of these issues.</w:t>
      </w:r>
    </w:p>
    <w:p w14:paraId="0FF39B77" w14:textId="6C7C61AF" w:rsidR="00742C29" w:rsidRPr="00211BAA" w:rsidRDefault="00742C29" w:rsidP="00A817A6">
      <w:pPr>
        <w:pStyle w:val="NumberedParagraph"/>
      </w:pPr>
      <w:r w:rsidRPr="00211BAA">
        <w:t xml:space="preserve">Governments play an important role in shaping the economic environment in which productivity growth occurs. </w:t>
      </w:r>
      <w:r w:rsidR="006722B7" w:rsidRPr="00211BAA">
        <w:t>T</w:t>
      </w:r>
      <w:r w:rsidRPr="00211BAA">
        <w:t xml:space="preserve">he role of government in supporting productivity can be broadly classified into three areas: </w:t>
      </w:r>
    </w:p>
    <w:p w14:paraId="0F9FE592" w14:textId="7A761D1C" w:rsidR="00742C29" w:rsidRPr="00211BAA" w:rsidRDefault="00742C29" w:rsidP="00A817A6">
      <w:pPr>
        <w:pStyle w:val="Bulletparagraph"/>
      </w:pPr>
      <w:r w:rsidRPr="00211BAA">
        <w:t xml:space="preserve">promoting macroeconomic stability, </w:t>
      </w:r>
    </w:p>
    <w:p w14:paraId="0436D481" w14:textId="2047B169" w:rsidR="00742C29" w:rsidRPr="00211BAA" w:rsidRDefault="00742C29" w:rsidP="00A817A6">
      <w:pPr>
        <w:pStyle w:val="Bulletparagraph"/>
      </w:pPr>
      <w:r w:rsidRPr="00211BAA">
        <w:t xml:space="preserve">providing appropriate microeconomic and institutional frameworks, and </w:t>
      </w:r>
    </w:p>
    <w:p w14:paraId="468310C2" w14:textId="796DD4E5" w:rsidR="00742C29" w:rsidRPr="00211BAA" w:rsidRDefault="00742C29" w:rsidP="00A817A6">
      <w:pPr>
        <w:pStyle w:val="Bulletparagraph"/>
      </w:pPr>
      <w:r w:rsidRPr="00211BAA">
        <w:t xml:space="preserve">undertaking direct public investment where it is warranted. </w:t>
      </w:r>
    </w:p>
    <w:p w14:paraId="44F8DFBB" w14:textId="77777777" w:rsidR="00742C29" w:rsidRPr="00211BAA" w:rsidRDefault="00742C29" w:rsidP="003618DB">
      <w:pPr>
        <w:pStyle w:val="Heading2"/>
        <w:rPr>
          <w:color w:val="auto"/>
        </w:rPr>
      </w:pPr>
      <w:bookmarkStart w:id="39" w:name="_Toc224893989"/>
      <w:r w:rsidRPr="00211BAA">
        <w:rPr>
          <w:color w:val="auto"/>
        </w:rPr>
        <w:t>Promoting macroeconomic stability</w:t>
      </w:r>
      <w:bookmarkEnd w:id="39"/>
    </w:p>
    <w:p w14:paraId="1AABED44" w14:textId="00F4F664" w:rsidR="00742C29" w:rsidRPr="00211BAA" w:rsidRDefault="00742C29" w:rsidP="00A817A6">
      <w:pPr>
        <w:pStyle w:val="NumberedParagraph"/>
      </w:pPr>
      <w:r w:rsidRPr="00211BAA">
        <w:t xml:space="preserve">At a broad level, macroeconomic stability </w:t>
      </w:r>
      <w:r w:rsidR="006722B7" w:rsidRPr="00211BAA">
        <w:t xml:space="preserve">is </w:t>
      </w:r>
      <w:r w:rsidRPr="00211BAA">
        <w:t xml:space="preserve">a precondition for productivity growth. Stable economic conditions support investment, innovation and workforce participation by providing households and businesses with greater certainty. Sound macroeconomic management enhances the effectiveness of price signals, enabling firms to make better long-term decisions about capital, technology and skills, and supporting efficient resource allocation across the economy. </w:t>
      </w:r>
    </w:p>
    <w:p w14:paraId="50BA057F" w14:textId="77777777" w:rsidR="00742C29" w:rsidRPr="00211BAA" w:rsidRDefault="00742C29" w:rsidP="003618DB">
      <w:pPr>
        <w:pStyle w:val="Heading2"/>
        <w:rPr>
          <w:color w:val="auto"/>
        </w:rPr>
      </w:pPr>
      <w:bookmarkStart w:id="40" w:name="_Toc224893990"/>
      <w:r w:rsidRPr="00211BAA">
        <w:rPr>
          <w:color w:val="auto"/>
        </w:rPr>
        <w:t>Providing appropriate microeconomic and institutional frameworks</w:t>
      </w:r>
      <w:bookmarkEnd w:id="40"/>
      <w:r w:rsidRPr="00211BAA">
        <w:rPr>
          <w:color w:val="auto"/>
        </w:rPr>
        <w:t xml:space="preserve"> </w:t>
      </w:r>
    </w:p>
    <w:p w14:paraId="0B71B108" w14:textId="77777777" w:rsidR="00742C29" w:rsidRPr="00211BAA" w:rsidRDefault="00742C29" w:rsidP="00A817A6">
      <w:pPr>
        <w:pStyle w:val="NumberedParagraph"/>
      </w:pPr>
      <w:r w:rsidRPr="00211BAA">
        <w:t xml:space="preserve">Well-functioning markets, characterised by competition, openness and flexibility, create incentives for firms to improve efficiency, adopt new technologies and innovate. </w:t>
      </w:r>
    </w:p>
    <w:p w14:paraId="23A135DB" w14:textId="77777777" w:rsidR="00742C29" w:rsidRPr="00211BAA" w:rsidRDefault="00742C29" w:rsidP="007B165E">
      <w:pPr>
        <w:pStyle w:val="Heading3"/>
        <w:rPr>
          <w:color w:val="auto"/>
        </w:rPr>
      </w:pPr>
      <w:bookmarkStart w:id="41" w:name="_Toc224893991"/>
      <w:r w:rsidRPr="00211BAA">
        <w:rPr>
          <w:color w:val="auto"/>
        </w:rPr>
        <w:t>The role of regulation</w:t>
      </w:r>
      <w:bookmarkEnd w:id="41"/>
    </w:p>
    <w:p w14:paraId="7A9BE401" w14:textId="6B874236" w:rsidR="00742C29" w:rsidRPr="00211BAA" w:rsidRDefault="00742C29" w:rsidP="00A817A6">
      <w:pPr>
        <w:pStyle w:val="NumberedParagraph"/>
      </w:pPr>
      <w:r w:rsidRPr="00211BAA">
        <w:t xml:space="preserve">Government regulation exists to manage risks that markets on their own tend to underprice or ignore, such as harm to consumers, the environment, or economic stability. </w:t>
      </w:r>
      <w:r w:rsidR="00D709F8" w:rsidRPr="00211BAA">
        <w:t>Many</w:t>
      </w:r>
      <w:r w:rsidRPr="00211BAA">
        <w:t xml:space="preserve"> regulation</w:t>
      </w:r>
      <w:r w:rsidR="00D709F8" w:rsidRPr="00211BAA">
        <w:t>s</w:t>
      </w:r>
      <w:r w:rsidRPr="00211BAA">
        <w:t xml:space="preserve"> </w:t>
      </w:r>
      <w:r w:rsidR="00D709F8" w:rsidRPr="00211BAA">
        <w:t>aim to</w:t>
      </w:r>
      <w:r w:rsidRPr="00211BAA">
        <w:t xml:space="preserve"> prevent these harms. When </w:t>
      </w:r>
      <w:r w:rsidR="00684595" w:rsidRPr="00211BAA">
        <w:t>they</w:t>
      </w:r>
      <w:r w:rsidRPr="00211BAA">
        <w:t xml:space="preserve"> succeed, the result is often something avoided, rather than something tangibly achieved, which makes the benefits of good regulation hard to quantify. </w:t>
      </w:r>
      <w:r w:rsidR="00A54E27" w:rsidRPr="00211BAA">
        <w:t>G</w:t>
      </w:r>
      <w:r w:rsidRPr="00211BAA">
        <w:t>ood regulation must carefully balance expected benefits against compliance costs, since both over- and under-regulation can reduce overall welfare.</w:t>
      </w:r>
    </w:p>
    <w:p w14:paraId="5714235B" w14:textId="77777777" w:rsidR="00742C29" w:rsidRPr="00211BAA" w:rsidRDefault="00742C29" w:rsidP="00A817A6">
      <w:pPr>
        <w:pStyle w:val="NumberedParagraph"/>
      </w:pPr>
      <w:r w:rsidRPr="00211BAA">
        <w:t>Optimising regulations that may serve as barriers to investment, innovation, dynamism and competition can support productivity by allowing labour and capital to move toward higher value activities. Conversely, poorly designed regulation can impede adjustment and lock resources into less productive uses, highlighting the importance of regulatory quality and stewardship.</w:t>
      </w:r>
    </w:p>
    <w:p w14:paraId="3A9D32A0" w14:textId="77777777" w:rsidR="00742C29" w:rsidRPr="00211BAA" w:rsidRDefault="00742C29" w:rsidP="007B165E">
      <w:pPr>
        <w:pStyle w:val="Heading3"/>
        <w:rPr>
          <w:color w:val="auto"/>
        </w:rPr>
      </w:pPr>
      <w:bookmarkStart w:id="42" w:name="_Toc224893992"/>
      <w:r w:rsidRPr="00211BAA">
        <w:rPr>
          <w:color w:val="auto"/>
        </w:rPr>
        <w:t>The tax framework</w:t>
      </w:r>
      <w:bookmarkEnd w:id="42"/>
    </w:p>
    <w:p w14:paraId="2A457F10" w14:textId="589FC4CB" w:rsidR="001C049C" w:rsidRPr="00211BAA" w:rsidRDefault="00742C29" w:rsidP="00A817A6">
      <w:pPr>
        <w:pStyle w:val="NumberedParagraph"/>
      </w:pPr>
      <w:r w:rsidRPr="00211BAA">
        <w:t xml:space="preserve">Tax systems can improve long-term productivity growth and welfare. </w:t>
      </w:r>
      <w:r w:rsidR="001C049C" w:rsidRPr="00211BAA">
        <w:t>This can involve complex trade-offs.</w:t>
      </w:r>
    </w:p>
    <w:p w14:paraId="4E801251" w14:textId="2016EB16" w:rsidR="00742C29" w:rsidRPr="00211BAA" w:rsidRDefault="00320B42" w:rsidP="00A817A6">
      <w:pPr>
        <w:pStyle w:val="NumberedParagraph"/>
      </w:pPr>
      <w:r w:rsidRPr="00211BAA">
        <w:t xml:space="preserve">Taxation enables Governments to invest in goods and services, such as education and infrastructure, that play a key role in enabling productivity growth. </w:t>
      </w:r>
      <w:r w:rsidR="00742C29" w:rsidRPr="00211BAA">
        <w:t xml:space="preserve">The design of the tax system can </w:t>
      </w:r>
      <w:r w:rsidRPr="00211BAA">
        <w:t xml:space="preserve">also </w:t>
      </w:r>
      <w:r w:rsidR="00742C29" w:rsidRPr="00211BAA">
        <w:t xml:space="preserve">help address market failures by incentivising activities with positive spillovers such as </w:t>
      </w:r>
      <w:r w:rsidR="00546020" w:rsidRPr="00211BAA">
        <w:lastRenderedPageBreak/>
        <w:t>research and development</w:t>
      </w:r>
      <w:r w:rsidR="00742C29" w:rsidRPr="00211BAA">
        <w:t>, the accumulation of education and skills, and discouraging activities with negative externalities.</w:t>
      </w:r>
      <w:r w:rsidR="00EB3865" w:rsidRPr="00211BAA">
        <w:t xml:space="preserve"> </w:t>
      </w:r>
    </w:p>
    <w:p w14:paraId="31753715" w14:textId="66D6FDD4" w:rsidR="00742C29" w:rsidRPr="00211BAA" w:rsidRDefault="00742C29" w:rsidP="00A817A6">
      <w:pPr>
        <w:pStyle w:val="NumberedParagraph"/>
      </w:pPr>
      <w:r w:rsidRPr="00211BAA">
        <w:t xml:space="preserve">Taxes </w:t>
      </w:r>
      <w:r w:rsidR="00A1756C" w:rsidRPr="00211BAA">
        <w:t xml:space="preserve">also </w:t>
      </w:r>
      <w:r w:rsidRPr="00211BAA">
        <w:t xml:space="preserve">change the relative prices of factors of production, such as labour and capital, and the prices of the final goods and services. This changes the decision making of households, firms and investors from what it would have been without the tax, potentially leading to misallocation of resources in the economy. </w:t>
      </w:r>
    </w:p>
    <w:p w14:paraId="78CEED94" w14:textId="52F7E676" w:rsidR="00742C29" w:rsidRPr="00211BAA" w:rsidRDefault="00742C29" w:rsidP="00A817A6">
      <w:pPr>
        <w:pStyle w:val="NumberedParagraph"/>
      </w:pPr>
      <w:r w:rsidRPr="00211BAA">
        <w:t xml:space="preserve">In general, </w:t>
      </w:r>
      <w:r w:rsidR="00DC3EF2" w:rsidRPr="00211BAA">
        <w:t>taxes</w:t>
      </w:r>
      <w:r w:rsidRPr="00211BAA">
        <w:t xml:space="preserve"> levied at high rate</w:t>
      </w:r>
      <w:r w:rsidR="00F34E09" w:rsidRPr="00211BAA">
        <w:t>s</w:t>
      </w:r>
      <w:r w:rsidR="000A7538" w:rsidRPr="00211BAA">
        <w:t xml:space="preserve">, </w:t>
      </w:r>
      <w:r w:rsidR="00DC3EF2" w:rsidRPr="00211BAA">
        <w:t xml:space="preserve">on </w:t>
      </w:r>
      <w:r w:rsidRPr="00211BAA">
        <w:t>narrow base</w:t>
      </w:r>
      <w:r w:rsidR="00F34E09" w:rsidRPr="00211BAA">
        <w:t>s</w:t>
      </w:r>
      <w:r w:rsidR="00F56A99" w:rsidRPr="00211BAA">
        <w:t>,</w:t>
      </w:r>
      <w:r w:rsidR="00F34E09" w:rsidRPr="00211BAA">
        <w:t xml:space="preserve"> or</w:t>
      </w:r>
      <w:r w:rsidRPr="00211BAA">
        <w:t xml:space="preserve"> </w:t>
      </w:r>
      <w:r w:rsidR="000A7538" w:rsidRPr="00211BAA">
        <w:t>in ways where</w:t>
      </w:r>
      <w:r w:rsidRPr="00211BAA">
        <w:t xml:space="preserve"> it is easier for a person or entity to reduce tax by changing behaviour, </w:t>
      </w:r>
      <w:r w:rsidR="000A7538" w:rsidRPr="00211BAA">
        <w:t xml:space="preserve">have </w:t>
      </w:r>
      <w:r w:rsidRPr="00211BAA">
        <w:t>higher economic cost</w:t>
      </w:r>
      <w:r w:rsidR="000A7538" w:rsidRPr="00211BAA">
        <w:t>s</w:t>
      </w:r>
      <w:r w:rsidRPr="00211BAA">
        <w:t xml:space="preserve">. </w:t>
      </w:r>
      <w:r w:rsidR="00AD2C31" w:rsidRPr="00211BAA">
        <w:t xml:space="preserve">One of the rationales for broad-based taxes is that </w:t>
      </w:r>
      <w:r w:rsidR="00B34D0A" w:rsidRPr="00211BAA">
        <w:t xml:space="preserve">they are generally </w:t>
      </w:r>
      <w:r w:rsidRPr="00211BAA">
        <w:t xml:space="preserve">less distortionary </w:t>
      </w:r>
      <w:r w:rsidR="00B34D0A" w:rsidRPr="00211BAA">
        <w:t xml:space="preserve">than more </w:t>
      </w:r>
      <w:proofErr w:type="gramStart"/>
      <w:r w:rsidR="00B34D0A" w:rsidRPr="00211BAA">
        <w:t>narrow</w:t>
      </w:r>
      <w:r w:rsidR="006410C7" w:rsidRPr="00211BAA">
        <w:t>ly-based</w:t>
      </w:r>
      <w:proofErr w:type="gramEnd"/>
      <w:r w:rsidR="006410C7" w:rsidRPr="00211BAA">
        <w:t xml:space="preserve"> taxes</w:t>
      </w:r>
      <w:r w:rsidRPr="00211BAA">
        <w:t xml:space="preserve">. </w:t>
      </w:r>
      <w:r w:rsidR="00DD6767" w:rsidRPr="00211BAA">
        <w:t>The raising of</w:t>
      </w:r>
      <w:r w:rsidRPr="00211BAA">
        <w:t xml:space="preserve"> revenue in a less distortionary manner</w:t>
      </w:r>
      <w:r w:rsidR="00DD6767" w:rsidRPr="00211BAA">
        <w:t xml:space="preserve"> limits </w:t>
      </w:r>
      <w:r w:rsidRPr="00211BAA">
        <w:t>the adverse effect of tax settings on economic incentives to investment, participation or allocation of resources.</w:t>
      </w:r>
      <w:r w:rsidR="00872E81" w:rsidRPr="00211BAA">
        <w:t xml:space="preserve"> </w:t>
      </w:r>
    </w:p>
    <w:p w14:paraId="357D3583" w14:textId="77777777" w:rsidR="00742C29" w:rsidRPr="00211BAA" w:rsidRDefault="00742C29" w:rsidP="007B165E">
      <w:pPr>
        <w:pStyle w:val="Heading3"/>
        <w:rPr>
          <w:color w:val="auto"/>
        </w:rPr>
      </w:pPr>
      <w:bookmarkStart w:id="43" w:name="_Toc224893993"/>
      <w:r w:rsidRPr="00211BAA">
        <w:rPr>
          <w:color w:val="auto"/>
        </w:rPr>
        <w:t>Federal considerations</w:t>
      </w:r>
      <w:bookmarkEnd w:id="43"/>
    </w:p>
    <w:p w14:paraId="036A923E" w14:textId="5E33BA85" w:rsidR="00A906A4" w:rsidRPr="00211BAA" w:rsidRDefault="00742C29" w:rsidP="00A817A6">
      <w:pPr>
        <w:pStyle w:val="NumberedParagraph"/>
      </w:pPr>
      <w:bookmarkStart w:id="44" w:name="_Ref221718734"/>
      <w:r w:rsidRPr="00211BAA">
        <w:t>In Australia</w:t>
      </w:r>
      <w:r w:rsidR="004E7B33" w:rsidRPr="00211BAA">
        <w:t>’</w:t>
      </w:r>
      <w:r w:rsidRPr="00211BAA">
        <w:t xml:space="preserve">s federated system, policy levers are often dispersed between levels of government. To achieve </w:t>
      </w:r>
      <w:r w:rsidR="00DF725C" w:rsidRPr="00211BAA">
        <w:t xml:space="preserve">policy </w:t>
      </w:r>
      <w:r w:rsidRPr="00211BAA">
        <w:t xml:space="preserve">objectives </w:t>
      </w:r>
      <w:r w:rsidR="008E7267" w:rsidRPr="00211BAA">
        <w:t>efficiently</w:t>
      </w:r>
      <w:r w:rsidRPr="00211BAA">
        <w:t xml:space="preserve">, governments often need to coordinate. </w:t>
      </w:r>
      <w:r w:rsidR="00DF725C" w:rsidRPr="00211BAA">
        <w:t xml:space="preserve">For example, </w:t>
      </w:r>
      <w:r w:rsidR="00D06A68" w:rsidRPr="00211BAA">
        <w:t xml:space="preserve">intergovernmental agreements are often </w:t>
      </w:r>
      <w:r w:rsidR="005434B5" w:rsidRPr="00211BAA">
        <w:t>used to ensure spending is well-targeted and well</w:t>
      </w:r>
      <w:r w:rsidR="007258E2" w:rsidRPr="00211BAA">
        <w:noBreakHyphen/>
      </w:r>
      <w:r w:rsidR="005434B5" w:rsidRPr="00211BAA">
        <w:t xml:space="preserve">coordinated </w:t>
      </w:r>
      <w:r w:rsidR="0004342B" w:rsidRPr="00211BAA">
        <w:t xml:space="preserve">despite the </w:t>
      </w:r>
      <w:r w:rsidR="00D20EFA" w:rsidRPr="00211BAA">
        <w:t xml:space="preserve">vertical </w:t>
      </w:r>
      <w:r w:rsidRPr="00211BAA">
        <w:t xml:space="preserve">fiscal </w:t>
      </w:r>
      <w:r w:rsidR="00D20EFA" w:rsidRPr="00211BAA">
        <w:t>imbalance</w:t>
      </w:r>
      <w:r w:rsidR="0004342B" w:rsidRPr="00211BAA">
        <w:t>,</w:t>
      </w:r>
      <w:r w:rsidR="00960AD3" w:rsidRPr="00211BAA">
        <w:t xml:space="preserve"> which refers to </w:t>
      </w:r>
      <w:r w:rsidRPr="00211BAA">
        <w:t xml:space="preserve">the </w:t>
      </w:r>
      <w:r w:rsidR="00D20EFA" w:rsidRPr="00211BAA">
        <w:t xml:space="preserve">Commonwealth’s </w:t>
      </w:r>
      <w:r w:rsidRPr="00211BAA">
        <w:t>greater taxation powers and the states</w:t>
      </w:r>
      <w:r w:rsidR="00D20EFA" w:rsidRPr="00211BAA">
        <w:t>’</w:t>
      </w:r>
      <w:r w:rsidRPr="00211BAA">
        <w:t xml:space="preserve"> significant spending responsibilities.</w:t>
      </w:r>
      <w:bookmarkEnd w:id="44"/>
      <w:r w:rsidRPr="00211BAA">
        <w:t xml:space="preserve"> </w:t>
      </w:r>
      <w:r w:rsidR="00BC0C26" w:rsidRPr="00211BAA">
        <w:t>S</w:t>
      </w:r>
      <w:r w:rsidR="00A906A4" w:rsidRPr="00211BAA">
        <w:t xml:space="preserve">tates and territories </w:t>
      </w:r>
      <w:r w:rsidR="00BC0C26" w:rsidRPr="00211BAA">
        <w:t xml:space="preserve">also </w:t>
      </w:r>
      <w:r w:rsidR="00A906A4" w:rsidRPr="00211BAA">
        <w:t xml:space="preserve">have primary responsibility for the delivery of many non-market services, including health care and education, as well as planning and zoning systems that shape housing supply. </w:t>
      </w:r>
      <w:r w:rsidR="004136C3" w:rsidRPr="00211BAA">
        <w:t xml:space="preserve">The Commonwealth </w:t>
      </w:r>
      <w:r w:rsidR="009E4353" w:rsidRPr="00211BAA">
        <w:t xml:space="preserve">also </w:t>
      </w:r>
      <w:r w:rsidR="004136C3" w:rsidRPr="00211BAA">
        <w:t xml:space="preserve">plays a regulatory </w:t>
      </w:r>
      <w:r w:rsidR="00A235B0" w:rsidRPr="00211BAA">
        <w:t xml:space="preserve">and funding </w:t>
      </w:r>
      <w:r w:rsidR="004136C3" w:rsidRPr="00211BAA">
        <w:t xml:space="preserve">role </w:t>
      </w:r>
      <w:r w:rsidR="001F76FB" w:rsidRPr="00211BAA">
        <w:t xml:space="preserve">in </w:t>
      </w:r>
      <w:r w:rsidR="009E4353" w:rsidRPr="00211BAA">
        <w:t>many non-market industries</w:t>
      </w:r>
      <w:r w:rsidR="001F76FB" w:rsidRPr="00211BAA">
        <w:t xml:space="preserve">. </w:t>
      </w:r>
      <w:r w:rsidR="00A906A4" w:rsidRPr="00211BAA">
        <w:t>Effective Commonwealth–state cooperation is therefore essential to improving productivity outcomes</w:t>
      </w:r>
      <w:r w:rsidR="009E4353" w:rsidRPr="00211BAA">
        <w:t>.</w:t>
      </w:r>
    </w:p>
    <w:p w14:paraId="3F8DBCCF" w14:textId="77777777" w:rsidR="00742C29" w:rsidRPr="00211BAA" w:rsidRDefault="00742C29" w:rsidP="003618DB">
      <w:pPr>
        <w:pStyle w:val="Heading2"/>
        <w:rPr>
          <w:color w:val="auto"/>
        </w:rPr>
      </w:pPr>
      <w:bookmarkStart w:id="45" w:name="_Toc224893994"/>
      <w:r w:rsidRPr="00211BAA">
        <w:rPr>
          <w:color w:val="auto"/>
        </w:rPr>
        <w:t>Undertaking direct public investment where it is warranted</w:t>
      </w:r>
      <w:bookmarkEnd w:id="45"/>
      <w:r w:rsidRPr="00211BAA">
        <w:rPr>
          <w:color w:val="auto"/>
        </w:rPr>
        <w:t xml:space="preserve"> </w:t>
      </w:r>
    </w:p>
    <w:p w14:paraId="3B9132FB" w14:textId="64C38AE2" w:rsidR="00742C29" w:rsidRPr="00211BAA" w:rsidRDefault="00742C29" w:rsidP="00A817A6">
      <w:pPr>
        <w:pStyle w:val="NumberedParagraph"/>
      </w:pPr>
      <w:r w:rsidRPr="00211BAA">
        <w:t xml:space="preserve">The role of government is particularly significant where markets alone do not deliver efficient or equitable outcomes. </w:t>
      </w:r>
      <w:r w:rsidR="00191AC2" w:rsidRPr="00211BAA">
        <w:t xml:space="preserve">For </w:t>
      </w:r>
      <w:r w:rsidRPr="00211BAA">
        <w:t>example:</w:t>
      </w:r>
    </w:p>
    <w:p w14:paraId="3F339223" w14:textId="6343C781" w:rsidR="00742C29" w:rsidRPr="00211BAA" w:rsidRDefault="00742C29" w:rsidP="00A817A6">
      <w:pPr>
        <w:pStyle w:val="Bulletparagraph"/>
      </w:pPr>
      <w:r w:rsidRPr="00211BAA">
        <w:t>Health services play a critical role in shaping productivity outcomes, as better population health supports sustained human capital accumulation over the life cycle</w:t>
      </w:r>
      <w:r w:rsidR="004023F5" w:rsidRPr="00211BAA">
        <w:t xml:space="preserve"> and can allow workers to work more productively for longer, should they choose to</w:t>
      </w:r>
      <w:r w:rsidRPr="00211BAA">
        <w:t xml:space="preserve">. Improvements in how health services are designed and delivered can raise productivity by improving outcomes for users and easing long term fiscal pressures. </w:t>
      </w:r>
    </w:p>
    <w:p w14:paraId="387A184A" w14:textId="444D0CEB" w:rsidR="00742C29" w:rsidRPr="00211BAA" w:rsidRDefault="00742C29" w:rsidP="00A817A6">
      <w:pPr>
        <w:pStyle w:val="Bulletparagraph"/>
      </w:pPr>
      <w:r w:rsidRPr="00211BAA">
        <w:t>Individuals may underinvest in education because it generates positive externalities that are not fully captured in private returns. As a result, public investment in education can support a more skilled workforce than would arise if investment decisions were left solely to the market.</w:t>
      </w:r>
    </w:p>
    <w:p w14:paraId="637FD958" w14:textId="70D092E5" w:rsidR="00742C29" w:rsidRPr="00211BAA" w:rsidRDefault="00742C29" w:rsidP="00A817A6">
      <w:pPr>
        <w:pStyle w:val="NumberedParagraph"/>
      </w:pPr>
      <w:r w:rsidRPr="00211BAA">
        <w:t xml:space="preserve">The Government also has an important role at times of major structural change, where the economic incentives in the market are not fully aligned with broader national interest. In these circumstances, direct public investment </w:t>
      </w:r>
      <w:r w:rsidR="00A750B4" w:rsidRPr="00211BAA">
        <w:t>may</w:t>
      </w:r>
      <w:r w:rsidRPr="00211BAA">
        <w:t xml:space="preserve"> be needed to incentivise private investment at scale (Treasury</w:t>
      </w:r>
      <w:r w:rsidR="00307BD0" w:rsidRPr="00211BAA">
        <w:t>,</w:t>
      </w:r>
      <w:r w:rsidRPr="00211BAA">
        <w:t xml:space="preserve"> 2024). Examples include:</w:t>
      </w:r>
    </w:p>
    <w:p w14:paraId="3AC1EC98" w14:textId="70D117D6" w:rsidR="00742C29" w:rsidRPr="00211BAA" w:rsidRDefault="00FF67AD" w:rsidP="00A817A6">
      <w:pPr>
        <w:pStyle w:val="Bulletparagraph"/>
      </w:pPr>
      <w:r w:rsidRPr="00211BAA">
        <w:t xml:space="preserve">Where, in the transition to net zero, </w:t>
      </w:r>
      <w:r w:rsidR="00742C29" w:rsidRPr="00211BAA">
        <w:t>negative externalities from more emissions</w:t>
      </w:r>
      <w:r w:rsidRPr="00211BAA">
        <w:t>-</w:t>
      </w:r>
      <w:r w:rsidR="00742C29" w:rsidRPr="00211BAA">
        <w:t>intensive production methods are not appropriately priced into global markets</w:t>
      </w:r>
      <w:r w:rsidR="003201CD" w:rsidRPr="00211BAA">
        <w:t>,</w:t>
      </w:r>
      <w:r w:rsidRPr="00211BAA">
        <w:t xml:space="preserve"> and c</w:t>
      </w:r>
      <w:r w:rsidR="00742C29" w:rsidRPr="00211BAA">
        <w:t>leaner production methods that present cost</w:t>
      </w:r>
      <w:r w:rsidRPr="00211BAA">
        <w:t>-</w:t>
      </w:r>
      <w:r w:rsidR="00742C29" w:rsidRPr="00211BAA">
        <w:t xml:space="preserve">effective abatement opportunities are not able to compete on a level playing field. </w:t>
      </w:r>
    </w:p>
    <w:p w14:paraId="3C9E6513" w14:textId="0337E33B" w:rsidR="00742C29" w:rsidRPr="00211BAA" w:rsidRDefault="00742C29" w:rsidP="00A817A6">
      <w:pPr>
        <w:pStyle w:val="Bulletparagraph"/>
      </w:pPr>
      <w:r w:rsidRPr="00211BAA">
        <w:lastRenderedPageBreak/>
        <w:t xml:space="preserve">Where private firms fail to appropriately price in the required level of economic resilience and security in critical sectors and supply chains, resulting in unacceptable levels of risk to Australia’s national interest or broader economy. </w:t>
      </w:r>
    </w:p>
    <w:p w14:paraId="23986C49" w14:textId="65653108" w:rsidR="00742C29" w:rsidRPr="00211BAA" w:rsidRDefault="00742C29" w:rsidP="00A817A6">
      <w:pPr>
        <w:pStyle w:val="Bulletparagraph"/>
      </w:pPr>
      <w:r w:rsidRPr="00211BAA">
        <w:t xml:space="preserve">When technologies that are critical </w:t>
      </w:r>
      <w:r w:rsidR="00256F7A" w:rsidRPr="00211BAA">
        <w:t>to</w:t>
      </w:r>
      <w:r w:rsidRPr="00211BAA">
        <w:t xml:space="preserve"> the national interest are nascent, and </w:t>
      </w:r>
      <w:r w:rsidR="00CE7116" w:rsidRPr="00211BAA">
        <w:t xml:space="preserve">first movers </w:t>
      </w:r>
      <w:r w:rsidRPr="00211BAA">
        <w:t>generate important new knowledge that helps those that come later to produce at a lower cost. Th</w:t>
      </w:r>
      <w:r w:rsidR="00BC3C22" w:rsidRPr="00211BAA">
        <w:t xml:space="preserve">is knowledge is a </w:t>
      </w:r>
      <w:r w:rsidRPr="00211BAA">
        <w:t xml:space="preserve">positive externality </w:t>
      </w:r>
      <w:r w:rsidR="005521AB" w:rsidRPr="00211BAA">
        <w:t>that, without government investment, would not be produced at the optimal level</w:t>
      </w:r>
      <w:r w:rsidR="00CB0086" w:rsidRPr="00211BAA">
        <w:t>.</w:t>
      </w:r>
    </w:p>
    <w:p w14:paraId="063B4A98" w14:textId="72EA2867" w:rsidR="00742C29" w:rsidRPr="00211BAA" w:rsidRDefault="00742C29" w:rsidP="006323CF">
      <w:pPr>
        <w:pStyle w:val="Heading1"/>
        <w:rPr>
          <w:color w:val="auto"/>
        </w:rPr>
      </w:pPr>
      <w:bookmarkStart w:id="46" w:name="_Toc224893995"/>
      <w:r w:rsidRPr="00211BAA">
        <w:rPr>
          <w:color w:val="auto"/>
        </w:rPr>
        <w:t>The Government’s agenda</w:t>
      </w:r>
      <w:bookmarkEnd w:id="46"/>
    </w:p>
    <w:p w14:paraId="2BA9556E" w14:textId="77777777" w:rsidR="00742C29" w:rsidRPr="00211BAA" w:rsidRDefault="00742C29" w:rsidP="003618DB">
      <w:pPr>
        <w:pStyle w:val="Heading2"/>
        <w:rPr>
          <w:color w:val="auto"/>
        </w:rPr>
      </w:pPr>
      <w:bookmarkStart w:id="47" w:name="_Toc224893996"/>
      <w:r w:rsidRPr="00211BAA">
        <w:rPr>
          <w:color w:val="auto"/>
        </w:rPr>
        <w:t>The Five Pillar agenda</w:t>
      </w:r>
      <w:bookmarkEnd w:id="47"/>
    </w:p>
    <w:p w14:paraId="1C96C588" w14:textId="08BF10D9" w:rsidR="00987E30" w:rsidRPr="00211BAA" w:rsidRDefault="00987E30" w:rsidP="00A817A6">
      <w:pPr>
        <w:pStyle w:val="NumberedParagraph"/>
      </w:pPr>
      <w:r w:rsidRPr="00211BAA">
        <w:t>The Government has a five pillar productivity agenda, which focuses on creating a more dynamic and resilient economy</w:t>
      </w:r>
      <w:r w:rsidR="008D060F" w:rsidRPr="00211BAA">
        <w:t>;</w:t>
      </w:r>
      <w:r w:rsidRPr="00211BAA">
        <w:t xml:space="preserve"> building a skilled and adaptable workforce</w:t>
      </w:r>
      <w:r w:rsidR="008D060F" w:rsidRPr="00211BAA">
        <w:t>;</w:t>
      </w:r>
      <w:r w:rsidRPr="00211BAA">
        <w:t xml:space="preserve"> harnessing data and digital technology</w:t>
      </w:r>
      <w:r w:rsidR="008D060F" w:rsidRPr="00211BAA">
        <w:t>;</w:t>
      </w:r>
      <w:r w:rsidRPr="00211BAA">
        <w:t xml:space="preserve"> delivering quality care more efficiently</w:t>
      </w:r>
      <w:r w:rsidR="008D060F" w:rsidRPr="00211BAA">
        <w:t>;</w:t>
      </w:r>
      <w:r w:rsidRPr="00211BAA">
        <w:t xml:space="preserve"> and investing in cheaper, cleaner energy and the net zero transition. Progress across these areas involves actions by the Commonwealth and state and territory governments. Examples of policies under each pillar follow.</w:t>
      </w:r>
    </w:p>
    <w:p w14:paraId="359E5963" w14:textId="77777777" w:rsidR="00987E30" w:rsidRPr="00211BAA" w:rsidRDefault="00987E30" w:rsidP="007B165E">
      <w:pPr>
        <w:pStyle w:val="Heading3"/>
        <w:rPr>
          <w:iCs w:val="0"/>
          <w:color w:val="auto"/>
        </w:rPr>
      </w:pPr>
      <w:bookmarkStart w:id="48" w:name="_Toc224893997"/>
      <w:r w:rsidRPr="00211BAA">
        <w:rPr>
          <w:iCs w:val="0"/>
          <w:color w:val="auto"/>
        </w:rPr>
        <w:t>Creating a more dynamic and resilient economy</w:t>
      </w:r>
      <w:bookmarkEnd w:id="48"/>
    </w:p>
    <w:p w14:paraId="01D0F2D9" w14:textId="2FDA08A8" w:rsidR="0000583A" w:rsidRPr="00211BAA" w:rsidRDefault="005C4D15" w:rsidP="00A817A6">
      <w:pPr>
        <w:pStyle w:val="NumberedParagraph"/>
      </w:pPr>
      <w:r w:rsidRPr="00211BAA">
        <w:t xml:space="preserve">Creating a more dynamic and resilient economy lifts productivity by encouraging innovation, </w:t>
      </w:r>
      <w:r w:rsidR="00F54B0A" w:rsidRPr="00211BAA">
        <w:t xml:space="preserve">increasing </w:t>
      </w:r>
      <w:r w:rsidRPr="00211BAA">
        <w:t xml:space="preserve">competition, </w:t>
      </w:r>
      <w:r w:rsidR="00F54B0A" w:rsidRPr="00211BAA">
        <w:t xml:space="preserve">removing trade frictions, </w:t>
      </w:r>
      <w:r w:rsidRPr="00211BAA">
        <w:t xml:space="preserve">and </w:t>
      </w:r>
      <w:r w:rsidR="00F54B0A" w:rsidRPr="00211BAA">
        <w:t xml:space="preserve">enabling the </w:t>
      </w:r>
      <w:r w:rsidRPr="00211BAA">
        <w:t>efficient reallocation of resources toward their most productive uses. Greater resilience also reduces the economic costs of shocks, allowing firms and workers to adapt quickly and sustain investment, skills, and output over time.</w:t>
      </w:r>
      <w:r w:rsidR="00A42483" w:rsidRPr="00211BAA">
        <w:t xml:space="preserve"> </w:t>
      </w:r>
    </w:p>
    <w:p w14:paraId="6EB07EEE" w14:textId="5FD46EDB" w:rsidR="00951396" w:rsidRPr="00211BAA" w:rsidRDefault="00951396" w:rsidP="00A817A6">
      <w:pPr>
        <w:pStyle w:val="Heading4"/>
      </w:pPr>
      <w:r w:rsidRPr="00211BAA">
        <w:t>Competition</w:t>
      </w:r>
    </w:p>
    <w:p w14:paraId="48E9337E" w14:textId="77777777" w:rsidR="00412815" w:rsidRPr="00211BAA" w:rsidRDefault="007F6FF3" w:rsidP="00A817A6">
      <w:pPr>
        <w:pStyle w:val="NumberedParagraph"/>
      </w:pPr>
      <w:r w:rsidRPr="00211BAA">
        <w:t xml:space="preserve">Greater competition </w:t>
      </w:r>
      <w:r w:rsidR="00B565E6" w:rsidRPr="00211BAA">
        <w:t xml:space="preserve">lifts business dynamism and is a core focus of the Government’s agenda. </w:t>
      </w:r>
    </w:p>
    <w:p w14:paraId="15CBE6D8" w14:textId="61819CC4" w:rsidR="00412815" w:rsidRPr="00211BAA" w:rsidRDefault="004E6AFE" w:rsidP="00A817A6">
      <w:pPr>
        <w:pStyle w:val="NumberedParagraph"/>
      </w:pPr>
      <w:r w:rsidRPr="00211BAA">
        <w:t>Reforms to mergers and acquisitions laws, passed by Parliament in 2024 and 2025,</w:t>
      </w:r>
      <w:r w:rsidR="00CF612B" w:rsidRPr="00211BAA">
        <w:rPr>
          <w:i/>
        </w:rPr>
        <w:t xml:space="preserve"> </w:t>
      </w:r>
      <w:r w:rsidR="000A208A" w:rsidRPr="00211BAA">
        <w:t>target anti</w:t>
      </w:r>
      <w:r w:rsidR="007258E2" w:rsidRPr="00211BAA">
        <w:noBreakHyphen/>
      </w:r>
      <w:r w:rsidR="000A208A" w:rsidRPr="00211BAA">
        <w:t xml:space="preserve">competitive mergers more efficiently and effectively, while enabling pro-competitive </w:t>
      </w:r>
      <w:r w:rsidR="00006718" w:rsidRPr="00211BAA">
        <w:t>mergers</w:t>
      </w:r>
      <w:r w:rsidR="00E706DC" w:rsidRPr="00211BAA">
        <w:t xml:space="preserve">. </w:t>
      </w:r>
    </w:p>
    <w:p w14:paraId="5601C353" w14:textId="6F6D60C4" w:rsidR="00096304" w:rsidRPr="00211BAA" w:rsidRDefault="00E706DC" w:rsidP="00A817A6">
      <w:pPr>
        <w:pStyle w:val="NumberedParagraph"/>
      </w:pPr>
      <w:r w:rsidRPr="00211BAA">
        <w:t xml:space="preserve">The Government has also revitalised </w:t>
      </w:r>
      <w:r w:rsidR="00A42483" w:rsidRPr="00211BAA">
        <w:t>National Competition Policy</w:t>
      </w:r>
      <w:r w:rsidR="00B127CE" w:rsidRPr="00211BAA">
        <w:t xml:space="preserve"> and established a $900 million National Productivity Fund</w:t>
      </w:r>
      <w:r w:rsidRPr="00211BAA">
        <w:t xml:space="preserve">, </w:t>
      </w:r>
      <w:r w:rsidR="00DD6482" w:rsidRPr="00211BAA">
        <w:t xml:space="preserve">which provides payments to states to incentivise reforms that </w:t>
      </w:r>
      <w:r w:rsidR="00B127CE" w:rsidRPr="00211BAA">
        <w:t>drive productivity growth</w:t>
      </w:r>
      <w:r w:rsidR="00A42483" w:rsidRPr="00211BAA">
        <w:t>.</w:t>
      </w:r>
      <w:r w:rsidR="00B127CE" w:rsidRPr="00211BAA">
        <w:t xml:space="preserve"> The National Competition Policy agenda is currently focused on:</w:t>
      </w:r>
      <w:r w:rsidR="0000583A" w:rsidRPr="00211BAA">
        <w:t xml:space="preserve"> </w:t>
      </w:r>
    </w:p>
    <w:p w14:paraId="4327056B" w14:textId="78FC19FA" w:rsidR="00712758" w:rsidRPr="00211BAA" w:rsidRDefault="00712758" w:rsidP="00A817A6">
      <w:pPr>
        <w:pStyle w:val="Bulletparagraph"/>
      </w:pPr>
      <w:r w:rsidRPr="00211BAA">
        <w:t xml:space="preserve">Creating a single national market for goods, where products can freely and seamlessly move across borders without entering a new regulatory system. Reforms include </w:t>
      </w:r>
      <w:r w:rsidR="007B7AC6" w:rsidRPr="00211BAA">
        <w:t xml:space="preserve">standards reform for </w:t>
      </w:r>
      <w:r w:rsidRPr="00211BAA">
        <w:t>waste and recycling</w:t>
      </w:r>
      <w:r w:rsidR="001113D8">
        <w:t>,</w:t>
      </w:r>
      <w:r w:rsidRPr="00211BAA">
        <w:t xml:space="preserve"> </w:t>
      </w:r>
      <w:r w:rsidR="00062927" w:rsidRPr="00211BAA">
        <w:t xml:space="preserve">and </w:t>
      </w:r>
      <w:r w:rsidRPr="00211BAA">
        <w:t>household electrical consumer products</w:t>
      </w:r>
      <w:r w:rsidR="006600D7" w:rsidRPr="00211BAA">
        <w:t>,</w:t>
      </w:r>
      <w:r w:rsidRPr="00211BAA">
        <w:t xml:space="preserve"> and facilitating the adoption of overseas and international standards in legislation.</w:t>
      </w:r>
    </w:p>
    <w:p w14:paraId="4B07B8A8" w14:textId="1FF427EB" w:rsidR="00712758" w:rsidRPr="00211BAA" w:rsidRDefault="00712758" w:rsidP="00A817A6">
      <w:pPr>
        <w:pStyle w:val="Bulletparagraph"/>
      </w:pPr>
      <w:r w:rsidRPr="00211BAA">
        <w:t>Creating a single national market for workers, so that Australians can use their skills where they are most valuable without needing to wait for a new licen</w:t>
      </w:r>
      <w:r w:rsidR="00C964D3" w:rsidRPr="00211BAA">
        <w:t>c</w:t>
      </w:r>
      <w:r w:rsidRPr="00211BAA">
        <w:t xml:space="preserve">e or pay a new fee. Reforms include progressing national licensing for the electrical trades and other occupations critical for housing and </w:t>
      </w:r>
      <w:proofErr w:type="gramStart"/>
      <w:r w:rsidRPr="00211BAA">
        <w:t>energy, and</w:t>
      </w:r>
      <w:proofErr w:type="gramEnd"/>
      <w:r w:rsidRPr="00211BAA">
        <w:t xml:space="preserve"> establishing a national approach to worker screening in the care and support economy.</w:t>
      </w:r>
    </w:p>
    <w:p w14:paraId="0243D642" w14:textId="2C9E37C6" w:rsidR="00712758" w:rsidRPr="00211BAA" w:rsidRDefault="00712758" w:rsidP="00A817A6">
      <w:pPr>
        <w:pStyle w:val="Bulletparagraph"/>
      </w:pPr>
      <w:r w:rsidRPr="00211BAA">
        <w:t>Banning non-compete clauses for low- and middle-income workers that restrict mobility, innovation and wages.</w:t>
      </w:r>
      <w:r w:rsidR="00A42483" w:rsidRPr="00211BAA">
        <w:t xml:space="preserve"> Non-compete clauses often hinder productivity by reducing labour mobility, restricting worker career progression, and suppressing wage growth.</w:t>
      </w:r>
    </w:p>
    <w:p w14:paraId="7F7F518D" w14:textId="77777777" w:rsidR="00712758" w:rsidRPr="00211BAA" w:rsidRDefault="00712758" w:rsidP="00A817A6">
      <w:pPr>
        <w:pStyle w:val="Bulletparagraph"/>
      </w:pPr>
      <w:r w:rsidRPr="00211BAA">
        <w:lastRenderedPageBreak/>
        <w:t>Streamlining and aligning regulation, in areas including modern methods of construction, commercial planning and zoning, heavy vehicle productivity reform, and health practitioner scope of practice.</w:t>
      </w:r>
    </w:p>
    <w:p w14:paraId="17A4A8AF" w14:textId="2DE528C6" w:rsidR="00951396" w:rsidRPr="00211BAA" w:rsidRDefault="00951396" w:rsidP="00A817A6">
      <w:pPr>
        <w:pStyle w:val="Heading4"/>
      </w:pPr>
      <w:r w:rsidRPr="00211BAA">
        <w:t xml:space="preserve">Regulatory </w:t>
      </w:r>
      <w:r w:rsidR="00135C61" w:rsidRPr="00211BAA">
        <w:t>r</w:t>
      </w:r>
      <w:r w:rsidRPr="00211BAA">
        <w:t>eform</w:t>
      </w:r>
      <w:r w:rsidR="006072BB" w:rsidRPr="00211BAA">
        <w:t xml:space="preserve"> </w:t>
      </w:r>
    </w:p>
    <w:p w14:paraId="3EA4AE35" w14:textId="60B89A1F" w:rsidR="008544C3" w:rsidRPr="00211BAA" w:rsidRDefault="00D13856" w:rsidP="00A817A6">
      <w:pPr>
        <w:pStyle w:val="NumberedParagraph"/>
      </w:pPr>
      <w:r w:rsidRPr="00211BAA">
        <w:t xml:space="preserve">As noted above, optimising regulations can support productivity by allowing labour and capital to move toward higher value activities. </w:t>
      </w:r>
      <w:r w:rsidR="000A208A" w:rsidRPr="00211BAA">
        <w:t>The Government is delivering a significant regulatory reform agenda</w:t>
      </w:r>
      <w:r w:rsidR="0047545D" w:rsidRPr="00211BAA">
        <w:t xml:space="preserve">, including </w:t>
      </w:r>
      <w:r w:rsidR="005447E5" w:rsidRPr="00211BAA">
        <w:t>initiatives to</w:t>
      </w:r>
      <w:r w:rsidR="004F2289" w:rsidRPr="00211BAA">
        <w:t xml:space="preserve"> streamline</w:t>
      </w:r>
      <w:r w:rsidR="005E6AF3" w:rsidRPr="00211BAA">
        <w:t xml:space="preserve">, </w:t>
      </w:r>
      <w:r w:rsidR="00C42F02" w:rsidRPr="00211BAA">
        <w:t>harmonise</w:t>
      </w:r>
      <w:r w:rsidR="00196AC9" w:rsidRPr="00211BAA">
        <w:t xml:space="preserve"> and improve regulation.</w:t>
      </w:r>
      <w:r w:rsidR="00E24F09" w:rsidRPr="00211BAA">
        <w:t xml:space="preserve"> </w:t>
      </w:r>
      <w:r w:rsidR="009D375B" w:rsidRPr="00211BAA">
        <w:t>For</w:t>
      </w:r>
      <w:r w:rsidR="007258E2" w:rsidRPr="00211BAA">
        <w:t> </w:t>
      </w:r>
      <w:r w:rsidR="009D375B" w:rsidRPr="00211BAA">
        <w:t>example</w:t>
      </w:r>
      <w:r w:rsidR="00D00DED" w:rsidRPr="00211BAA">
        <w:t>:</w:t>
      </w:r>
    </w:p>
    <w:p w14:paraId="60EEB058" w14:textId="340CEBD4" w:rsidR="00884850" w:rsidRPr="00211BAA" w:rsidRDefault="00E25358" w:rsidP="00A817A6">
      <w:pPr>
        <w:pStyle w:val="Bulletparagraph"/>
      </w:pPr>
      <w:r w:rsidRPr="00211BAA">
        <w:t xml:space="preserve">The </w:t>
      </w:r>
      <w:r w:rsidRPr="00211BAA">
        <w:rPr>
          <w:i/>
        </w:rPr>
        <w:t>Regulatory Reform Omnibus Act 2025</w:t>
      </w:r>
      <w:r w:rsidRPr="00211BAA">
        <w:t xml:space="preserve"> commenced in December 2025. The Act contains measures to improve the operations of government agencies, including supporting Services Australia to shift towards a 'tell-us-once' approach, reducing the need for Australians to repeatedly provide the same information. </w:t>
      </w:r>
      <w:r w:rsidR="0095643C" w:rsidRPr="00211BAA">
        <w:t xml:space="preserve"> </w:t>
      </w:r>
    </w:p>
    <w:p w14:paraId="2475CBD2" w14:textId="4515F548" w:rsidR="00467A71" w:rsidRPr="00211BAA" w:rsidRDefault="00467A71" w:rsidP="00A817A6">
      <w:pPr>
        <w:pStyle w:val="Bulletparagraph"/>
      </w:pPr>
      <w:r w:rsidRPr="00211BAA">
        <w:t xml:space="preserve">The financial sector regulatory initiatives grid (RIG), first published in December 2024, to help streamline and coordinate regulation. Following requests from industry for greater transparency, the Government committed to publishing the RIG twice a year, in March and September. The RIG promotes greater transparency of the Government’s planned reforms and regulator initiatives that are expected to materially affect the financial sector over a 24-month period. </w:t>
      </w:r>
    </w:p>
    <w:p w14:paraId="2C6DF7E3" w14:textId="66E9A45C" w:rsidR="009C00C3" w:rsidRPr="00211BAA" w:rsidRDefault="00216FD8" w:rsidP="00A817A6">
      <w:pPr>
        <w:pStyle w:val="Bulletparagraph"/>
      </w:pPr>
      <w:r w:rsidRPr="00211BAA">
        <w:t xml:space="preserve">The Government has strengthened and streamlined Australia’s national environmental laws, following the passage of the </w:t>
      </w:r>
      <w:r w:rsidRPr="00211BAA">
        <w:rPr>
          <w:i/>
        </w:rPr>
        <w:t xml:space="preserve">Environment Protection Reform </w:t>
      </w:r>
      <w:r w:rsidR="00BB75D9" w:rsidRPr="00211BAA">
        <w:rPr>
          <w:i/>
        </w:rPr>
        <w:t>B</w:t>
      </w:r>
      <w:r w:rsidRPr="00211BAA">
        <w:rPr>
          <w:i/>
        </w:rPr>
        <w:t>ills</w:t>
      </w:r>
      <w:r w:rsidRPr="00211BAA">
        <w:t xml:space="preserve"> </w:t>
      </w:r>
      <w:r w:rsidR="004E6AFE" w:rsidRPr="00211BAA">
        <w:t xml:space="preserve">in </w:t>
      </w:r>
      <w:r w:rsidRPr="00211BAA">
        <w:t>November 2025.</w:t>
      </w:r>
      <w:r w:rsidR="008304B3" w:rsidRPr="00211BAA">
        <w:t xml:space="preserve"> </w:t>
      </w:r>
      <w:r w:rsidR="009C00C3" w:rsidRPr="00211BAA">
        <w:t xml:space="preserve">The reforms implement the recommendations of the 2020 Samuel Review and establish Australia’s first independent </w:t>
      </w:r>
      <w:r w:rsidR="00FD7DFC" w:rsidRPr="00211BAA">
        <w:t>n</w:t>
      </w:r>
      <w:r w:rsidR="009C00C3" w:rsidRPr="00211BAA">
        <w:t xml:space="preserve">ational Environmental Protection Agency. </w:t>
      </w:r>
      <w:r w:rsidR="00304A57" w:rsidRPr="00211BAA">
        <w:t>The Government is also working with States and Territories to reduce duplication in processes and increase efficiency between State, Territory and Federal systems.</w:t>
      </w:r>
    </w:p>
    <w:p w14:paraId="69A8EA1C" w14:textId="55C6F328" w:rsidR="00305BA5" w:rsidRPr="00211BAA" w:rsidRDefault="00305BA5" w:rsidP="00A817A6">
      <w:pPr>
        <w:pStyle w:val="Heading4"/>
      </w:pPr>
      <w:r w:rsidRPr="00211BAA">
        <w:t>Trade</w:t>
      </w:r>
      <w:r w:rsidR="00DA06BC" w:rsidRPr="00211BAA">
        <w:t xml:space="preserve"> </w:t>
      </w:r>
      <w:r w:rsidR="0070671A" w:rsidRPr="00211BAA">
        <w:t xml:space="preserve">and </w:t>
      </w:r>
      <w:r w:rsidR="00135C61" w:rsidRPr="00211BAA">
        <w:t>i</w:t>
      </w:r>
      <w:r w:rsidR="0070671A" w:rsidRPr="00211BAA">
        <w:t>nvestment</w:t>
      </w:r>
    </w:p>
    <w:p w14:paraId="1D02A1E0" w14:textId="792CB250" w:rsidR="00B76E88" w:rsidRPr="00211BAA" w:rsidRDefault="00E2708E" w:rsidP="00A817A6">
      <w:pPr>
        <w:pStyle w:val="NumberedParagraph"/>
      </w:pPr>
      <w:r w:rsidRPr="00211BAA">
        <w:t xml:space="preserve">Trade and investment boosts productivity growth by deepening our capital markets, </w:t>
      </w:r>
      <w:r w:rsidR="00BE36FD" w:rsidRPr="00211BAA">
        <w:t xml:space="preserve">giving Australians access to frontier technologies, goods and services, and </w:t>
      </w:r>
      <w:r w:rsidRPr="00211BAA">
        <w:t>enhancing our global competitiveness</w:t>
      </w:r>
      <w:r w:rsidR="00BC4426" w:rsidRPr="00211BAA">
        <w:t>.</w:t>
      </w:r>
      <w:r w:rsidR="005444D6" w:rsidRPr="00211BAA">
        <w:t xml:space="preserve"> </w:t>
      </w:r>
    </w:p>
    <w:p w14:paraId="3808ADAB" w14:textId="1674295B" w:rsidR="00BC4426" w:rsidRPr="00211BAA" w:rsidRDefault="005444D6" w:rsidP="00A817A6">
      <w:pPr>
        <w:pStyle w:val="NumberedParagraph"/>
      </w:pPr>
      <w:r w:rsidRPr="00211BAA">
        <w:t xml:space="preserve">Examples of policies to </w:t>
      </w:r>
      <w:r w:rsidR="00B76E88" w:rsidRPr="00211BAA">
        <w:t xml:space="preserve">support </w:t>
      </w:r>
      <w:r w:rsidR="00511D0E" w:rsidRPr="00211BAA">
        <w:t>trade include:</w:t>
      </w:r>
    </w:p>
    <w:p w14:paraId="5ADE0706" w14:textId="045648DB" w:rsidR="00BE58EE" w:rsidRPr="00211BAA" w:rsidRDefault="00BE58EE" w:rsidP="00511D0E">
      <w:pPr>
        <w:pStyle w:val="Bulletparagraph"/>
      </w:pPr>
      <w:r w:rsidRPr="00211BAA">
        <w:t>The Simplified Trade System (STS) reforms</w:t>
      </w:r>
      <w:r w:rsidR="00511D0E" w:rsidRPr="00211BAA">
        <w:t>, which</w:t>
      </w:r>
      <w:r w:rsidRPr="00211BAA">
        <w:t xml:space="preserve"> aim to create a simpler, more effective, and sustainable cross-border trade environment for Australia.</w:t>
      </w:r>
      <w:r w:rsidR="002F0507" w:rsidRPr="00211BAA">
        <w:t xml:space="preserve"> </w:t>
      </w:r>
      <w:r w:rsidR="005444D6" w:rsidRPr="00211BAA">
        <w:t xml:space="preserve">The reforms are designed to </w:t>
      </w:r>
      <w:r w:rsidR="008E3B95" w:rsidRPr="00211BAA">
        <w:t xml:space="preserve">simplify the processes and systems that enable Australian exporters to trade more </w:t>
      </w:r>
      <w:proofErr w:type="gramStart"/>
      <w:r w:rsidR="008E3B95" w:rsidRPr="00211BAA">
        <w:t>efficiently, and</w:t>
      </w:r>
      <w:proofErr w:type="gramEnd"/>
      <w:r w:rsidR="008E3B95" w:rsidRPr="00211BAA">
        <w:t xml:space="preserve"> </w:t>
      </w:r>
      <w:r w:rsidR="005444D6" w:rsidRPr="00211BAA">
        <w:t>make it easier for Australia to do business across international border</w:t>
      </w:r>
      <w:r w:rsidR="00DE4AFF" w:rsidRPr="00211BAA">
        <w:t>s.</w:t>
      </w:r>
    </w:p>
    <w:p w14:paraId="1F8E685E" w14:textId="7DA6593C" w:rsidR="00BC4426" w:rsidRPr="00211BAA" w:rsidRDefault="00BC4426" w:rsidP="00511D0E">
      <w:pPr>
        <w:pStyle w:val="Bulletparagraph"/>
      </w:pPr>
      <w:r w:rsidRPr="00211BAA">
        <w:t>The Australian Trusted Trader (ATT) Program</w:t>
      </w:r>
      <w:r w:rsidR="00511D0E" w:rsidRPr="00211BAA">
        <w:t>, which</w:t>
      </w:r>
      <w:r w:rsidRPr="00211BAA">
        <w:t xml:space="preserve"> is a partnership with Australian business to secure our borders and facilitate legitimate trade through assessment and accreditation of businesses against World Customs Organization standards. ATT reduces red tape for Trusted Traders at the border, improves certainty in export markets, and expedites the flow of their cargo in and out of Australia, which means faster access to market.</w:t>
      </w:r>
    </w:p>
    <w:p w14:paraId="3E515288" w14:textId="5EC11176" w:rsidR="003E3A2E" w:rsidRPr="00211BAA" w:rsidRDefault="00B76E88" w:rsidP="00B76E88">
      <w:pPr>
        <w:pStyle w:val="Bulletparagraph"/>
      </w:pPr>
      <w:r w:rsidRPr="00211BAA">
        <w:t xml:space="preserve">Tariff reform: </w:t>
      </w:r>
      <w:r w:rsidR="003E3A2E" w:rsidRPr="00211BAA">
        <w:t xml:space="preserve">In addition to the 457 nuisance tariffs abolished in July 2024, the Government has announced an intention to abolish around another 500 nuisance tariffs. These tariffs raise little revenue, have negligible benefits for Australian producers, </w:t>
      </w:r>
      <w:r w:rsidR="00AD2851" w:rsidRPr="00211BAA">
        <w:t>and</w:t>
      </w:r>
      <w:r w:rsidR="003E3A2E" w:rsidRPr="00211BAA">
        <w:t xml:space="preserve"> impose compliance costs on Australian businesses. Abolishing them eliminates these inefficiencies and reduces compliance costs for businesses.</w:t>
      </w:r>
    </w:p>
    <w:p w14:paraId="71D7805C" w14:textId="7C6B72D0" w:rsidR="001F5A7F" w:rsidRPr="00211BAA" w:rsidRDefault="001F5A7F" w:rsidP="00A817A6">
      <w:pPr>
        <w:pStyle w:val="NumberedParagraph"/>
      </w:pPr>
      <w:r w:rsidRPr="00211BAA">
        <w:lastRenderedPageBreak/>
        <w:t xml:space="preserve">The Government has </w:t>
      </w:r>
      <w:r w:rsidR="00B76E88" w:rsidRPr="00211BAA">
        <w:t xml:space="preserve">also </w:t>
      </w:r>
      <w:r w:rsidR="0017517E" w:rsidRPr="00211BAA">
        <w:t>committed</w:t>
      </w:r>
      <w:r w:rsidRPr="00211BAA">
        <w:t xml:space="preserve"> to </w:t>
      </w:r>
      <w:r w:rsidR="0017517E" w:rsidRPr="00211BAA">
        <w:t>streamlining</w:t>
      </w:r>
      <w:r w:rsidRPr="00211BAA">
        <w:t xml:space="preserve"> and strengthening Australia’s foreign investment framework, with progress in reducing processing times for low</w:t>
      </w:r>
      <w:r w:rsidRPr="00211BAA">
        <w:rPr>
          <w:rFonts w:ascii="Cambria Math" w:hAnsi="Cambria Math" w:cs="Cambria Math"/>
        </w:rPr>
        <w:t>‑</w:t>
      </w:r>
      <w:r w:rsidRPr="00211BAA">
        <w:t>risk investment proposals, sharpening scrutiny of proposals in sensitive sectors, strengthening compliance activities, and enhancing transparency and engagement with investors.</w:t>
      </w:r>
    </w:p>
    <w:p w14:paraId="27E7B74E" w14:textId="3F03FF50" w:rsidR="001F5A7F" w:rsidRPr="00211BAA" w:rsidRDefault="001F5A7F" w:rsidP="00A817A6">
      <w:pPr>
        <w:pStyle w:val="NumberedParagraph"/>
      </w:pPr>
      <w:r w:rsidRPr="00211BAA">
        <w:t>The Government is also attracting and coordinating investment in priority areas through the National Reconstruction Fund, the Clean Energy Finance Corporation</w:t>
      </w:r>
      <w:r w:rsidR="00B36D63" w:rsidRPr="00211BAA">
        <w:t xml:space="preserve"> </w:t>
      </w:r>
      <w:r w:rsidR="00E34840" w:rsidRPr="00211BAA">
        <w:t>(CEFC)</w:t>
      </w:r>
      <w:r w:rsidRPr="00211BAA">
        <w:t>, the new Investor</w:t>
      </w:r>
      <w:r w:rsidR="007258E2" w:rsidRPr="00211BAA">
        <w:t> </w:t>
      </w:r>
      <w:r w:rsidRPr="00211BAA">
        <w:t xml:space="preserve">Front Door pilot, and Investor Roundtables. </w:t>
      </w:r>
    </w:p>
    <w:p w14:paraId="383A41DE" w14:textId="366CE0B8" w:rsidR="00305BA5" w:rsidRPr="00211BAA" w:rsidRDefault="00AC1BF1" w:rsidP="00A817A6">
      <w:pPr>
        <w:pStyle w:val="Heading4"/>
      </w:pPr>
      <w:r w:rsidRPr="00211BAA">
        <w:t>Financial</w:t>
      </w:r>
      <w:r w:rsidR="00C215CA" w:rsidRPr="00211BAA">
        <w:t xml:space="preserve"> system</w:t>
      </w:r>
    </w:p>
    <w:p w14:paraId="09E9A036" w14:textId="62854828" w:rsidR="000C45F5" w:rsidRPr="00211BAA" w:rsidRDefault="000C45F5" w:rsidP="0013430E">
      <w:pPr>
        <w:pStyle w:val="NumberedParagraph"/>
      </w:pPr>
      <w:r w:rsidRPr="00211BAA">
        <w:t xml:space="preserve">A </w:t>
      </w:r>
      <w:r w:rsidR="00C34C14" w:rsidRPr="00211BAA">
        <w:t xml:space="preserve">mature </w:t>
      </w:r>
      <w:r w:rsidR="00F36E56" w:rsidRPr="00211BAA">
        <w:t xml:space="preserve">and well-functioning </w:t>
      </w:r>
      <w:r w:rsidRPr="00211BAA">
        <w:t xml:space="preserve">financial system </w:t>
      </w:r>
      <w:r w:rsidR="007E3445" w:rsidRPr="00211BAA">
        <w:t xml:space="preserve">supports productivity, including by </w:t>
      </w:r>
      <w:r w:rsidRPr="00211BAA">
        <w:t>allocat</w:t>
      </w:r>
      <w:r w:rsidR="007E3445" w:rsidRPr="00211BAA">
        <w:t>ing</w:t>
      </w:r>
      <w:r w:rsidRPr="00211BAA">
        <w:t xml:space="preserve"> capital </w:t>
      </w:r>
      <w:r w:rsidR="007E3445" w:rsidRPr="00211BAA">
        <w:t xml:space="preserve">efficiently, </w:t>
      </w:r>
      <w:r w:rsidR="00767CE6" w:rsidRPr="00211BAA">
        <w:t>lower</w:t>
      </w:r>
      <w:r w:rsidR="007E3445" w:rsidRPr="00211BAA">
        <w:t>ing</w:t>
      </w:r>
      <w:r w:rsidR="00767CE6" w:rsidRPr="00211BAA">
        <w:t xml:space="preserve"> transaction and information costs, and </w:t>
      </w:r>
      <w:r w:rsidR="009B7CB5" w:rsidRPr="00211BAA">
        <w:t>encourag</w:t>
      </w:r>
      <w:r w:rsidR="007E3445" w:rsidRPr="00211BAA">
        <w:t>ing</w:t>
      </w:r>
      <w:r w:rsidR="009B7CB5" w:rsidRPr="00211BAA">
        <w:t xml:space="preserve"> innovation. </w:t>
      </w:r>
      <w:r w:rsidR="00062BB8" w:rsidRPr="00211BAA">
        <w:t xml:space="preserve">Fit for purpose regulatory frameworks </w:t>
      </w:r>
      <w:r w:rsidR="00121F63" w:rsidRPr="00211BAA">
        <w:t>support the</w:t>
      </w:r>
      <w:r w:rsidR="00F36E56" w:rsidRPr="00211BAA">
        <w:t>se outcomes</w:t>
      </w:r>
      <w:r w:rsidR="00BB2E16" w:rsidRPr="00211BAA">
        <w:t xml:space="preserve">, including by </w:t>
      </w:r>
      <w:r w:rsidR="0079686C" w:rsidRPr="00211BAA">
        <w:t xml:space="preserve">encouraging competition, </w:t>
      </w:r>
      <w:r w:rsidR="00053CC4" w:rsidRPr="00211BAA">
        <w:t xml:space="preserve">providing transparency and managing </w:t>
      </w:r>
      <w:r w:rsidR="00E151A4" w:rsidRPr="00211BAA">
        <w:t xml:space="preserve">systemic </w:t>
      </w:r>
      <w:r w:rsidR="00053CC4" w:rsidRPr="00211BAA">
        <w:t>risk. For example:</w:t>
      </w:r>
    </w:p>
    <w:p w14:paraId="7EA48DB0" w14:textId="7CC331C2" w:rsidR="00432F2E" w:rsidRPr="00211BAA" w:rsidRDefault="00432F2E" w:rsidP="00053CC4">
      <w:pPr>
        <w:pStyle w:val="Bulletparagraph"/>
      </w:pPr>
      <w:r w:rsidRPr="00211BAA">
        <w:t>The Strategic Plan for Australia’s Payments System provides</w:t>
      </w:r>
      <w:r w:rsidR="006B424D" w:rsidRPr="00211BAA">
        <w:t xml:space="preserve"> </w:t>
      </w:r>
      <w:r w:rsidRPr="00211BAA">
        <w:t>businesses with certainty and clarity on the Government’s approach to important issues in the payments system, allowing businesses to invest with certainty and innovate. It also outlines the Government’s commitment to ensuring that Australia’s payments system is safe, affordable, can be trusted and will remain readily accessible.</w:t>
      </w:r>
    </w:p>
    <w:p w14:paraId="164A4A96" w14:textId="315AACD1" w:rsidR="00262CE3" w:rsidRPr="00211BAA" w:rsidRDefault="00E01ACA" w:rsidP="00053CC4">
      <w:pPr>
        <w:pStyle w:val="Bulletparagraph"/>
      </w:pPr>
      <w:r w:rsidRPr="00211BAA">
        <w:t xml:space="preserve">The </w:t>
      </w:r>
      <w:r w:rsidR="002208F5" w:rsidRPr="00211BAA">
        <w:t>C</w:t>
      </w:r>
      <w:r w:rsidRPr="00211BAA">
        <w:t xml:space="preserve">ompetition in </w:t>
      </w:r>
      <w:r w:rsidR="002208F5" w:rsidRPr="00211BAA">
        <w:t>C</w:t>
      </w:r>
      <w:r w:rsidRPr="00211BAA">
        <w:t xml:space="preserve">learing and </w:t>
      </w:r>
      <w:r w:rsidR="002208F5" w:rsidRPr="00211BAA">
        <w:t>S</w:t>
      </w:r>
      <w:r w:rsidRPr="00211BAA">
        <w:t>ettlement reforms in 2023 created a more competitive and contestable environment for essential post-trade services</w:t>
      </w:r>
      <w:r w:rsidR="008E1EDA" w:rsidRPr="00211BAA">
        <w:t>. These reforms</w:t>
      </w:r>
      <w:r w:rsidR="00927E6F" w:rsidRPr="00211BAA">
        <w:t xml:space="preserve"> includ</w:t>
      </w:r>
      <w:r w:rsidR="008E1EDA" w:rsidRPr="00211BAA">
        <w:t>e</w:t>
      </w:r>
      <w:r w:rsidR="00927E6F" w:rsidRPr="00211BAA">
        <w:t xml:space="preserve"> </w:t>
      </w:r>
      <w:r w:rsidR="00934C51" w:rsidRPr="00211BAA">
        <w:t xml:space="preserve">requirements around responsiveness to users, </w:t>
      </w:r>
      <w:r w:rsidR="00C804F9" w:rsidRPr="00211BAA">
        <w:t xml:space="preserve">technical interoperability </w:t>
      </w:r>
      <w:r w:rsidR="005E2FF8" w:rsidRPr="00211BAA">
        <w:t xml:space="preserve">and external assurances on pricing and barriers to competition. </w:t>
      </w:r>
      <w:r w:rsidR="00C804F9" w:rsidRPr="00211BAA">
        <w:t xml:space="preserve"> </w:t>
      </w:r>
    </w:p>
    <w:p w14:paraId="1E1F4F5F" w14:textId="040D53E1" w:rsidR="00E01ACA" w:rsidRPr="00211BAA" w:rsidRDefault="00A40CF4" w:rsidP="00053CC4">
      <w:pPr>
        <w:pStyle w:val="Bulletparagraph"/>
      </w:pPr>
      <w:r w:rsidRPr="00211BAA">
        <w:t>T</w:t>
      </w:r>
      <w:r w:rsidR="00582C59" w:rsidRPr="00211BAA">
        <w:t>he 2024 F</w:t>
      </w:r>
      <w:r w:rsidRPr="00211BAA">
        <w:t xml:space="preserve">inancial </w:t>
      </w:r>
      <w:r w:rsidR="00582C59" w:rsidRPr="00211BAA">
        <w:t>M</w:t>
      </w:r>
      <w:r w:rsidRPr="00211BAA">
        <w:t xml:space="preserve">arket </w:t>
      </w:r>
      <w:r w:rsidR="00582C59" w:rsidRPr="00211BAA">
        <w:t>I</w:t>
      </w:r>
      <w:r w:rsidRPr="00211BAA">
        <w:t>nfrastructure</w:t>
      </w:r>
      <w:r w:rsidR="00582C59" w:rsidRPr="00211BAA">
        <w:t xml:space="preserve"> regulatory reforms established a comprehensive crisis management and resolution regime and strengthened </w:t>
      </w:r>
      <w:r w:rsidR="004E3909" w:rsidRPr="00211BAA">
        <w:t xml:space="preserve">and streamlined </w:t>
      </w:r>
      <w:r w:rsidR="002D3454" w:rsidRPr="00211BAA">
        <w:t xml:space="preserve">licensing, </w:t>
      </w:r>
      <w:r w:rsidR="00582C59" w:rsidRPr="00211BAA">
        <w:t xml:space="preserve">supervisory and enforcement powers of </w:t>
      </w:r>
      <w:r w:rsidR="00955A7E" w:rsidRPr="00211BAA">
        <w:t>the Australian Securities and Investments Commission (</w:t>
      </w:r>
      <w:r w:rsidR="00582C59" w:rsidRPr="00211BAA">
        <w:t>ASIC</w:t>
      </w:r>
      <w:r w:rsidR="00955A7E" w:rsidRPr="00211BAA">
        <w:t>)</w:t>
      </w:r>
      <w:r w:rsidR="00582C59" w:rsidRPr="00211BAA">
        <w:t xml:space="preserve"> and the </w:t>
      </w:r>
      <w:r w:rsidR="007C3098" w:rsidRPr="00211BAA">
        <w:t>Reserve Bank of Australia (</w:t>
      </w:r>
      <w:r w:rsidR="00582C59" w:rsidRPr="00211BAA">
        <w:t>RBA</w:t>
      </w:r>
      <w:r w:rsidR="007C3098" w:rsidRPr="00211BAA">
        <w:t>)</w:t>
      </w:r>
      <w:r w:rsidR="00582C59" w:rsidRPr="00211BAA">
        <w:t>.  </w:t>
      </w:r>
    </w:p>
    <w:p w14:paraId="01DEA02A" w14:textId="6DD5F312" w:rsidR="00BC45EC" w:rsidRPr="00211BAA" w:rsidRDefault="00D35264" w:rsidP="00053CC4">
      <w:pPr>
        <w:pStyle w:val="Bulletparagraph"/>
      </w:pPr>
      <w:r w:rsidRPr="00211BAA">
        <w:t>Post-GFC derivatives reforms improved transparency and reduced interconnected risks across the system by introducing mandatory trade reporting, central clearing and platform trading for key over-the-counter products.</w:t>
      </w:r>
    </w:p>
    <w:p w14:paraId="7C3D2901" w14:textId="1DAA3676" w:rsidR="00E23B5A" w:rsidRPr="00211BAA" w:rsidRDefault="00E23B5A" w:rsidP="00053CC4">
      <w:pPr>
        <w:pStyle w:val="Bulletparagraph"/>
      </w:pPr>
      <w:r w:rsidRPr="00211BAA">
        <w:t>The RBA</w:t>
      </w:r>
      <w:r w:rsidR="00733AEA" w:rsidRPr="00211BAA">
        <w:t xml:space="preserve"> is leading work to explore the role of digital money in wholesale tokenised asset markets</w:t>
      </w:r>
      <w:r w:rsidR="00B60E5A" w:rsidRPr="00211BAA">
        <w:t>. Industry stakeholders are exploring the potential for asset tokenisation for a variety of reasons, including its potential to increase efficiency and reduce risk in the issuance, trading, clearing, settlement and servicing of assets.</w:t>
      </w:r>
    </w:p>
    <w:p w14:paraId="5D751303" w14:textId="4595F208" w:rsidR="00053CC4" w:rsidRPr="00211BAA" w:rsidRDefault="00062BB8" w:rsidP="00633B83">
      <w:pPr>
        <w:pStyle w:val="NumberedParagraph"/>
      </w:pPr>
      <w:r w:rsidRPr="00211BAA">
        <w:t>S</w:t>
      </w:r>
      <w:r w:rsidR="002E1BB3" w:rsidRPr="00211BAA">
        <w:t xml:space="preserve">trong consumer policies </w:t>
      </w:r>
      <w:r w:rsidRPr="00211BAA">
        <w:t xml:space="preserve">enable consumers to make more informed choices. This </w:t>
      </w:r>
      <w:r w:rsidR="002E1BB3" w:rsidRPr="00211BAA">
        <w:t>intensif</w:t>
      </w:r>
      <w:r w:rsidRPr="00211BAA">
        <w:t>ies</w:t>
      </w:r>
      <w:r w:rsidR="002E1BB3" w:rsidRPr="00211BAA">
        <w:t xml:space="preserve"> competitive pressure on firms, rewarding those that innovate, improve quality and operate efficiently, and in turn driving productivity growth across the economy.</w:t>
      </w:r>
      <w:r w:rsidR="0004178C" w:rsidRPr="00211BAA">
        <w:t xml:space="preserve"> For example:</w:t>
      </w:r>
    </w:p>
    <w:p w14:paraId="4E0D3E8C" w14:textId="77777777" w:rsidR="00633B83" w:rsidRPr="00211BAA" w:rsidRDefault="00633B83" w:rsidP="00053CC4">
      <w:pPr>
        <w:pStyle w:val="Bulletparagraph"/>
      </w:pPr>
      <w:r w:rsidRPr="00211BAA">
        <w:t>The Government has introduced legislation (</w:t>
      </w:r>
      <w:r w:rsidRPr="00211BAA">
        <w:rPr>
          <w:i/>
          <w:iCs/>
        </w:rPr>
        <w:t>the Corporations Amendment (Digital Assets Framework) Bill 2025</w:t>
      </w:r>
      <w:r w:rsidRPr="00211BAA">
        <w:t xml:space="preserve">) to manage consumer risks associated with digital assets and to provide a clearer regulatory framework. </w:t>
      </w:r>
    </w:p>
    <w:p w14:paraId="6D2568EF" w14:textId="77777777" w:rsidR="00633B83" w:rsidRPr="00211BAA" w:rsidRDefault="00633B83" w:rsidP="00053CC4">
      <w:pPr>
        <w:pStyle w:val="Bulletparagraph"/>
      </w:pPr>
      <w:r w:rsidRPr="00211BAA">
        <w:t>In parallel, draft legislation was released in October 2025 and March 2026, proposing revisions to the existing payment licensing regime for non-cash payment facilities. The proposed approach would ensure the regime appropriately covers the wide range of payment products and services now provided in Australia, including payment stablecoins.</w:t>
      </w:r>
    </w:p>
    <w:p w14:paraId="5C9C1D13" w14:textId="54B2DA7D" w:rsidR="00CF5FF8" w:rsidRPr="00211BAA" w:rsidRDefault="00C62CC3" w:rsidP="00CF5FF8">
      <w:pPr>
        <w:pStyle w:val="Bulletparagraph"/>
      </w:pPr>
      <w:r w:rsidRPr="00211BAA">
        <w:t>Making u</w:t>
      </w:r>
      <w:r w:rsidR="00CF5FF8" w:rsidRPr="00211BAA">
        <w:t>nfair contract terms (UCTs) illegal strengthens consumer and small business protections by preventing the use of one</w:t>
      </w:r>
      <w:r w:rsidR="00CF5FF8" w:rsidRPr="00211BAA">
        <w:rPr>
          <w:rFonts w:ascii="Cambria Math" w:hAnsi="Cambria Math" w:cs="Cambria Math"/>
        </w:rPr>
        <w:t>‑</w:t>
      </w:r>
      <w:r w:rsidR="00CF5FF8" w:rsidRPr="00211BAA">
        <w:t xml:space="preserve">sided contract terms and improving fairness in </w:t>
      </w:r>
      <w:r w:rsidR="00CF5FF8" w:rsidRPr="00211BAA">
        <w:lastRenderedPageBreak/>
        <w:t>standard form contracts.</w:t>
      </w:r>
      <w:r w:rsidR="00596239" w:rsidRPr="00211BAA">
        <w:t xml:space="preserve"> </w:t>
      </w:r>
      <w:r w:rsidR="009B5027" w:rsidRPr="00211BAA">
        <w:t>Where businesses once faced only the risk of a term being void, the prospect of substantial penalties now creates a strong incentive to ensure contracts are fair.</w:t>
      </w:r>
    </w:p>
    <w:p w14:paraId="1F7D4891" w14:textId="07E62C5A" w:rsidR="00DA3413" w:rsidRPr="00211BAA" w:rsidRDefault="00DA3413" w:rsidP="00CF5FF8">
      <w:pPr>
        <w:pStyle w:val="Bulletparagraph"/>
      </w:pPr>
      <w:r w:rsidRPr="00211BAA">
        <w:t>Imminent unfair trading practices (UTP) legislation will prohibit harmful commercial conduct that distorts consumer choice or causes detriment, closing gaps in the existing consumer protection framework.</w:t>
      </w:r>
    </w:p>
    <w:p w14:paraId="4CC2F871" w14:textId="4511C584" w:rsidR="00070936" w:rsidRPr="00211BAA" w:rsidRDefault="00070936" w:rsidP="00CF5FF8">
      <w:pPr>
        <w:pStyle w:val="Bulletparagraph"/>
      </w:pPr>
      <w:r w:rsidRPr="00211BAA">
        <w:t>Reforms to consumer guarantees and supplier indemnification clarify responsibilities across supply chains, ensuring consumers receive timely remedies while improving cost recovery for businesses.</w:t>
      </w:r>
    </w:p>
    <w:p w14:paraId="79438C3B" w14:textId="0D2942A6" w:rsidR="00D332B0" w:rsidRPr="00211BAA" w:rsidRDefault="00AC3B3D" w:rsidP="00053CC4">
      <w:pPr>
        <w:pStyle w:val="Bulletparagraph"/>
      </w:pPr>
      <w:r w:rsidRPr="00211BAA">
        <w:t xml:space="preserve">The Scams Prevention Framework </w:t>
      </w:r>
      <w:r w:rsidR="000C7B1F" w:rsidRPr="00211BAA">
        <w:t xml:space="preserve">strengthens consumer protection by </w:t>
      </w:r>
      <w:r w:rsidR="001C57A2" w:rsidRPr="00211BAA">
        <w:t>introducing consistent, enforceable obligations for businesses in sectors targeted by scammers.</w:t>
      </w:r>
    </w:p>
    <w:p w14:paraId="422785B8" w14:textId="1B197526" w:rsidR="004105E4" w:rsidRPr="00211BAA" w:rsidRDefault="004105E4" w:rsidP="004105E4">
      <w:pPr>
        <w:pStyle w:val="Heading4"/>
      </w:pPr>
      <w:r w:rsidRPr="00211BAA">
        <w:t xml:space="preserve">Cyber </w:t>
      </w:r>
      <w:r w:rsidR="00135C61" w:rsidRPr="00211BAA">
        <w:t>s</w:t>
      </w:r>
      <w:r w:rsidRPr="00211BAA">
        <w:t>ecurity</w:t>
      </w:r>
    </w:p>
    <w:p w14:paraId="2107DB8A" w14:textId="62ADE323" w:rsidR="00691289" w:rsidRPr="00211BAA" w:rsidRDefault="00691289" w:rsidP="00A817A6">
      <w:pPr>
        <w:pStyle w:val="NumberedParagraph"/>
      </w:pPr>
      <w:r w:rsidRPr="00211BAA">
        <w:t xml:space="preserve">The continued adoption of safe and secure digital platforms, technologies and online services is critical for Australia’s </w:t>
      </w:r>
      <w:r w:rsidR="00630D7B" w:rsidRPr="00211BAA">
        <w:t xml:space="preserve">resilience </w:t>
      </w:r>
      <w:r w:rsidRPr="00211BAA">
        <w:t>and future prosperity. To support this objective, the Government released Australia’s first Cyber Security Strategy in 2023. It sets out steps to improve our cyber security, manage cyber risks and better support citizens and Australian businesses to manage the cyber environment around them.</w:t>
      </w:r>
    </w:p>
    <w:p w14:paraId="7506303B" w14:textId="4C4AFE95" w:rsidR="00742C29" w:rsidRPr="00211BAA" w:rsidRDefault="00742C29" w:rsidP="007B165E">
      <w:pPr>
        <w:pStyle w:val="Heading3"/>
        <w:rPr>
          <w:iCs w:val="0"/>
          <w:color w:val="auto"/>
        </w:rPr>
      </w:pPr>
      <w:bookmarkStart w:id="49" w:name="_Toc224893998"/>
      <w:r w:rsidRPr="00211BAA">
        <w:rPr>
          <w:iCs w:val="0"/>
          <w:color w:val="auto"/>
        </w:rPr>
        <w:t>Building a skilled and adaptable workforce</w:t>
      </w:r>
      <w:bookmarkEnd w:id="49"/>
    </w:p>
    <w:p w14:paraId="43D6E1F7" w14:textId="20E47B70" w:rsidR="00B76E88" w:rsidRPr="00211BAA" w:rsidRDefault="00DD3512">
      <w:pPr>
        <w:pStyle w:val="NumberedParagraph"/>
      </w:pPr>
      <w:r w:rsidRPr="00211BAA">
        <w:t xml:space="preserve">Building a skilled and adaptable workforce improves productivity by </w:t>
      </w:r>
      <w:r w:rsidR="00C72A15" w:rsidRPr="00211BAA">
        <w:t>improving human</w:t>
      </w:r>
      <w:r w:rsidR="00303585" w:rsidRPr="00211BAA">
        <w:t> </w:t>
      </w:r>
      <w:r w:rsidR="00C72A15" w:rsidRPr="00211BAA">
        <w:t xml:space="preserve">capital, </w:t>
      </w:r>
      <w:r w:rsidRPr="00211BAA">
        <w:t xml:space="preserve">enabling </w:t>
      </w:r>
      <w:r w:rsidR="00303585" w:rsidRPr="00211BAA">
        <w:t>Australians</w:t>
      </w:r>
      <w:r w:rsidRPr="00211BAA">
        <w:t xml:space="preserve"> to </w:t>
      </w:r>
      <w:r w:rsidR="00D274DD" w:rsidRPr="00211BAA">
        <w:t xml:space="preserve">work </w:t>
      </w:r>
      <w:r w:rsidR="004074B4" w:rsidRPr="00211BAA">
        <w:t xml:space="preserve">more efficiently </w:t>
      </w:r>
      <w:r w:rsidR="00D274DD" w:rsidRPr="00211BAA">
        <w:t xml:space="preserve">and </w:t>
      </w:r>
      <w:r w:rsidRPr="00211BAA">
        <w:t xml:space="preserve">use new technologies </w:t>
      </w:r>
      <w:r w:rsidR="00617467" w:rsidRPr="00211BAA">
        <w:t>more</w:t>
      </w:r>
      <w:r w:rsidRPr="00211BAA">
        <w:t xml:space="preserve"> effectively, move into higher</w:t>
      </w:r>
      <w:r w:rsidRPr="00211BAA">
        <w:rPr>
          <w:rFonts w:ascii="Cambria Math" w:hAnsi="Cambria Math" w:cs="Cambria Math"/>
        </w:rPr>
        <w:t>‑</w:t>
      </w:r>
      <w:r w:rsidRPr="00211BAA">
        <w:t xml:space="preserve">value roles, and apply their skills where they generate the greatest return. Adaptability also helps firms </w:t>
      </w:r>
      <w:r w:rsidR="00594B91" w:rsidRPr="00211BAA">
        <w:t xml:space="preserve">and workers to </w:t>
      </w:r>
      <w:r w:rsidRPr="00211BAA">
        <w:t>adjust to change more quickly, reducing downtime</w:t>
      </w:r>
      <w:r w:rsidR="007774F5" w:rsidRPr="00211BAA">
        <w:t xml:space="preserve"> and</w:t>
      </w:r>
      <w:r w:rsidR="00594B91" w:rsidRPr="00211BAA">
        <w:t xml:space="preserve"> labour mismatches, </w:t>
      </w:r>
      <w:r w:rsidR="007774F5" w:rsidRPr="00211BAA">
        <w:t xml:space="preserve">and </w:t>
      </w:r>
      <w:r w:rsidRPr="00211BAA">
        <w:t>supporting sustained improvements in efficiency and output.</w:t>
      </w:r>
      <w:r w:rsidR="00FE40FE" w:rsidRPr="00211BAA">
        <w:t xml:space="preserve"> </w:t>
      </w:r>
    </w:p>
    <w:p w14:paraId="312241F6" w14:textId="63507475" w:rsidR="0000583A" w:rsidRPr="00211BAA" w:rsidRDefault="004F3D87" w:rsidP="00A817A6">
      <w:pPr>
        <w:pStyle w:val="NumberedParagraph"/>
      </w:pPr>
      <w:r w:rsidRPr="00211BAA">
        <w:t xml:space="preserve">When schools, the vocational education and training sector, higher education and other private education providers are effective at meeting skills needs, they expand opportunities for employment and support </w:t>
      </w:r>
      <w:r w:rsidR="008134FB" w:rsidRPr="00211BAA">
        <w:t xml:space="preserve">productivity </w:t>
      </w:r>
      <w:r w:rsidRPr="00211BAA">
        <w:t>growth</w:t>
      </w:r>
      <w:r w:rsidR="005C0683" w:rsidRPr="00211BAA">
        <w:t xml:space="preserve"> by strengthening human capital</w:t>
      </w:r>
      <w:r w:rsidRPr="00211BAA">
        <w:t>.</w:t>
      </w:r>
      <w:r w:rsidR="00B76E88" w:rsidRPr="00211BAA">
        <w:t xml:space="preserve"> </w:t>
      </w:r>
      <w:r w:rsidR="000F7D63" w:rsidRPr="00211BAA">
        <w:t xml:space="preserve">A more skilled workforce enables workers and firms to adopt new technologies, improve how capital is used, and </w:t>
      </w:r>
      <w:r w:rsidR="00EA65FF" w:rsidRPr="00211BAA">
        <w:t>support</w:t>
      </w:r>
      <w:r w:rsidR="000F7D63" w:rsidRPr="00211BAA">
        <w:t xml:space="preserve"> </w:t>
      </w:r>
      <w:r w:rsidR="002959E5" w:rsidRPr="00211BAA">
        <w:t>long-term</w:t>
      </w:r>
      <w:r w:rsidR="000F7D63" w:rsidRPr="00211BAA">
        <w:t xml:space="preserve"> </w:t>
      </w:r>
      <w:r w:rsidR="00055D7B" w:rsidRPr="00211BAA">
        <w:t>productivity</w:t>
      </w:r>
      <w:r w:rsidR="000F7D63" w:rsidRPr="00211BAA">
        <w:t xml:space="preserve"> growth. </w:t>
      </w:r>
      <w:r w:rsidR="00B76E88" w:rsidRPr="00211BAA">
        <w:t>Examples of policies to support these outcomes include:</w:t>
      </w:r>
    </w:p>
    <w:p w14:paraId="4F7D0B6A" w14:textId="6D1CA5BC" w:rsidR="001E1E26" w:rsidRPr="00211BAA" w:rsidRDefault="00B76E88" w:rsidP="00B76E88">
      <w:pPr>
        <w:pStyle w:val="Bulletparagraph"/>
      </w:pPr>
      <w:r w:rsidRPr="00211BAA">
        <w:rPr>
          <w:rFonts w:eastAsia="Arial"/>
        </w:rPr>
        <w:t xml:space="preserve">Schools: </w:t>
      </w:r>
      <w:r w:rsidR="77B86E48" w:rsidRPr="00211BAA">
        <w:rPr>
          <w:rFonts w:eastAsia="Arial"/>
        </w:rPr>
        <w:t xml:space="preserve">The </w:t>
      </w:r>
      <w:r w:rsidR="008227A1" w:rsidRPr="00211BAA">
        <w:rPr>
          <w:rFonts w:eastAsia="Arial"/>
        </w:rPr>
        <w:t>Government</w:t>
      </w:r>
      <w:r w:rsidR="77B86E48" w:rsidRPr="00211BAA">
        <w:rPr>
          <w:rFonts w:eastAsia="Arial"/>
        </w:rPr>
        <w:t xml:space="preserve"> continues to work with state and territory governments on improving the school education system,</w:t>
      </w:r>
      <w:r w:rsidR="77B86E48" w:rsidRPr="00211BAA">
        <w:rPr>
          <w:rFonts w:eastAsia="Garamond"/>
        </w:rPr>
        <w:t xml:space="preserve"> </w:t>
      </w:r>
      <w:r w:rsidR="77B86E48" w:rsidRPr="00211BAA">
        <w:rPr>
          <w:rFonts w:eastAsia="Arial"/>
        </w:rPr>
        <w:t xml:space="preserve">including putting every public school on a path to full funding </w:t>
      </w:r>
      <w:r w:rsidR="000F7A0B" w:rsidRPr="00211BAA">
        <w:rPr>
          <w:rFonts w:eastAsia="Arial"/>
        </w:rPr>
        <w:t xml:space="preserve">under the Schooling Resource Standard </w:t>
      </w:r>
      <w:r w:rsidR="1317219B" w:rsidRPr="00211BAA">
        <w:rPr>
          <w:rFonts w:eastAsia="Arial"/>
        </w:rPr>
        <w:t>by 2034</w:t>
      </w:r>
      <w:r w:rsidR="1317219B" w:rsidRPr="00211BAA">
        <w:t>. All states and territories have signed 10-year Better</w:t>
      </w:r>
      <w:r w:rsidR="003176CD" w:rsidRPr="00211BAA">
        <w:t> </w:t>
      </w:r>
      <w:r w:rsidR="1317219B" w:rsidRPr="00211BAA">
        <w:t xml:space="preserve">and Fairer Schools Agreements, which will see additional Commonwealth funding </w:t>
      </w:r>
      <w:r w:rsidR="2498593A" w:rsidRPr="00211BAA">
        <w:t>over the life of the agreements</w:t>
      </w:r>
      <w:r w:rsidR="00CF3719" w:rsidRPr="00211BAA">
        <w:t>,</w:t>
      </w:r>
      <w:r w:rsidR="00A24F04" w:rsidRPr="00211BAA">
        <w:t xml:space="preserve"> with n</w:t>
      </w:r>
      <w:r w:rsidR="2498593A" w:rsidRPr="00211BAA">
        <w:t>e</w:t>
      </w:r>
      <w:r w:rsidR="1317219B" w:rsidRPr="00211BAA">
        <w:t>w funding</w:t>
      </w:r>
      <w:r w:rsidR="6AFE6F42" w:rsidRPr="00211BAA">
        <w:t xml:space="preserve"> tied</w:t>
      </w:r>
      <w:r w:rsidR="1317219B" w:rsidRPr="00211BAA">
        <w:t xml:space="preserve"> to reforms to help lift student outcomes</w:t>
      </w:r>
      <w:r w:rsidR="00AF2C8E" w:rsidRPr="00211BAA">
        <w:t>.</w:t>
      </w:r>
    </w:p>
    <w:p w14:paraId="09752BFE" w14:textId="60A34847" w:rsidR="00742C29" w:rsidRPr="00211BAA" w:rsidRDefault="00B76E88" w:rsidP="00B76E88">
      <w:pPr>
        <w:pStyle w:val="Bulletparagraph"/>
      </w:pPr>
      <w:r w:rsidRPr="00211BAA">
        <w:t xml:space="preserve">Vocational Education and Training: </w:t>
      </w:r>
      <w:r w:rsidR="00742C29" w:rsidRPr="00211BAA">
        <w:t xml:space="preserve">Through the National Skills Agreement, the Government is </w:t>
      </w:r>
      <w:r w:rsidR="00BF639B" w:rsidRPr="00211BAA">
        <w:t>making investments</w:t>
      </w:r>
      <w:r w:rsidR="00742C29" w:rsidRPr="00211BAA">
        <w:t xml:space="preserve"> across five years, and working with the states and territories, to strengthen the vocational education and training sector.</w:t>
      </w:r>
    </w:p>
    <w:p w14:paraId="6F2559C1" w14:textId="20D20887" w:rsidR="00742C29" w:rsidRPr="00211BAA" w:rsidRDefault="00B76E88" w:rsidP="00B76E88">
      <w:pPr>
        <w:pStyle w:val="Bulletparagraph"/>
      </w:pPr>
      <w:r w:rsidRPr="00211BAA">
        <w:t xml:space="preserve">Tertiary Education: </w:t>
      </w:r>
      <w:r w:rsidR="00742C29" w:rsidRPr="00211BAA">
        <w:t xml:space="preserve">The Government is </w:t>
      </w:r>
      <w:r w:rsidR="009B0D67" w:rsidRPr="00211BAA">
        <w:t xml:space="preserve">also </w:t>
      </w:r>
      <w:r w:rsidR="00742C29" w:rsidRPr="00211BAA">
        <w:t>implementing recommendations of the Universities Accord to increase the tertiary education attainment rate</w:t>
      </w:r>
      <w:r w:rsidR="00C07A29" w:rsidRPr="00211BAA">
        <w:t xml:space="preserve"> to 80 per cent of the working age population by 2050</w:t>
      </w:r>
      <w:r w:rsidR="00742C29" w:rsidRPr="00211BAA">
        <w:t>. This includes establishing a new university funding and governance model for the tertiary education sector.</w:t>
      </w:r>
    </w:p>
    <w:p w14:paraId="1F5CF17D" w14:textId="192EE4BD" w:rsidR="00A81591" w:rsidRPr="00211BAA" w:rsidRDefault="00AC17F6" w:rsidP="00A817A6">
      <w:pPr>
        <w:pStyle w:val="NumberedParagraph"/>
      </w:pPr>
      <w:r w:rsidRPr="00211BAA">
        <w:lastRenderedPageBreak/>
        <w:t>Migration increases the stock of skills and talents in Australia’s workforce, contributes to knowledge spillovers, and increases the productivity of the Australian-born workforce (OECD,</w:t>
      </w:r>
      <w:r w:rsidR="009149CE" w:rsidRPr="00211BAA">
        <w:t> </w:t>
      </w:r>
      <w:r w:rsidRPr="00211BAA">
        <w:t xml:space="preserve">2023). </w:t>
      </w:r>
      <w:r w:rsidR="00E37974" w:rsidRPr="00211BAA">
        <w:t xml:space="preserve">The Government is reforming Australia’s migration system to drive greater economic prosperity. Key actions taken </w:t>
      </w:r>
      <w:r w:rsidR="008140D4" w:rsidRPr="00211BAA">
        <w:t xml:space="preserve">under the Migration Strategy </w:t>
      </w:r>
      <w:r w:rsidR="00E37974" w:rsidRPr="00211BAA">
        <w:t xml:space="preserve">include </w:t>
      </w:r>
      <w:r w:rsidR="00EE4D2F" w:rsidRPr="00211BAA">
        <w:t xml:space="preserve">the introduction </w:t>
      </w:r>
      <w:r w:rsidR="0089090D" w:rsidRPr="00211BAA">
        <w:t>of</w:t>
      </w:r>
      <w:r w:rsidR="00E37974" w:rsidRPr="00211BAA">
        <w:t xml:space="preserve"> the new Skills in Demand and National Innovation visas</w:t>
      </w:r>
      <w:r w:rsidR="00E54B1C" w:rsidRPr="00211BAA">
        <w:t>,</w:t>
      </w:r>
      <w:r w:rsidR="00E37974" w:rsidRPr="00211BAA">
        <w:t xml:space="preserve"> and a targeted Core</w:t>
      </w:r>
      <w:r w:rsidR="001F2ADE" w:rsidRPr="00211BAA">
        <w:t> </w:t>
      </w:r>
      <w:r w:rsidR="00E37974" w:rsidRPr="00211BAA">
        <w:t>Skills Occupation List. The Government is also continuing to work with states and territories to better align migration with government investments in infrastructure, housing and service delivery.</w:t>
      </w:r>
    </w:p>
    <w:p w14:paraId="5D72C8A2" w14:textId="0A240872" w:rsidR="009C0C95" w:rsidRPr="00211BAA" w:rsidRDefault="006C377E" w:rsidP="00BE3130">
      <w:pPr>
        <w:pStyle w:val="NumberedParagraph"/>
      </w:pPr>
      <w:r w:rsidRPr="00211BAA">
        <w:t>Policies that</w:t>
      </w:r>
      <w:r w:rsidR="007B3062" w:rsidRPr="00211BAA">
        <w:t xml:space="preserve"> reduce barriers to participation and labour market mismatches </w:t>
      </w:r>
      <w:r w:rsidRPr="00211BAA">
        <w:t xml:space="preserve">could improve productivity outcomes </w:t>
      </w:r>
      <w:r w:rsidR="007B3062" w:rsidRPr="00211BAA">
        <w:t>by enabling workers to move into jobs that better match their skills.</w:t>
      </w:r>
      <w:r w:rsidR="00974B46" w:rsidRPr="00211BAA">
        <w:t xml:space="preserve"> For example:</w:t>
      </w:r>
    </w:p>
    <w:p w14:paraId="116D0F04" w14:textId="1CBEC406" w:rsidR="00291F1A" w:rsidRPr="00211BAA" w:rsidRDefault="00291F1A" w:rsidP="00C215CA">
      <w:pPr>
        <w:pStyle w:val="Bulletparagraph"/>
      </w:pPr>
      <w:r w:rsidRPr="00211BAA">
        <w:t xml:space="preserve">The Government’s combined tax cuts are expected to support labour force participation, increasing total hours worked by about 1.3 million hours per week compared to 2023–24 tax settings, equivalent to more than 30,000 full time jobs. </w:t>
      </w:r>
    </w:p>
    <w:p w14:paraId="1E884EC0" w14:textId="06726985" w:rsidR="00757E5A" w:rsidRPr="00211BAA" w:rsidRDefault="00645131" w:rsidP="00C215CA">
      <w:pPr>
        <w:pStyle w:val="Bulletparagraph"/>
      </w:pPr>
      <w:r w:rsidRPr="00211BAA">
        <w:t xml:space="preserve">The Government has improved access to affordable early childhood education and care by replacing the Child Care Subsidy Activity Test with a 3 Day Guarantee. </w:t>
      </w:r>
      <w:r w:rsidR="006B41E7" w:rsidRPr="00211BAA">
        <w:t>This</w:t>
      </w:r>
      <w:r w:rsidRPr="00211BAA">
        <w:t xml:space="preserve"> will enable parents to access the Child Care Subsidy and participate or increase their participation in work, study, or volunteering, to their preferred levels. </w:t>
      </w:r>
    </w:p>
    <w:p w14:paraId="11FE8B26" w14:textId="661BEE26" w:rsidR="00AE78F6" w:rsidRPr="00211BAA" w:rsidRDefault="00726A53" w:rsidP="00C215CA">
      <w:pPr>
        <w:pStyle w:val="Bulletparagraph"/>
      </w:pPr>
      <w:r w:rsidRPr="00211BAA">
        <w:t>The</w:t>
      </w:r>
      <w:r w:rsidR="00AE78F6" w:rsidRPr="00211BAA">
        <w:t xml:space="preserve"> </w:t>
      </w:r>
      <w:r w:rsidRPr="00211BAA">
        <w:t>National Housing Accord</w:t>
      </w:r>
      <w:r w:rsidR="00776981" w:rsidRPr="00211BAA">
        <w:t>,</w:t>
      </w:r>
      <w:r w:rsidRPr="00211BAA">
        <w:t xml:space="preserve"> including the </w:t>
      </w:r>
      <w:r w:rsidR="00AE78F6" w:rsidRPr="00211BAA">
        <w:t>New Homes Bonus</w:t>
      </w:r>
      <w:r w:rsidR="002E616C" w:rsidRPr="00211BAA">
        <w:t xml:space="preserve">, is bringing together </w:t>
      </w:r>
      <w:r w:rsidR="007E70BD" w:rsidRPr="00211BAA">
        <w:t xml:space="preserve">all levels of government, industry and investors to unlock </w:t>
      </w:r>
      <w:r w:rsidR="00AE78F6" w:rsidRPr="00211BAA">
        <w:t>housing supply, while the build</w:t>
      </w:r>
      <w:r w:rsidR="00AE78F6" w:rsidRPr="00211BAA">
        <w:rPr>
          <w:rFonts w:ascii="Cambria Math" w:hAnsi="Cambria Math" w:cs="Cambria Math"/>
        </w:rPr>
        <w:t>‑</w:t>
      </w:r>
      <w:r w:rsidR="00AE78F6" w:rsidRPr="00211BAA">
        <w:t>to</w:t>
      </w:r>
      <w:r w:rsidR="00AE78F6" w:rsidRPr="00211BAA">
        <w:rPr>
          <w:rFonts w:ascii="Cambria Math" w:hAnsi="Cambria Math" w:cs="Cambria Math"/>
        </w:rPr>
        <w:t>‑</w:t>
      </w:r>
      <w:r w:rsidR="00AE78F6" w:rsidRPr="00211BAA">
        <w:t xml:space="preserve">rent tax concessions will help increase </w:t>
      </w:r>
      <w:r w:rsidR="00757E5A" w:rsidRPr="00211BAA">
        <w:t>the</w:t>
      </w:r>
      <w:r w:rsidR="00AE78F6" w:rsidRPr="00211BAA">
        <w:t xml:space="preserve"> supply</w:t>
      </w:r>
      <w:r w:rsidR="00757E5A" w:rsidRPr="00211BAA">
        <w:t xml:space="preserve"> of new rental housing.</w:t>
      </w:r>
      <w:r w:rsidR="00AE78F6" w:rsidRPr="00211BAA">
        <w:t xml:space="preserve"> Together, well</w:t>
      </w:r>
      <w:r w:rsidR="00AE78F6" w:rsidRPr="00211BAA">
        <w:rPr>
          <w:rFonts w:ascii="Cambria Math" w:hAnsi="Cambria Math" w:cs="Cambria Math"/>
        </w:rPr>
        <w:t>‑</w:t>
      </w:r>
      <w:r w:rsidR="00AE78F6" w:rsidRPr="00211BAA">
        <w:t xml:space="preserve">targeted housing policies will help reduce barriers to labour mobility and participation. </w:t>
      </w:r>
    </w:p>
    <w:p w14:paraId="06F140F2" w14:textId="77777777" w:rsidR="00742C29" w:rsidRPr="00211BAA" w:rsidRDefault="00742C29" w:rsidP="00FD2F98">
      <w:pPr>
        <w:pStyle w:val="Heading3"/>
        <w:rPr>
          <w:iCs w:val="0"/>
          <w:color w:val="auto"/>
        </w:rPr>
      </w:pPr>
      <w:bookmarkStart w:id="50" w:name="_Toc224893999"/>
      <w:r w:rsidRPr="00211BAA">
        <w:rPr>
          <w:iCs w:val="0"/>
          <w:color w:val="auto"/>
        </w:rPr>
        <w:t>Harnessing data and digital technology</w:t>
      </w:r>
      <w:bookmarkEnd w:id="50"/>
    </w:p>
    <w:p w14:paraId="26B53438" w14:textId="6D9B1F3E" w:rsidR="006A1868" w:rsidRPr="00211BAA" w:rsidRDefault="00001434" w:rsidP="00A817A6">
      <w:pPr>
        <w:pStyle w:val="NumberedParagraph"/>
      </w:pPr>
      <w:r w:rsidRPr="00211BAA">
        <w:t xml:space="preserve">Harnessing data and digital technology </w:t>
      </w:r>
      <w:proofErr w:type="gramStart"/>
      <w:r w:rsidRPr="00211BAA">
        <w:t>improves</w:t>
      </w:r>
      <w:proofErr w:type="gramEnd"/>
      <w:r w:rsidRPr="00211BAA">
        <w:t xml:space="preserve"> productivity by enabling automation of routine tasks and more efficient use of time and resources. </w:t>
      </w:r>
      <w:r w:rsidR="00A45195" w:rsidRPr="00211BAA">
        <w:t>Access to data and d</w:t>
      </w:r>
      <w:r w:rsidRPr="00211BAA">
        <w:t>igital tools also support</w:t>
      </w:r>
      <w:r w:rsidR="00A45195" w:rsidRPr="00211BAA">
        <w:t>s</w:t>
      </w:r>
      <w:r w:rsidRPr="00211BAA">
        <w:t xml:space="preserve"> </w:t>
      </w:r>
      <w:r w:rsidR="00124E29" w:rsidRPr="00211BAA">
        <w:t xml:space="preserve">further </w:t>
      </w:r>
      <w:r w:rsidRPr="00211BAA">
        <w:t xml:space="preserve">innovation and scale, allowing firms </w:t>
      </w:r>
      <w:r w:rsidR="006158F5" w:rsidRPr="00211BAA">
        <w:t xml:space="preserve">and governments </w:t>
      </w:r>
      <w:r w:rsidRPr="00211BAA">
        <w:t>to streamline processes, reduce costs, and deliver higher</w:t>
      </w:r>
      <w:r w:rsidRPr="00211BAA">
        <w:rPr>
          <w:rFonts w:ascii="Cambria Math" w:hAnsi="Cambria Math" w:cs="Cambria Math"/>
        </w:rPr>
        <w:t>‑</w:t>
      </w:r>
      <w:r w:rsidRPr="00211BAA">
        <w:t>value goods and services</w:t>
      </w:r>
      <w:r w:rsidR="006A1868" w:rsidRPr="00211BAA">
        <w:t>.</w:t>
      </w:r>
    </w:p>
    <w:p w14:paraId="098D90FB" w14:textId="1E554A95" w:rsidR="00D332B0" w:rsidRPr="00211BAA" w:rsidRDefault="007E7035">
      <w:pPr>
        <w:pStyle w:val="NumberedParagraph"/>
      </w:pPr>
      <w:r w:rsidRPr="00211BAA">
        <w:t>A</w:t>
      </w:r>
      <w:r w:rsidR="00FB4059" w:rsidRPr="00211BAA">
        <w:t>rtificial Intelligence</w:t>
      </w:r>
      <w:r w:rsidR="00A15DF7" w:rsidRPr="00211BAA">
        <w:t xml:space="preserve"> (AI)</w:t>
      </w:r>
      <w:r w:rsidR="00FB4059" w:rsidRPr="00211BAA">
        <w:t xml:space="preserve"> </w:t>
      </w:r>
      <w:r w:rsidR="004943E7" w:rsidRPr="00211BAA">
        <w:t xml:space="preserve">has the potential to </w:t>
      </w:r>
      <w:r w:rsidR="00A521F6" w:rsidRPr="00211BAA">
        <w:t xml:space="preserve">have wide applications across the economy and </w:t>
      </w:r>
      <w:r w:rsidR="000264A3" w:rsidRPr="00211BAA">
        <w:t xml:space="preserve">affect productivity </w:t>
      </w:r>
      <w:r w:rsidR="000D725A" w:rsidRPr="00211BAA">
        <w:t>through</w:t>
      </w:r>
      <w:r w:rsidR="000264A3" w:rsidRPr="00211BAA">
        <w:t xml:space="preserve"> multiple channels</w:t>
      </w:r>
      <w:r w:rsidR="00985598" w:rsidRPr="00211BAA">
        <w:t xml:space="preserve">. </w:t>
      </w:r>
      <w:r w:rsidR="0030573D" w:rsidRPr="00211BAA">
        <w:t>Although t</w:t>
      </w:r>
      <w:r w:rsidR="00985598" w:rsidRPr="00211BAA">
        <w:t>here is significant uncertainty around the scale and timing of these effects</w:t>
      </w:r>
      <w:r w:rsidR="0030573D" w:rsidRPr="00211BAA">
        <w:t xml:space="preserve">, </w:t>
      </w:r>
      <w:r w:rsidR="004651A7" w:rsidRPr="00211BAA">
        <w:t xml:space="preserve">it is likely </w:t>
      </w:r>
      <w:r w:rsidR="000C3B14" w:rsidRPr="00211BAA">
        <w:t>that</w:t>
      </w:r>
      <w:r w:rsidR="004651A7" w:rsidRPr="00211BAA">
        <w:t xml:space="preserve"> AI will automate routine tasks, augment worker capabilities</w:t>
      </w:r>
      <w:r w:rsidR="000C3B14" w:rsidRPr="00211BAA">
        <w:t>,</w:t>
      </w:r>
      <w:r w:rsidR="004651A7" w:rsidRPr="00211BAA">
        <w:t xml:space="preserve"> and </w:t>
      </w:r>
      <w:r w:rsidR="00AA3359" w:rsidRPr="00211BAA">
        <w:t>improve</w:t>
      </w:r>
      <w:r w:rsidR="004651A7" w:rsidRPr="00211BAA">
        <w:t xml:space="preserve"> organisational processes across business and government</w:t>
      </w:r>
      <w:r w:rsidR="00985598" w:rsidRPr="00211BAA">
        <w:t>. The key elements of the Government’s approach to AI are set out in:</w:t>
      </w:r>
    </w:p>
    <w:p w14:paraId="73810D4A" w14:textId="31CF323F" w:rsidR="00644629" w:rsidRPr="00211BAA" w:rsidRDefault="00644629" w:rsidP="00D332B0">
      <w:pPr>
        <w:pStyle w:val="Bulletparagraph"/>
      </w:pPr>
      <w:r w:rsidRPr="00211BAA">
        <w:t>Australia’s National AI Plan</w:t>
      </w:r>
      <w:r w:rsidR="00985598" w:rsidRPr="00211BAA">
        <w:t xml:space="preserve">, </w:t>
      </w:r>
      <w:r w:rsidR="001729B0" w:rsidRPr="00211BAA">
        <w:t xml:space="preserve">which </w:t>
      </w:r>
      <w:r w:rsidRPr="00211BAA">
        <w:t>provides a framework to coordinate action across government, industry, and the community</w:t>
      </w:r>
      <w:r w:rsidR="007A169D" w:rsidRPr="00211BAA">
        <w:t xml:space="preserve"> to</w:t>
      </w:r>
      <w:r w:rsidRPr="00211BAA">
        <w:t xml:space="preserve"> captur</w:t>
      </w:r>
      <w:r w:rsidR="007A169D" w:rsidRPr="00211BAA">
        <w:t>e</w:t>
      </w:r>
      <w:r w:rsidRPr="00211BAA">
        <w:t xml:space="preserve"> the economic opportunity of AI, spread its benefits, and manag</w:t>
      </w:r>
      <w:r w:rsidR="007A169D" w:rsidRPr="00211BAA">
        <w:t>e</w:t>
      </w:r>
      <w:r w:rsidRPr="00211BAA">
        <w:t xml:space="preserve"> </w:t>
      </w:r>
      <w:r w:rsidR="005615F6" w:rsidRPr="00211BAA">
        <w:t xml:space="preserve">its </w:t>
      </w:r>
      <w:r w:rsidRPr="00211BAA">
        <w:t xml:space="preserve">risks through appropriate safeguards. Its intended outcome is that AI is adopted widely and responsibly to lift productivity, improve services, and deliver broad-based benefits </w:t>
      </w:r>
      <w:r w:rsidR="003640C6" w:rsidRPr="00211BAA">
        <w:t xml:space="preserve">across Australia while </w:t>
      </w:r>
      <w:r w:rsidR="004F4040" w:rsidRPr="00211BAA">
        <w:t xml:space="preserve">upholding </w:t>
      </w:r>
      <w:r w:rsidR="003640C6" w:rsidRPr="00211BAA">
        <w:t>value and safety expectations</w:t>
      </w:r>
      <w:r w:rsidRPr="00211BAA">
        <w:t>.</w:t>
      </w:r>
    </w:p>
    <w:p w14:paraId="5BCB3448" w14:textId="657C348A" w:rsidR="00594553" w:rsidRPr="00211BAA" w:rsidRDefault="00594553" w:rsidP="00D332B0">
      <w:pPr>
        <w:pStyle w:val="Bulletparagraph"/>
      </w:pPr>
      <w:r w:rsidRPr="00211BAA">
        <w:t xml:space="preserve">The </w:t>
      </w:r>
      <w:r w:rsidR="008140D4" w:rsidRPr="00211BAA">
        <w:t>Australian Public Service (</w:t>
      </w:r>
      <w:r w:rsidRPr="00211BAA">
        <w:t>APS</w:t>
      </w:r>
      <w:r w:rsidR="008140D4" w:rsidRPr="00211BAA">
        <w:t>)</w:t>
      </w:r>
      <w:r w:rsidRPr="00211BAA">
        <w:t xml:space="preserve"> AI Plan</w:t>
      </w:r>
      <w:r w:rsidR="00985598" w:rsidRPr="00211BAA">
        <w:t>, which</w:t>
      </w:r>
      <w:r w:rsidRPr="00211BAA">
        <w:t xml:space="preserve"> sets out </w:t>
      </w:r>
      <w:r w:rsidR="00B77ACA" w:rsidRPr="00211BAA">
        <w:t xml:space="preserve">the </w:t>
      </w:r>
      <w:r w:rsidRPr="00211BAA">
        <w:t xml:space="preserve">approach to increasing the use of </w:t>
      </w:r>
      <w:r w:rsidR="00DE46F5" w:rsidRPr="00211BAA">
        <w:t>AI</w:t>
      </w:r>
      <w:r w:rsidRPr="00211BAA">
        <w:t xml:space="preserve"> across the </w:t>
      </w:r>
      <w:r w:rsidR="008140D4" w:rsidRPr="00211BAA">
        <w:t>APS</w:t>
      </w:r>
      <w:r w:rsidRPr="00211BAA">
        <w:t xml:space="preserve">. </w:t>
      </w:r>
      <w:r w:rsidR="00B77ACA" w:rsidRPr="00211BAA">
        <w:t>This</w:t>
      </w:r>
      <w:r w:rsidRPr="00211BAA">
        <w:t xml:space="preserve"> aims to support improvements in </w:t>
      </w:r>
      <w:r w:rsidR="00416987" w:rsidRPr="00211BAA">
        <w:t xml:space="preserve">government </w:t>
      </w:r>
      <w:r w:rsidRPr="00211BAA">
        <w:t>service delivery, efficiency and productivity, while strengthening governance to ensure AI is used safely and responsibly.</w:t>
      </w:r>
      <w:r w:rsidR="003833DB" w:rsidRPr="00211BAA">
        <w:t xml:space="preserve"> The Government is also building the foundational capability of public services to use AI responsibly </w:t>
      </w:r>
      <w:r w:rsidR="00A00ECB" w:rsidRPr="00211BAA">
        <w:t>including AI literacy training mandated for all staff</w:t>
      </w:r>
      <w:r w:rsidR="009F28EA" w:rsidRPr="00211BAA">
        <w:t>,</w:t>
      </w:r>
      <w:r w:rsidR="008972AA" w:rsidRPr="00211BAA">
        <w:t xml:space="preserve"> and practical train</w:t>
      </w:r>
      <w:r w:rsidR="00B2150E" w:rsidRPr="00211BAA">
        <w:t xml:space="preserve">ing such as </w:t>
      </w:r>
      <w:proofErr w:type="spellStart"/>
      <w:r w:rsidR="00B2150E" w:rsidRPr="00211BAA">
        <w:t>GovAI</w:t>
      </w:r>
      <w:proofErr w:type="spellEnd"/>
      <w:r w:rsidR="00B2150E" w:rsidRPr="00211BAA">
        <w:t xml:space="preserve"> interactive learning.</w:t>
      </w:r>
    </w:p>
    <w:p w14:paraId="55FCD9DF" w14:textId="0D7BBA87" w:rsidR="00CA4816" w:rsidRPr="00211BAA" w:rsidRDefault="00600F16" w:rsidP="00A817A6">
      <w:pPr>
        <w:pStyle w:val="NumberedParagraph"/>
      </w:pPr>
      <w:r w:rsidRPr="00211BAA">
        <w:lastRenderedPageBreak/>
        <w:t>The process of</w:t>
      </w:r>
      <w:r w:rsidR="00AA44F3" w:rsidRPr="00211BAA">
        <w:t xml:space="preserve"> generating new knowledge and enhancing </w:t>
      </w:r>
      <w:r w:rsidR="003D769D" w:rsidRPr="00211BAA">
        <w:t>Australia’s capacity to adopt, adapt and diffuse existing technologies</w:t>
      </w:r>
      <w:r w:rsidRPr="00211BAA">
        <w:t xml:space="preserve"> is supported by </w:t>
      </w:r>
      <w:r w:rsidR="000D725A" w:rsidRPr="00211BAA">
        <w:t>well-functioning</w:t>
      </w:r>
      <w:r w:rsidR="00D01B0B" w:rsidRPr="00211BAA">
        <w:t xml:space="preserve"> </w:t>
      </w:r>
      <w:r w:rsidR="00985F87" w:rsidRPr="00211BAA">
        <w:t>research and scientific in</w:t>
      </w:r>
      <w:r w:rsidR="00C249EC" w:rsidRPr="00211BAA">
        <w:t>stitutions.</w:t>
      </w:r>
      <w:r w:rsidR="009F2D52" w:rsidRPr="00211BAA">
        <w:t xml:space="preserve"> </w:t>
      </w:r>
    </w:p>
    <w:p w14:paraId="363AF8A2" w14:textId="09A174C6" w:rsidR="002208F5" w:rsidRPr="00211BAA" w:rsidRDefault="000C68C2" w:rsidP="00CA4816">
      <w:pPr>
        <w:pStyle w:val="Bulletparagraph"/>
      </w:pPr>
      <w:r w:rsidRPr="00211BAA">
        <w:t>The Government has made investments in Australia’s scientific institutions</w:t>
      </w:r>
      <w:r w:rsidR="00536C18" w:rsidRPr="00211BAA">
        <w:t xml:space="preserve"> and infrastructure, including </w:t>
      </w:r>
      <w:r w:rsidR="003A6E68" w:rsidRPr="00211BAA">
        <w:t xml:space="preserve">in CSIRO, </w:t>
      </w:r>
      <w:r w:rsidR="00B96C27" w:rsidRPr="00211BAA">
        <w:t xml:space="preserve">the </w:t>
      </w:r>
      <w:r w:rsidR="003A6E68" w:rsidRPr="00211BAA">
        <w:t>National Measurement Institute, Australian Nuclear Science and Technology Organisation (ANSTO), Australian Space Agency, Square Kilometre Array</w:t>
      </w:r>
      <w:r w:rsidR="004B64CF" w:rsidRPr="00211BAA">
        <w:t xml:space="preserve">, and Geoscience Australia to support innovation and R&amp;D. </w:t>
      </w:r>
    </w:p>
    <w:p w14:paraId="15E284A6" w14:textId="1D007952" w:rsidR="00BE485E" w:rsidRPr="00211BAA" w:rsidRDefault="004B64CF" w:rsidP="00CA4816">
      <w:pPr>
        <w:pStyle w:val="Bulletparagraph"/>
      </w:pPr>
      <w:r w:rsidRPr="00211BAA">
        <w:t xml:space="preserve">The Government has released a Critical Technologies List and the National Science Research Priorities, providing a focal point for </w:t>
      </w:r>
      <w:r w:rsidR="00A61DED" w:rsidRPr="00211BAA">
        <w:t>g</w:t>
      </w:r>
      <w:r w:rsidR="000422F7" w:rsidRPr="00211BAA">
        <w:t>overnment effort and investment.</w:t>
      </w:r>
    </w:p>
    <w:p w14:paraId="58DB22E3" w14:textId="64EB737D" w:rsidR="00CA4816" w:rsidRPr="00211BAA" w:rsidRDefault="00955393">
      <w:pPr>
        <w:pStyle w:val="NumberedParagraph"/>
      </w:pPr>
      <w:r w:rsidRPr="00211BAA">
        <w:t xml:space="preserve">Productivity benefits of technology adoption also </w:t>
      </w:r>
      <w:r w:rsidR="00ED6B7D" w:rsidRPr="00211BAA">
        <w:t>depend</w:t>
      </w:r>
      <w:r w:rsidR="00CB6133" w:rsidRPr="00211BAA">
        <w:t xml:space="preserve"> on the availability of enabling infrastructure and </w:t>
      </w:r>
      <w:r w:rsidR="00313F07" w:rsidRPr="00211BAA">
        <w:t xml:space="preserve">foundational skills, which </w:t>
      </w:r>
      <w:r w:rsidR="00EE02C7" w:rsidRPr="00211BAA">
        <w:t xml:space="preserve">best </w:t>
      </w:r>
      <w:r w:rsidR="00AA3666" w:rsidRPr="00211BAA">
        <w:t>support</w:t>
      </w:r>
      <w:r w:rsidR="003A535D" w:rsidRPr="00211BAA">
        <w:t xml:space="preserve"> </w:t>
      </w:r>
      <w:r w:rsidR="00914C4F" w:rsidRPr="00211BAA">
        <w:t>business</w:t>
      </w:r>
      <w:r w:rsidR="003159E2" w:rsidRPr="00211BAA">
        <w:t>es</w:t>
      </w:r>
      <w:r w:rsidR="00914C4F" w:rsidRPr="00211BAA">
        <w:t xml:space="preserve"> and worker</w:t>
      </w:r>
      <w:r w:rsidR="003159E2" w:rsidRPr="00211BAA">
        <w:t>s</w:t>
      </w:r>
      <w:r w:rsidR="00F279E1" w:rsidRPr="00211BAA">
        <w:t>’</w:t>
      </w:r>
      <w:r w:rsidR="00914C4F" w:rsidRPr="00211BAA">
        <w:t xml:space="preserve"> </w:t>
      </w:r>
      <w:r w:rsidR="00DF1BF4" w:rsidRPr="00211BAA">
        <w:t>capability</w:t>
      </w:r>
      <w:r w:rsidR="00914C4F" w:rsidRPr="00211BAA">
        <w:t xml:space="preserve"> to </w:t>
      </w:r>
      <w:r w:rsidR="00624D76" w:rsidRPr="00211BAA">
        <w:t xml:space="preserve">translate </w:t>
      </w:r>
      <w:r w:rsidR="00A1502D" w:rsidRPr="00211BAA">
        <w:t xml:space="preserve">investments into </w:t>
      </w:r>
      <w:r w:rsidR="002E76DE" w:rsidRPr="00211BAA">
        <w:t>productive gains</w:t>
      </w:r>
      <w:r w:rsidR="003159E2" w:rsidRPr="00211BAA">
        <w:t>.</w:t>
      </w:r>
    </w:p>
    <w:p w14:paraId="0F85F1C3" w14:textId="12080602" w:rsidR="00FF656E" w:rsidRPr="00211BAA" w:rsidRDefault="00CB4DFE" w:rsidP="00CA4816">
      <w:pPr>
        <w:pStyle w:val="Bulletparagraph"/>
      </w:pPr>
      <w:r w:rsidRPr="00211BAA">
        <w:t>More investments in</w:t>
      </w:r>
      <w:r w:rsidR="00603563" w:rsidRPr="00211BAA">
        <w:t xml:space="preserve"> expand</w:t>
      </w:r>
      <w:r w:rsidRPr="00211BAA">
        <w:t>ing</w:t>
      </w:r>
      <w:r w:rsidR="00603563" w:rsidRPr="00211BAA">
        <w:t xml:space="preserve"> full-fibre NBN access </w:t>
      </w:r>
      <w:r w:rsidR="00411928" w:rsidRPr="00211BAA">
        <w:t xml:space="preserve">are providing internet connectivity to </w:t>
      </w:r>
      <w:r w:rsidR="00603563" w:rsidRPr="00211BAA">
        <w:t xml:space="preserve">additional premises </w:t>
      </w:r>
      <w:r w:rsidRPr="00211BAA">
        <w:t>in regional and rural areas</w:t>
      </w:r>
      <w:r w:rsidR="00411928" w:rsidRPr="00211BAA">
        <w:t>.</w:t>
      </w:r>
      <w:r w:rsidRPr="00211BAA">
        <w:t xml:space="preserve"> </w:t>
      </w:r>
      <w:r w:rsidR="00411928" w:rsidRPr="00211BAA">
        <w:t>T</w:t>
      </w:r>
      <w:r w:rsidRPr="00211BAA">
        <w:t>h</w:t>
      </w:r>
      <w:r w:rsidR="00411928" w:rsidRPr="00211BAA">
        <w:t>is</w:t>
      </w:r>
      <w:r w:rsidRPr="00211BAA">
        <w:t xml:space="preserve"> </w:t>
      </w:r>
      <w:r w:rsidR="00E802C5" w:rsidRPr="00211BAA">
        <w:t>supports</w:t>
      </w:r>
      <w:r w:rsidR="0071629E" w:rsidRPr="00211BAA">
        <w:t xml:space="preserve"> </w:t>
      </w:r>
      <w:r w:rsidR="00E802C5" w:rsidRPr="00211BAA">
        <w:t>growth</w:t>
      </w:r>
      <w:r w:rsidR="00411928" w:rsidRPr="00211BAA">
        <w:t xml:space="preserve"> </w:t>
      </w:r>
      <w:r w:rsidR="000B52E7" w:rsidRPr="00211BAA">
        <w:t xml:space="preserve">by </w:t>
      </w:r>
      <w:r w:rsidR="0071629E" w:rsidRPr="00211BAA">
        <w:t>enabl</w:t>
      </w:r>
      <w:r w:rsidR="000B579F" w:rsidRPr="00211BAA">
        <w:t xml:space="preserve">ing </w:t>
      </w:r>
      <w:r w:rsidR="001A2A57" w:rsidRPr="00211BAA">
        <w:t xml:space="preserve">investment, </w:t>
      </w:r>
      <w:r w:rsidR="001F1405" w:rsidRPr="00211BAA">
        <w:t>skills development,</w:t>
      </w:r>
      <w:r w:rsidR="0071629E" w:rsidRPr="00211BAA">
        <w:t xml:space="preserve"> innovation</w:t>
      </w:r>
      <w:r w:rsidR="000B579F" w:rsidRPr="00211BAA">
        <w:t xml:space="preserve"> and diffusion</w:t>
      </w:r>
      <w:r w:rsidR="0071629E" w:rsidRPr="00211BAA">
        <w:t>.</w:t>
      </w:r>
    </w:p>
    <w:p w14:paraId="3741B12C" w14:textId="77777777" w:rsidR="00CA4816" w:rsidRPr="00211BAA" w:rsidRDefault="00CA4816" w:rsidP="00CA4816">
      <w:pPr>
        <w:pStyle w:val="Bulletparagraph"/>
      </w:pPr>
      <w:r w:rsidRPr="00211BAA">
        <w:t>Improving access to foundational digital skills is included in the Government’s actions on building a skilled and adaptable workforce. Ensuring Australia’s digital and technological capability is an agreed national priority under the National Skills Agreement.</w:t>
      </w:r>
    </w:p>
    <w:p w14:paraId="1EBB1EC0" w14:textId="66405BCF" w:rsidR="00CA4816" w:rsidRPr="00211BAA" w:rsidRDefault="00C21E90" w:rsidP="00A817A6">
      <w:pPr>
        <w:pStyle w:val="NumberedParagraph"/>
      </w:pPr>
      <w:r w:rsidRPr="00211BAA">
        <w:t>Government can support the realisation of t</w:t>
      </w:r>
      <w:r w:rsidR="00FE22F3" w:rsidRPr="00211BAA">
        <w:t>he b</w:t>
      </w:r>
      <w:r w:rsidR="00846368" w:rsidRPr="00211BAA">
        <w:t>enefits of</w:t>
      </w:r>
      <w:r w:rsidR="006908D5" w:rsidRPr="00211BAA">
        <w:t xml:space="preserve"> </w:t>
      </w:r>
      <w:r w:rsidR="00543CAE" w:rsidRPr="00211BAA">
        <w:t>new technologies</w:t>
      </w:r>
      <w:r w:rsidR="006908D5" w:rsidRPr="00211BAA">
        <w:t xml:space="preserve"> </w:t>
      </w:r>
      <w:r w:rsidRPr="00211BAA">
        <w:t xml:space="preserve">by </w:t>
      </w:r>
      <w:r w:rsidR="00FE22F3" w:rsidRPr="00211BAA">
        <w:t xml:space="preserve">helping to </w:t>
      </w:r>
      <w:r w:rsidR="00964224" w:rsidRPr="00211BAA">
        <w:t>lower barriers</w:t>
      </w:r>
      <w:r w:rsidR="00F934DD" w:rsidRPr="00211BAA">
        <w:t xml:space="preserve"> to adoption</w:t>
      </w:r>
      <w:r w:rsidR="00964224" w:rsidRPr="00211BAA">
        <w:t xml:space="preserve">, </w:t>
      </w:r>
      <w:r w:rsidR="005335C9" w:rsidRPr="00211BAA">
        <w:t>improv</w:t>
      </w:r>
      <w:r w:rsidR="00FE22F3" w:rsidRPr="00211BAA">
        <w:t>ing</w:t>
      </w:r>
      <w:r w:rsidR="005335C9" w:rsidRPr="00211BAA">
        <w:t xml:space="preserve"> trust</w:t>
      </w:r>
      <w:r w:rsidR="00FE22F3" w:rsidRPr="00211BAA">
        <w:t>,</w:t>
      </w:r>
      <w:r w:rsidR="005335C9" w:rsidRPr="00211BAA">
        <w:t xml:space="preserve"> and </w:t>
      </w:r>
      <w:r w:rsidRPr="00211BAA">
        <w:t xml:space="preserve">enabling </w:t>
      </w:r>
      <w:r w:rsidR="002330A0" w:rsidRPr="00211BAA">
        <w:t>interoperability</w:t>
      </w:r>
      <w:r w:rsidR="00CD2A31" w:rsidRPr="00211BAA">
        <w:t>.</w:t>
      </w:r>
      <w:r w:rsidRPr="00211BAA">
        <w:t xml:space="preserve"> For example:</w:t>
      </w:r>
    </w:p>
    <w:p w14:paraId="7E3BEEA2" w14:textId="7E214610" w:rsidR="00FF656E" w:rsidRPr="00211BAA" w:rsidRDefault="00FF656E" w:rsidP="00552648">
      <w:pPr>
        <w:pStyle w:val="Bulletparagraph"/>
      </w:pPr>
      <w:r w:rsidRPr="00211BAA">
        <w:t xml:space="preserve">The Government is implementing a </w:t>
      </w:r>
      <w:r w:rsidR="006A278D" w:rsidRPr="00211BAA">
        <w:t xml:space="preserve">reset to </w:t>
      </w:r>
      <w:r w:rsidRPr="00211BAA">
        <w:t xml:space="preserve">the Consumer Data Right </w:t>
      </w:r>
      <w:r w:rsidR="002519C0" w:rsidRPr="00211BAA">
        <w:t>(CDR)</w:t>
      </w:r>
      <w:r w:rsidRPr="00211BAA">
        <w:t xml:space="preserve"> to </w:t>
      </w:r>
      <w:r w:rsidR="00B8388D" w:rsidRPr="00211BAA">
        <w:t>improve</w:t>
      </w:r>
      <w:r w:rsidRPr="00211BAA">
        <w:t xml:space="preserve"> cost effectiveness and increas</w:t>
      </w:r>
      <w:r w:rsidR="00B8388D" w:rsidRPr="00211BAA">
        <w:t>e</w:t>
      </w:r>
      <w:r w:rsidRPr="00211BAA">
        <w:t xml:space="preserve"> uptake by addressing key barriers to use</w:t>
      </w:r>
      <w:r w:rsidR="00B83D5F" w:rsidRPr="00211BAA">
        <w:t>. This has led</w:t>
      </w:r>
      <w:r w:rsidR="00934BF4" w:rsidRPr="00211BAA">
        <w:t xml:space="preserve"> to higher rates of consumer uptake</w:t>
      </w:r>
      <w:r w:rsidRPr="00211BAA">
        <w:t xml:space="preserve">. Consumer uptake </w:t>
      </w:r>
      <w:r w:rsidR="00A57E9B" w:rsidRPr="00211BAA">
        <w:t>increased</w:t>
      </w:r>
      <w:r w:rsidRPr="00211BAA">
        <w:t xml:space="preserve"> from around 225,000 to over 800,000 over the 12 months to 30 June 2025. At the same time, costs to CDR participants have fallen as the frequency of data standard changes has reduced</w:t>
      </w:r>
      <w:r w:rsidR="00EB7C7B" w:rsidRPr="00211BAA">
        <w:t>,</w:t>
      </w:r>
      <w:r w:rsidRPr="00211BAA">
        <w:t xml:space="preserve"> </w:t>
      </w:r>
      <w:r w:rsidR="00EB31D5" w:rsidRPr="00211BAA">
        <w:t xml:space="preserve">due to </w:t>
      </w:r>
      <w:r w:rsidRPr="00211BAA">
        <w:t>better targeting of the scope of data included in the CDR.</w:t>
      </w:r>
    </w:p>
    <w:p w14:paraId="38C47770" w14:textId="1F2FA457" w:rsidR="00C97243" w:rsidRPr="00211BAA" w:rsidRDefault="003C4F92" w:rsidP="00552648">
      <w:pPr>
        <w:pStyle w:val="Bulletparagraph"/>
      </w:pPr>
      <w:r w:rsidRPr="00211BAA">
        <w:t xml:space="preserve">Investment in Digital ID is </w:t>
      </w:r>
      <w:r w:rsidR="00D61C7D" w:rsidRPr="00211BAA">
        <w:t>improving</w:t>
      </w:r>
      <w:r w:rsidRPr="00211BAA">
        <w:t xml:space="preserve"> </w:t>
      </w:r>
      <w:r w:rsidR="00A547EC" w:rsidRPr="00211BAA">
        <w:t xml:space="preserve">the safety of </w:t>
      </w:r>
      <w:r w:rsidRPr="00211BAA">
        <w:t xml:space="preserve">Australians by reducing collection of their identity information, while realising wider productivity gains and efficiencies for government services. </w:t>
      </w:r>
      <w:r w:rsidR="000804D5" w:rsidRPr="00211BAA">
        <w:t>G</w:t>
      </w:r>
      <w:r w:rsidRPr="00211BAA">
        <w:t>overnment services adoption of Digital ID increased to 93.6 million transactions in 2025 from 25.1 million in 2024</w:t>
      </w:r>
      <w:r w:rsidR="00607B93" w:rsidRPr="00211BAA">
        <w:t xml:space="preserve"> – including state and territor</w:t>
      </w:r>
      <w:r w:rsidR="0097585E" w:rsidRPr="00211BAA">
        <w:t>y services</w:t>
      </w:r>
      <w:r w:rsidRPr="00211BAA">
        <w:t xml:space="preserve">. The private sector will be able to apply to join the </w:t>
      </w:r>
      <w:r w:rsidR="00BE6849" w:rsidRPr="00211BAA">
        <w:t>G</w:t>
      </w:r>
      <w:r w:rsidRPr="00211BAA">
        <w:t xml:space="preserve">overnment </w:t>
      </w:r>
      <w:r w:rsidR="000252E3" w:rsidRPr="00211BAA">
        <w:t>s</w:t>
      </w:r>
      <w:r w:rsidRPr="00211BAA">
        <w:t>ystem from December 2026.</w:t>
      </w:r>
    </w:p>
    <w:p w14:paraId="2CAC6421" w14:textId="77777777" w:rsidR="00742C29" w:rsidRPr="00211BAA" w:rsidRDefault="00742C29" w:rsidP="007B165E">
      <w:pPr>
        <w:pStyle w:val="Heading3"/>
        <w:rPr>
          <w:iCs w:val="0"/>
          <w:color w:val="auto"/>
        </w:rPr>
      </w:pPr>
      <w:bookmarkStart w:id="51" w:name="_Toc224894000"/>
      <w:r w:rsidRPr="00211BAA">
        <w:rPr>
          <w:iCs w:val="0"/>
          <w:color w:val="auto"/>
        </w:rPr>
        <w:t>Delivering quality care more efficiently</w:t>
      </w:r>
      <w:bookmarkEnd w:id="51"/>
      <w:r w:rsidRPr="00211BAA">
        <w:rPr>
          <w:iCs w:val="0"/>
          <w:color w:val="auto"/>
        </w:rPr>
        <w:t xml:space="preserve"> </w:t>
      </w:r>
    </w:p>
    <w:p w14:paraId="76A7D4A9" w14:textId="7F52C08E" w:rsidR="000241C0" w:rsidRPr="00211BAA" w:rsidRDefault="000241C0" w:rsidP="00A817A6">
      <w:pPr>
        <w:pStyle w:val="NumberedParagraph"/>
      </w:pPr>
      <w:r w:rsidRPr="00211BAA">
        <w:t>Delivering quality care more efficiently improves productivity by achieving better outcomes with the same or fewer resources</w:t>
      </w:r>
      <w:r w:rsidR="002D5D2B" w:rsidRPr="00211BAA">
        <w:t xml:space="preserve"> in the care economy</w:t>
      </w:r>
      <w:r w:rsidRPr="00211BAA">
        <w:t>, freeing capacity for workers and systems to focus on activities</w:t>
      </w:r>
      <w:r w:rsidR="002D2E39" w:rsidRPr="00211BAA">
        <w:t xml:space="preserve"> that create higher value for care recipients</w:t>
      </w:r>
      <w:r w:rsidRPr="00211BAA">
        <w:t>. Efficiency gains also reduce avoidable costs and downtime, supporting a healthier workforce and more sustainable long</w:t>
      </w:r>
      <w:r w:rsidRPr="00211BAA">
        <w:rPr>
          <w:rFonts w:ascii="Cambria Math" w:hAnsi="Cambria Math" w:cs="Cambria Math"/>
        </w:rPr>
        <w:t>‑</w:t>
      </w:r>
      <w:r w:rsidRPr="00211BAA">
        <w:t>term growth.</w:t>
      </w:r>
    </w:p>
    <w:p w14:paraId="525E7E76" w14:textId="4DF1CF16" w:rsidR="000347D8" w:rsidRPr="00211BAA" w:rsidRDefault="004C1025" w:rsidP="00A817A6">
      <w:pPr>
        <w:pStyle w:val="NumberedParagraph"/>
      </w:pPr>
      <w:r w:rsidRPr="00211BAA">
        <w:t xml:space="preserve">One way these </w:t>
      </w:r>
      <w:r w:rsidR="00F87D13" w:rsidRPr="00211BAA">
        <w:t xml:space="preserve">efficiency gains </w:t>
      </w:r>
      <w:r w:rsidR="00AF0A34" w:rsidRPr="00211BAA">
        <w:t>can be</w:t>
      </w:r>
      <w:r w:rsidR="00F87D13" w:rsidRPr="00211BAA">
        <w:t xml:space="preserve"> </w:t>
      </w:r>
      <w:r w:rsidR="0031503D" w:rsidRPr="00211BAA">
        <w:t xml:space="preserve">achieved is </w:t>
      </w:r>
      <w:r w:rsidR="00AF0A34" w:rsidRPr="00211BAA">
        <w:t>by</w:t>
      </w:r>
      <w:r w:rsidR="0031503D" w:rsidRPr="00211BAA">
        <w:t xml:space="preserve"> </w:t>
      </w:r>
      <w:r w:rsidR="00C21E90" w:rsidRPr="00211BAA">
        <w:t xml:space="preserve">ensuring that the right care is delivered in the </w:t>
      </w:r>
      <w:r w:rsidR="009168B2">
        <w:t xml:space="preserve">right </w:t>
      </w:r>
      <w:r w:rsidR="00C21E90" w:rsidRPr="00211BAA">
        <w:t xml:space="preserve">setting at the right time. This </w:t>
      </w:r>
      <w:r w:rsidR="00AF0A34" w:rsidRPr="00211BAA">
        <w:t>improv</w:t>
      </w:r>
      <w:r w:rsidR="00C21E90" w:rsidRPr="00211BAA">
        <w:t>es</w:t>
      </w:r>
      <w:r w:rsidR="00E96729" w:rsidRPr="00211BAA">
        <w:t xml:space="preserve"> outcomes for </w:t>
      </w:r>
      <w:r w:rsidR="00C21E90" w:rsidRPr="00211BAA">
        <w:t xml:space="preserve">care </w:t>
      </w:r>
      <w:r w:rsidR="003F312E" w:rsidRPr="00211BAA">
        <w:t>recipients</w:t>
      </w:r>
      <w:r w:rsidR="00C21E90" w:rsidRPr="00211BAA">
        <w:t>,</w:t>
      </w:r>
      <w:r w:rsidR="003F312E" w:rsidRPr="00211BAA">
        <w:t xml:space="preserve"> </w:t>
      </w:r>
      <w:r w:rsidR="00AF0A34" w:rsidRPr="00211BAA">
        <w:t>while reducing time and costs</w:t>
      </w:r>
      <w:r w:rsidR="00BB6680" w:rsidRPr="00211BAA">
        <w:t xml:space="preserve"> across the system.</w:t>
      </w:r>
      <w:r w:rsidR="00C21E90" w:rsidRPr="00211BAA">
        <w:t xml:space="preserve"> For example:</w:t>
      </w:r>
    </w:p>
    <w:p w14:paraId="588CD049" w14:textId="454C98D0" w:rsidR="00B50DB0" w:rsidRPr="00211BAA" w:rsidRDefault="00F93903" w:rsidP="000347D8">
      <w:pPr>
        <w:pStyle w:val="Bulletparagraph"/>
      </w:pPr>
      <w:r w:rsidRPr="00211BAA">
        <w:t xml:space="preserve">Investments in primary care and alternative pathways for </w:t>
      </w:r>
      <w:r w:rsidR="000C50CA" w:rsidRPr="00211BAA">
        <w:t xml:space="preserve">acute care can reduce </w:t>
      </w:r>
      <w:r w:rsidR="00CE5FF4" w:rsidRPr="00211BAA">
        <w:t xml:space="preserve">the cost of healthcare </w:t>
      </w:r>
      <w:r w:rsidR="000C50CA" w:rsidRPr="00211BAA">
        <w:t xml:space="preserve">while </w:t>
      </w:r>
      <w:r w:rsidR="00AB2A57" w:rsidRPr="00211BAA">
        <w:t>increasing system-wide productivity</w:t>
      </w:r>
      <w:r w:rsidR="000C50CA" w:rsidRPr="00211BAA">
        <w:t xml:space="preserve">. </w:t>
      </w:r>
      <w:r w:rsidR="00A02A63" w:rsidRPr="00211BAA">
        <w:t xml:space="preserve">The launch of </w:t>
      </w:r>
      <w:r w:rsidR="00D63F3D" w:rsidRPr="00211BAA">
        <w:t xml:space="preserve">a 24/7 telehealth </w:t>
      </w:r>
      <w:r w:rsidR="00D63F3D" w:rsidRPr="00211BAA">
        <w:lastRenderedPageBreak/>
        <w:t>service (</w:t>
      </w:r>
      <w:r w:rsidR="008B13A3" w:rsidRPr="00211BAA">
        <w:t>1800Medicare</w:t>
      </w:r>
      <w:r w:rsidR="00D63F3D" w:rsidRPr="00211BAA">
        <w:t xml:space="preserve">) </w:t>
      </w:r>
      <w:r w:rsidR="008B13A3" w:rsidRPr="00211BAA">
        <w:t xml:space="preserve">and </w:t>
      </w:r>
      <w:r w:rsidR="69D62E60" w:rsidRPr="00211BAA">
        <w:t>the</w:t>
      </w:r>
      <w:r w:rsidR="008B13A3" w:rsidRPr="00211BAA">
        <w:t xml:space="preserve"> continu</w:t>
      </w:r>
      <w:r w:rsidR="001A183E" w:rsidRPr="00211BAA">
        <w:t>ed</w:t>
      </w:r>
      <w:r w:rsidR="008B13A3" w:rsidRPr="00211BAA">
        <w:t xml:space="preserve"> roll out</w:t>
      </w:r>
      <w:r w:rsidR="1EA23253" w:rsidRPr="00211BAA">
        <w:t xml:space="preserve"> of the </w:t>
      </w:r>
      <w:r w:rsidR="008B13A3" w:rsidRPr="00211BAA">
        <w:t xml:space="preserve">network of </w:t>
      </w:r>
      <w:r w:rsidR="00D63F3D" w:rsidRPr="00211BAA">
        <w:t xml:space="preserve">urgent care clinics </w:t>
      </w:r>
      <w:r w:rsidR="008B13A3" w:rsidRPr="00211BAA">
        <w:t>nationwide</w:t>
      </w:r>
      <w:r w:rsidR="00996ED3" w:rsidRPr="00211BAA">
        <w:t xml:space="preserve"> </w:t>
      </w:r>
      <w:r w:rsidR="003073F7" w:rsidRPr="00211BAA">
        <w:t xml:space="preserve">can help </w:t>
      </w:r>
      <w:r w:rsidR="00ED2B68" w:rsidRPr="00211BAA">
        <w:t xml:space="preserve">avoid unnecessary presentations to hospital emergency departments. </w:t>
      </w:r>
    </w:p>
    <w:p w14:paraId="06B9012E" w14:textId="2D1F6826" w:rsidR="00CE5FF4" w:rsidRPr="00211BAA" w:rsidRDefault="00A46FAA" w:rsidP="000347D8">
      <w:pPr>
        <w:pStyle w:val="Bulletparagraph"/>
      </w:pPr>
      <w:r w:rsidRPr="00211BAA">
        <w:t xml:space="preserve">The </w:t>
      </w:r>
      <w:r w:rsidR="00B8761E" w:rsidRPr="00211BAA">
        <w:t>new</w:t>
      </w:r>
      <w:r w:rsidRPr="00211BAA">
        <w:t xml:space="preserve"> Chronic Conditions Prevention and Integrated Care Program provides ongoing, competitive grants to support evidence</w:t>
      </w:r>
      <w:r w:rsidRPr="00211BAA">
        <w:rPr>
          <w:rFonts w:ascii="Cambria Math" w:hAnsi="Cambria Math" w:cs="Cambria Math"/>
        </w:rPr>
        <w:t>‑</w:t>
      </w:r>
      <w:r w:rsidRPr="00211BAA">
        <w:t>based prevention, early intervention and integrated care for people living with, or at risk of developing, chronic conditions.</w:t>
      </w:r>
    </w:p>
    <w:p w14:paraId="3C089910" w14:textId="136B4C7E" w:rsidR="54B05FC1" w:rsidRPr="00211BAA" w:rsidRDefault="54B05FC1" w:rsidP="000347D8">
      <w:pPr>
        <w:pStyle w:val="Bulletparagraph"/>
      </w:pPr>
      <w:r w:rsidRPr="00211BAA">
        <w:t xml:space="preserve">The </w:t>
      </w:r>
      <w:r w:rsidR="00E50C45" w:rsidRPr="00211BAA">
        <w:t>G</w:t>
      </w:r>
      <w:r w:rsidRPr="00211BAA">
        <w:t>overnment</w:t>
      </w:r>
      <w:r w:rsidR="009D7C8E" w:rsidRPr="00211BAA">
        <w:t xml:space="preserve"> </w:t>
      </w:r>
      <w:r w:rsidR="00616738" w:rsidRPr="00211BAA">
        <w:t>has continued to</w:t>
      </w:r>
      <w:r w:rsidR="00AC1202" w:rsidRPr="00211BAA">
        <w:t xml:space="preserve"> invest in</w:t>
      </w:r>
      <w:r w:rsidR="00EA5989" w:rsidRPr="00211BAA">
        <w:t xml:space="preserve"> mental health </w:t>
      </w:r>
      <w:r w:rsidR="00526AE7" w:rsidRPr="00211BAA">
        <w:t>prevention and early intervention</w:t>
      </w:r>
      <w:r w:rsidR="00A0028F" w:rsidRPr="00211BAA">
        <w:t xml:space="preserve">, and recently </w:t>
      </w:r>
      <w:r w:rsidR="00F66454" w:rsidRPr="00211BAA">
        <w:t>launched</w:t>
      </w:r>
      <w:r w:rsidRPr="00211BAA">
        <w:t xml:space="preserve"> Medicare Mental Health Check-In service, which focuses on low intensity digital services for early intervention and prevention.</w:t>
      </w:r>
    </w:p>
    <w:p w14:paraId="3462DBF5" w14:textId="0E758F71" w:rsidR="00190C8D" w:rsidRPr="00211BAA" w:rsidRDefault="0049379B">
      <w:pPr>
        <w:pStyle w:val="Bulletparagraph"/>
      </w:pPr>
      <w:r w:rsidRPr="00211BAA">
        <w:t>Regulatory and advisory bodies undertake health technology assessments to evaluate the safety, quality, effectiveness and cost</w:t>
      </w:r>
      <w:r w:rsidRPr="00211BAA">
        <w:noBreakHyphen/>
        <w:t>effectiveness of medicines, medical devices and other health technologies. These assessments inform decisions on market access and government subsidy, ensuring public funding supports safe and effective improvements to healthcare.</w:t>
      </w:r>
      <w:r w:rsidR="00190C8D" w:rsidRPr="00211BAA">
        <w:t xml:space="preserve"> The Health Technology Assessment Review </w:t>
      </w:r>
      <w:r w:rsidR="00BC3634" w:rsidRPr="00211BAA">
        <w:t xml:space="preserve">report, delivered in 2024, </w:t>
      </w:r>
      <w:r w:rsidR="00115977" w:rsidRPr="00211BAA">
        <w:t>made</w:t>
      </w:r>
      <w:r w:rsidR="00BC3634" w:rsidRPr="00211BAA">
        <w:t xml:space="preserve"> </w:t>
      </w:r>
      <w:r w:rsidR="00190C8D" w:rsidRPr="00211BAA">
        <w:t>50</w:t>
      </w:r>
      <w:r w:rsidR="00D01BC1" w:rsidRPr="00211BAA">
        <w:t> </w:t>
      </w:r>
      <w:r w:rsidR="00190C8D" w:rsidRPr="00211BAA">
        <w:t>recommendations intended to make the system more efficient, equitable, and capable of keeping pace with modern, complex therapies.</w:t>
      </w:r>
      <w:r w:rsidR="00BC3634" w:rsidRPr="00211BAA">
        <w:t xml:space="preserve"> The Government </w:t>
      </w:r>
      <w:r w:rsidR="00716B44" w:rsidRPr="00211BAA">
        <w:t xml:space="preserve">is working with expert advisers and stakeholders to </w:t>
      </w:r>
      <w:r w:rsidR="00062BB8" w:rsidRPr="00211BAA">
        <w:t>implement reforms in response to the report.</w:t>
      </w:r>
    </w:p>
    <w:p w14:paraId="2FC85BBA" w14:textId="48F16639" w:rsidR="00A02E72" w:rsidRPr="00211BAA" w:rsidRDefault="00EB216A" w:rsidP="000347D8">
      <w:pPr>
        <w:pStyle w:val="Bulletparagraph"/>
      </w:pPr>
      <w:r w:rsidRPr="00211BAA">
        <w:t xml:space="preserve">Changes to maximum dispensing quantities to allow </w:t>
      </w:r>
      <w:r w:rsidR="00A02E72" w:rsidRPr="00211BAA">
        <w:t>60</w:t>
      </w:r>
      <w:r w:rsidR="004D531D" w:rsidRPr="00211BAA">
        <w:t>-</w:t>
      </w:r>
      <w:r w:rsidR="00A02E72" w:rsidRPr="00211BAA">
        <w:t xml:space="preserve">day prescribing </w:t>
      </w:r>
      <w:r w:rsidRPr="00211BAA">
        <w:t xml:space="preserve">has </w:t>
      </w:r>
      <w:r w:rsidR="002C595F" w:rsidRPr="00211BAA">
        <w:t>reduced the regulatory barrier</w:t>
      </w:r>
      <w:r w:rsidR="009247F9" w:rsidRPr="00211BAA">
        <w:t>s and</w:t>
      </w:r>
      <w:r w:rsidRPr="00211BAA">
        <w:t xml:space="preserve"> </w:t>
      </w:r>
      <w:r w:rsidR="00BB339C" w:rsidRPr="00211BAA">
        <w:t>improved</w:t>
      </w:r>
      <w:r w:rsidR="00CD7C77" w:rsidRPr="00211BAA">
        <w:t xml:space="preserve"> the supply </w:t>
      </w:r>
      <w:r w:rsidR="00C24A97" w:rsidRPr="00211BAA">
        <w:t>and accessibility</w:t>
      </w:r>
      <w:r w:rsidR="00BB339C" w:rsidRPr="00211BAA">
        <w:t xml:space="preserve"> </w:t>
      </w:r>
      <w:r w:rsidR="00CD7C77" w:rsidRPr="00211BAA">
        <w:t>of medicines to patients with</w:t>
      </w:r>
      <w:r w:rsidRPr="00211BAA">
        <w:t xml:space="preserve"> </w:t>
      </w:r>
      <w:r w:rsidR="00BB339C" w:rsidRPr="00211BAA">
        <w:t>stable chronic conditions</w:t>
      </w:r>
      <w:r w:rsidR="000645B6" w:rsidRPr="00211BAA">
        <w:t>.</w:t>
      </w:r>
      <w:r w:rsidR="00BB339C" w:rsidRPr="00211BAA">
        <w:t xml:space="preserve"> </w:t>
      </w:r>
      <w:r w:rsidR="009247F9" w:rsidRPr="00211BAA">
        <w:t>This change will reduce the number of visits to pharmac</w:t>
      </w:r>
      <w:r w:rsidR="00326813" w:rsidRPr="00211BAA">
        <w:t>ies</w:t>
      </w:r>
      <w:r w:rsidR="009247F9" w:rsidRPr="00211BAA">
        <w:t xml:space="preserve"> and general practitioners, </w:t>
      </w:r>
      <w:r w:rsidR="00D63F3D" w:rsidRPr="00211BAA">
        <w:t xml:space="preserve">reducing both time </w:t>
      </w:r>
      <w:r w:rsidR="00633144" w:rsidRPr="00211BAA">
        <w:t xml:space="preserve">spent </w:t>
      </w:r>
      <w:r w:rsidR="00D63F3D" w:rsidRPr="00211BAA">
        <w:t>and costs</w:t>
      </w:r>
      <w:r w:rsidR="00633144" w:rsidRPr="00211BAA">
        <w:t xml:space="preserve"> to individuals</w:t>
      </w:r>
      <w:r w:rsidR="009247F9" w:rsidRPr="00211BAA">
        <w:t>.</w:t>
      </w:r>
    </w:p>
    <w:p w14:paraId="4A93CB0B" w14:textId="633B7D02" w:rsidR="0049379B" w:rsidRPr="00211BAA" w:rsidRDefault="00126DB7" w:rsidP="0049379B">
      <w:pPr>
        <w:pStyle w:val="NumberedParagraph"/>
      </w:pPr>
      <w:r w:rsidRPr="00211BAA">
        <w:t xml:space="preserve">More broadly, the Government is working to </w:t>
      </w:r>
      <w:r w:rsidR="009D6EBC" w:rsidRPr="00211BAA">
        <w:t>identify</w:t>
      </w:r>
      <w:r w:rsidR="006513D2" w:rsidRPr="00211BAA">
        <w:t xml:space="preserve"> where </w:t>
      </w:r>
      <w:r w:rsidR="000125E4" w:rsidRPr="00211BAA">
        <w:t xml:space="preserve">the same or better outcomes </w:t>
      </w:r>
      <w:r w:rsidRPr="00211BAA">
        <w:t xml:space="preserve">for care recipients </w:t>
      </w:r>
      <w:r w:rsidR="000125E4" w:rsidRPr="00211BAA">
        <w:t>can be achieved</w:t>
      </w:r>
      <w:r w:rsidRPr="00211BAA">
        <w:t xml:space="preserve"> more efficiently</w:t>
      </w:r>
      <w:r w:rsidR="00FD64B3" w:rsidRPr="00211BAA">
        <w:t>.</w:t>
      </w:r>
      <w:r w:rsidRPr="00211BAA">
        <w:t xml:space="preserve"> For example:</w:t>
      </w:r>
    </w:p>
    <w:p w14:paraId="22E14B80" w14:textId="4B640445" w:rsidR="0049379B" w:rsidRPr="00211BAA" w:rsidRDefault="0049379B" w:rsidP="0049379B">
      <w:pPr>
        <w:pStyle w:val="Bulletparagraph"/>
      </w:pPr>
      <w:r w:rsidRPr="00211BAA">
        <w:t>Structural reforms are underway to make aged care and disability programs more sustainable. National Disability Insurance Scheme (NDIS) growth is on track to meet the 8</w:t>
      </w:r>
      <w:r w:rsidR="009A4C01" w:rsidRPr="00211BAA">
        <w:t> </w:t>
      </w:r>
      <w:r w:rsidRPr="00211BAA">
        <w:t>per cent financial sustainability target with further agreements to target annual NDIS cost increases of 5 to 6 per cent, or lower. This includes National Cabinet agreeing to deliver Thriving Kids, the first phase of Foundational Supports, which will support children with developmental delay and/or autism with low to moderate support needs outside the NDIS.</w:t>
      </w:r>
    </w:p>
    <w:p w14:paraId="381A338F" w14:textId="45C0C66E" w:rsidR="0049379B" w:rsidRPr="00211BAA" w:rsidRDefault="0049379B" w:rsidP="0049379B">
      <w:pPr>
        <w:pStyle w:val="Bulletparagraph"/>
      </w:pPr>
      <w:r w:rsidRPr="00211BAA">
        <w:t>Aged care reforms introduced means-tested contribution</w:t>
      </w:r>
      <w:r w:rsidR="00AF2655" w:rsidRPr="00211BAA">
        <w:t>s</w:t>
      </w:r>
      <w:r w:rsidRPr="00211BAA">
        <w:t xml:space="preserve"> to the cost of aged care at home. The reforms are expected to reduce the cost of aged care, while delivering more choice and allowing older people to remain independent, in their home and community, for longer.</w:t>
      </w:r>
    </w:p>
    <w:p w14:paraId="0FC4F3D5" w14:textId="77777777" w:rsidR="00E24F09" w:rsidRPr="00211BAA" w:rsidRDefault="000347D8" w:rsidP="000347D8">
      <w:pPr>
        <w:pStyle w:val="NumberedParagraph"/>
      </w:pPr>
      <w:r w:rsidRPr="00211BAA">
        <w:t xml:space="preserve">A suite of national reforms is underway to strengthen the health workforce by reducing regulatory barriers, while maintaining patient safety and care quality. </w:t>
      </w:r>
    </w:p>
    <w:p w14:paraId="20398957" w14:textId="77777777" w:rsidR="00E24F09" w:rsidRPr="00211BAA" w:rsidRDefault="000347D8" w:rsidP="00E24F09">
      <w:pPr>
        <w:pStyle w:val="Bulletparagraph"/>
      </w:pPr>
      <w:r w:rsidRPr="00211BAA">
        <w:t xml:space="preserve">Commissioned by National Cabinet in 2022, the Independent Review of Health Practitioner Regulatory Settings examined ways to streamline health practitioner regulation, particularly registration and skills recognition. The Health Workforce Taskforce was established to coordinate implementation of the Review’s recommendations across jurisdictions to address workforce shortages. </w:t>
      </w:r>
    </w:p>
    <w:p w14:paraId="1138B0B9" w14:textId="0FFE0CB1" w:rsidR="000347D8" w:rsidRPr="00211BAA" w:rsidRDefault="000347D8" w:rsidP="00E24F09">
      <w:pPr>
        <w:pStyle w:val="Bulletparagraph"/>
      </w:pPr>
      <w:r w:rsidRPr="00211BAA">
        <w:t>In parallel, National Competition Policy is progressing reforms to enable practitioners to work to their full scope of practice.</w:t>
      </w:r>
    </w:p>
    <w:p w14:paraId="0C7F567C" w14:textId="2A4A0CB4" w:rsidR="00742C29" w:rsidRPr="00211BAA" w:rsidRDefault="00742C29" w:rsidP="007B165E">
      <w:pPr>
        <w:pStyle w:val="Heading3"/>
        <w:rPr>
          <w:iCs w:val="0"/>
          <w:color w:val="auto"/>
        </w:rPr>
      </w:pPr>
      <w:bookmarkStart w:id="52" w:name="_Toc224894001"/>
      <w:r w:rsidRPr="00211BAA">
        <w:rPr>
          <w:iCs w:val="0"/>
          <w:color w:val="auto"/>
        </w:rPr>
        <w:lastRenderedPageBreak/>
        <w:t>Investing in cheaper, cleaner energy and the net zero transition</w:t>
      </w:r>
      <w:bookmarkEnd w:id="52"/>
    </w:p>
    <w:p w14:paraId="209C63B8" w14:textId="1BB49C47" w:rsidR="00603971" w:rsidRPr="00211BAA" w:rsidRDefault="00603971" w:rsidP="00A817A6">
      <w:pPr>
        <w:pStyle w:val="NumberedParagraph"/>
      </w:pPr>
      <w:r w:rsidRPr="00211BAA">
        <w:t xml:space="preserve">Investing in cheaper, cleaner energy and the net zero transition improves productivity by lowering </w:t>
      </w:r>
      <w:r w:rsidR="00FC0405" w:rsidRPr="00211BAA">
        <w:t>energy</w:t>
      </w:r>
      <w:r w:rsidRPr="00211BAA">
        <w:t xml:space="preserve"> input costs. It also drives innovation and capital investment, enabling firms to adopt cleaner technologies that raise efficiency and support long</w:t>
      </w:r>
      <w:r w:rsidRPr="00211BAA">
        <w:rPr>
          <w:rFonts w:ascii="Cambria Math" w:hAnsi="Cambria Math" w:cs="Cambria Math"/>
        </w:rPr>
        <w:t>‑</w:t>
      </w:r>
      <w:r w:rsidRPr="00211BAA">
        <w:t>term, sustainable growth.</w:t>
      </w:r>
    </w:p>
    <w:p w14:paraId="2CB0D1D7" w14:textId="77777777" w:rsidR="00E361D2" w:rsidRPr="00211BAA" w:rsidRDefault="00E361D2" w:rsidP="00E361D2">
      <w:pPr>
        <w:pStyle w:val="NumberedParagraph"/>
      </w:pPr>
      <w:r w:rsidRPr="00211BAA">
        <w:t xml:space="preserve">The Government’s Net Zero Plan sets out how Australia will achieve a fair, orderly and efficient transition to net zero. It demonstrates how Australia can transition while growing the economy, reducing cost pressures on households and businesses, and creating new jobs. </w:t>
      </w:r>
    </w:p>
    <w:p w14:paraId="2F1948D8" w14:textId="14EC7C77" w:rsidR="00EB1D9A" w:rsidRPr="00211BAA" w:rsidRDefault="00E721E7" w:rsidP="00A817A6">
      <w:pPr>
        <w:pStyle w:val="NumberedParagraph"/>
      </w:pPr>
      <w:r w:rsidRPr="00211BAA">
        <w:t xml:space="preserve">Efficient emissions reduction </w:t>
      </w:r>
      <w:r w:rsidR="004E7E1E" w:rsidRPr="00211BAA">
        <w:t xml:space="preserve">supports productivity growth by </w:t>
      </w:r>
      <w:r w:rsidR="00E11E1B" w:rsidRPr="00211BAA">
        <w:t>minimi</w:t>
      </w:r>
      <w:r w:rsidR="004E7E1E" w:rsidRPr="00211BAA">
        <w:t>sing</w:t>
      </w:r>
      <w:r w:rsidR="0072035B" w:rsidRPr="00211BAA">
        <w:t xml:space="preserve"> abatement</w:t>
      </w:r>
      <w:r w:rsidRPr="00211BAA">
        <w:t xml:space="preserve"> costs</w:t>
      </w:r>
      <w:r w:rsidR="0072035B" w:rsidRPr="00211BAA">
        <w:t xml:space="preserve"> and </w:t>
      </w:r>
      <w:r w:rsidRPr="00211BAA">
        <w:t xml:space="preserve">uncertainty, </w:t>
      </w:r>
      <w:r w:rsidR="0072035B" w:rsidRPr="00211BAA">
        <w:t xml:space="preserve">while mobilising </w:t>
      </w:r>
      <w:r w:rsidRPr="00211BAA">
        <w:t xml:space="preserve">investment </w:t>
      </w:r>
      <w:r w:rsidR="0072035B" w:rsidRPr="00211BAA">
        <w:t>and market mechanisms to deliver</w:t>
      </w:r>
      <w:r w:rsidRPr="00211BAA">
        <w:t xml:space="preserve"> the net zero transition</w:t>
      </w:r>
      <w:r w:rsidR="0072035B" w:rsidRPr="00211BAA">
        <w:t xml:space="preserve"> at least cost. </w:t>
      </w:r>
      <w:r w:rsidR="00411FC0" w:rsidRPr="00211BAA">
        <w:t>The Government has a suite of policies aimed at achieving this:</w:t>
      </w:r>
    </w:p>
    <w:p w14:paraId="3C207524" w14:textId="13F8B914" w:rsidR="00946209" w:rsidRPr="00211BAA" w:rsidRDefault="00946209" w:rsidP="00EB1D9A">
      <w:pPr>
        <w:pStyle w:val="Bulletparagraph"/>
      </w:pPr>
      <w:r w:rsidRPr="00211BAA">
        <w:t>The Capacity Investment Scheme is incentivising investment in new energy and storage projects to help achieve the Government’s 82</w:t>
      </w:r>
      <w:r w:rsidR="000B1538" w:rsidRPr="00211BAA">
        <w:t xml:space="preserve"> per cent</w:t>
      </w:r>
      <w:r w:rsidRPr="00211BAA">
        <w:t xml:space="preserve"> renewable energy target. The </w:t>
      </w:r>
      <w:r w:rsidR="0096053E" w:rsidRPr="00211BAA">
        <w:t>scheme</w:t>
      </w:r>
      <w:r w:rsidRPr="00211BAA">
        <w:t xml:space="preserve"> ensures cost-efficiency by operating competitive tenders for 40 gigawatts of renewable energy projects to be delivered across Australia by 2030. </w:t>
      </w:r>
    </w:p>
    <w:p w14:paraId="6EA6E6FF" w14:textId="77777777" w:rsidR="00637CFA" w:rsidRDefault="00946209" w:rsidP="00EB1D9A">
      <w:pPr>
        <w:pStyle w:val="Bulletparagraph"/>
      </w:pPr>
      <w:r w:rsidRPr="00211BAA">
        <w:t>The Rewiring the Nation program is investing to modernise Australia’s electricity transmission infrastructure to connect new renewables and storage to the grid.</w:t>
      </w:r>
      <w:r w:rsidR="00421B69" w:rsidRPr="00211BAA">
        <w:t xml:space="preserve"> </w:t>
      </w:r>
    </w:p>
    <w:p w14:paraId="195DB486" w14:textId="43F6D06E" w:rsidR="00946209" w:rsidRPr="00211BAA" w:rsidRDefault="00946209" w:rsidP="00EB1D9A">
      <w:pPr>
        <w:pStyle w:val="Bulletparagraph"/>
      </w:pPr>
      <w:r w:rsidRPr="00211BAA">
        <w:t>A</w:t>
      </w:r>
      <w:r w:rsidR="00BF639B" w:rsidRPr="00211BAA">
        <w:t>n</w:t>
      </w:r>
      <w:r w:rsidRPr="00211BAA">
        <w:t xml:space="preserve"> expansion </w:t>
      </w:r>
      <w:r w:rsidR="009019FD" w:rsidRPr="00211BAA">
        <w:t>in funding</w:t>
      </w:r>
      <w:r w:rsidR="003A5D6C" w:rsidRPr="00211BAA">
        <w:t xml:space="preserve"> </w:t>
      </w:r>
      <w:r w:rsidRPr="00211BAA">
        <w:t>of the Clean Energy Finance Corporation is expected to unlock additional investment in renewable energy and low emissions technologies.</w:t>
      </w:r>
    </w:p>
    <w:p w14:paraId="35B9A871" w14:textId="62E71DFC" w:rsidR="00C97243" w:rsidRPr="00211BAA" w:rsidRDefault="790C27B5">
      <w:pPr>
        <w:pStyle w:val="Bulletparagraph"/>
      </w:pPr>
      <w:r w:rsidRPr="00211BAA">
        <w:t xml:space="preserve">The Safeguard Mechanism </w:t>
      </w:r>
      <w:r w:rsidR="6F1E54BE" w:rsidRPr="00211BAA">
        <w:t>drives</w:t>
      </w:r>
      <w:r w:rsidR="7A555A6B" w:rsidRPr="00211BAA">
        <w:t xml:space="preserve"> emissions </w:t>
      </w:r>
      <w:r w:rsidR="6F1E54BE" w:rsidRPr="00211BAA">
        <w:t>reduction</w:t>
      </w:r>
      <w:r w:rsidR="4842020A" w:rsidRPr="00211BAA">
        <w:t xml:space="preserve">s </w:t>
      </w:r>
      <w:r w:rsidR="7A555A6B" w:rsidRPr="00211BAA">
        <w:t xml:space="preserve">at </w:t>
      </w:r>
      <w:r w:rsidR="009A7AE2" w:rsidRPr="00211BAA">
        <w:t>Australia’s</w:t>
      </w:r>
      <w:r w:rsidR="5BB7F96C" w:rsidRPr="00211BAA">
        <w:t xml:space="preserve"> largest industrial facilities</w:t>
      </w:r>
      <w:r w:rsidR="3DEFE9B3" w:rsidRPr="00211BAA">
        <w:t xml:space="preserve"> by placing a </w:t>
      </w:r>
      <w:r w:rsidR="70E40B18" w:rsidRPr="00211BAA">
        <w:t>declining</w:t>
      </w:r>
      <w:r w:rsidR="06D3C625" w:rsidRPr="00211BAA">
        <w:t xml:space="preserve"> </w:t>
      </w:r>
      <w:r w:rsidR="4EB2C7E6" w:rsidRPr="00211BAA">
        <w:t>limit</w:t>
      </w:r>
      <w:r w:rsidR="5BB7F96C" w:rsidRPr="00211BAA">
        <w:t xml:space="preserve"> on facilit</w:t>
      </w:r>
      <w:r w:rsidR="3A4C2757" w:rsidRPr="00211BAA">
        <w:t>y</w:t>
      </w:r>
      <w:r w:rsidR="5BB7F96C" w:rsidRPr="00211BAA">
        <w:t xml:space="preserve"> emissions</w:t>
      </w:r>
      <w:r w:rsidR="00B70033" w:rsidRPr="00211BAA">
        <w:t xml:space="preserve">. </w:t>
      </w:r>
      <w:r w:rsidR="00684EC2" w:rsidRPr="00211BAA">
        <w:t>The scheme will be reviewed in 2026–27 to ensure settings remain appropriately calibrated.</w:t>
      </w:r>
    </w:p>
    <w:p w14:paraId="4951474D" w14:textId="6595A2CE" w:rsidR="004E4B79" w:rsidRPr="00211BAA" w:rsidRDefault="004E4B79" w:rsidP="004E4B79">
      <w:pPr>
        <w:pStyle w:val="Bulletparagraph"/>
      </w:pPr>
      <w:r w:rsidRPr="00211BAA">
        <w:t>Legislat</w:t>
      </w:r>
      <w:r w:rsidRPr="00211BAA">
        <w:rPr>
          <w:rFonts w:eastAsiaTheme="minorEastAsia"/>
        </w:rPr>
        <w:t xml:space="preserve">ed climate financial disclosure requirements </w:t>
      </w:r>
      <w:r w:rsidR="00D75A28" w:rsidRPr="00211BAA">
        <w:rPr>
          <w:rFonts w:eastAsiaTheme="minorEastAsia"/>
        </w:rPr>
        <w:t>provide</w:t>
      </w:r>
      <w:r w:rsidRPr="00211BAA">
        <w:rPr>
          <w:rFonts w:eastAsiaTheme="minorEastAsia"/>
        </w:rPr>
        <w:t xml:space="preserve"> investors and companies the transparency and certainty they need to invest as part of the net zero transformation.</w:t>
      </w:r>
    </w:p>
    <w:p w14:paraId="461A12C2" w14:textId="3DA52A42" w:rsidR="00B2278F" w:rsidRPr="00211BAA" w:rsidRDefault="00F401BE" w:rsidP="00B2278F">
      <w:pPr>
        <w:pStyle w:val="NumberedParagraph"/>
      </w:pPr>
      <w:r w:rsidRPr="00211BAA">
        <w:t xml:space="preserve">Strengthening Australia’s competitiveness in emerging green industries will be key to capturing future growth opportunities as the global economy decarbonises. </w:t>
      </w:r>
      <w:r w:rsidR="003536BB" w:rsidRPr="00211BAA">
        <w:t xml:space="preserve">The Future Made in Australia (FMA) </w:t>
      </w:r>
      <w:r w:rsidR="00F8632C" w:rsidRPr="00211BAA">
        <w:t xml:space="preserve">agenda will encourage innovation in cleaner production processes, supporting adoption and diffusion of new ideas and promoting capital deepening. </w:t>
      </w:r>
      <w:r w:rsidR="00974A33" w:rsidRPr="00211BAA">
        <w:t xml:space="preserve">Initiatives under the </w:t>
      </w:r>
      <w:r w:rsidR="003536BB" w:rsidRPr="00211BAA">
        <w:t xml:space="preserve">FMA </w:t>
      </w:r>
      <w:r w:rsidR="00974A33" w:rsidRPr="00211BAA">
        <w:t>agenda include</w:t>
      </w:r>
      <w:r w:rsidR="00F71BD6" w:rsidRPr="00211BAA">
        <w:t>:</w:t>
      </w:r>
    </w:p>
    <w:p w14:paraId="07742F0A" w14:textId="3C8FB38D" w:rsidR="00B2278F" w:rsidRPr="00211BAA" w:rsidRDefault="00974A33" w:rsidP="008A214C">
      <w:pPr>
        <w:pStyle w:val="Bulletparagraph"/>
      </w:pPr>
      <w:r w:rsidRPr="00211BAA">
        <w:t>hydrogen and critical minerals production tax incentives</w:t>
      </w:r>
    </w:p>
    <w:p w14:paraId="1E609DBE" w14:textId="29F40EB3" w:rsidR="00F8632C" w:rsidRPr="00211BAA" w:rsidRDefault="00637CFA" w:rsidP="008A214C">
      <w:pPr>
        <w:pStyle w:val="Bulletparagraph"/>
      </w:pPr>
      <w:r>
        <w:t xml:space="preserve">the </w:t>
      </w:r>
      <w:r w:rsidR="00974A33" w:rsidRPr="00211BAA">
        <w:t>FMA Innovation Fund</w:t>
      </w:r>
    </w:p>
    <w:p w14:paraId="57D5C386" w14:textId="18BE1330" w:rsidR="005F63C7" w:rsidRPr="00211BAA" w:rsidRDefault="00974A33" w:rsidP="008A214C">
      <w:pPr>
        <w:pStyle w:val="Bulletparagraph"/>
      </w:pPr>
      <w:r w:rsidRPr="00211BAA">
        <w:t>the Green Aluminium Production Credit</w:t>
      </w:r>
    </w:p>
    <w:p w14:paraId="663EC2B9" w14:textId="4EF2D428" w:rsidR="00F8632C" w:rsidRPr="00211BAA" w:rsidRDefault="00974A33" w:rsidP="008A214C">
      <w:pPr>
        <w:pStyle w:val="Bulletparagraph"/>
      </w:pPr>
      <w:r w:rsidRPr="00211BAA">
        <w:t>the Green Iron Investment Fund</w:t>
      </w:r>
    </w:p>
    <w:p w14:paraId="3101C88D" w14:textId="54C1D374" w:rsidR="00974A33" w:rsidRPr="00211BAA" w:rsidRDefault="00974A33" w:rsidP="008A214C">
      <w:pPr>
        <w:pStyle w:val="Bulletparagraph"/>
      </w:pPr>
      <w:r w:rsidRPr="00211BAA">
        <w:t>the Cleaner Fuels Program to support Low Carbon Liquid Fuel Production</w:t>
      </w:r>
    </w:p>
    <w:p w14:paraId="0640A5FC" w14:textId="2AD9E993" w:rsidR="00A24674" w:rsidRPr="00211BAA" w:rsidRDefault="00A24674" w:rsidP="00A24674">
      <w:pPr>
        <w:pStyle w:val="Bulletparagraph"/>
      </w:pPr>
      <w:r w:rsidRPr="00211BAA">
        <w:t>the Hydrogen Headstart</w:t>
      </w:r>
      <w:r w:rsidR="00CE7909" w:rsidRPr="00211BAA">
        <w:t xml:space="preserve"> program</w:t>
      </w:r>
    </w:p>
    <w:p w14:paraId="21B37B93" w14:textId="04E27D7B" w:rsidR="00A24674" w:rsidRPr="00211BAA" w:rsidRDefault="00A24674" w:rsidP="00A24674">
      <w:pPr>
        <w:pStyle w:val="Bulletparagraph"/>
      </w:pPr>
      <w:r w:rsidRPr="00211BAA">
        <w:t xml:space="preserve">the Solar </w:t>
      </w:r>
      <w:proofErr w:type="spellStart"/>
      <w:r w:rsidRPr="00211BAA">
        <w:t>Sunshot</w:t>
      </w:r>
      <w:proofErr w:type="spellEnd"/>
      <w:r w:rsidR="007213CD" w:rsidRPr="00211BAA">
        <w:t xml:space="preserve"> program</w:t>
      </w:r>
    </w:p>
    <w:p w14:paraId="0CA970B9" w14:textId="3B4570B2" w:rsidR="00A24674" w:rsidRPr="00211BAA" w:rsidRDefault="00A24674" w:rsidP="00A24674">
      <w:pPr>
        <w:pStyle w:val="Bulletparagraph"/>
      </w:pPr>
      <w:r w:rsidRPr="00211BAA">
        <w:t>the Battery Breakthrough Initiative.</w:t>
      </w:r>
    </w:p>
    <w:p w14:paraId="5C9B1874" w14:textId="77777777" w:rsidR="008F3ACB" w:rsidRDefault="008F3ACB">
      <w:pPr>
        <w:spacing w:before="0" w:after="0"/>
        <w:rPr>
          <w:rFonts w:ascii="Calibri" w:hAnsi="Calibri" w:cs="Arial"/>
          <w:b/>
          <w:bCs/>
          <w:iCs/>
          <w:kern w:val="32"/>
          <w:sz w:val="28"/>
          <w:szCs w:val="22"/>
        </w:rPr>
      </w:pPr>
      <w:r>
        <w:br w:type="page"/>
      </w:r>
    </w:p>
    <w:p w14:paraId="10CE2ABE" w14:textId="1B3F0B24" w:rsidR="00742C29" w:rsidRPr="00211BAA" w:rsidRDefault="00742C29" w:rsidP="003618DB">
      <w:pPr>
        <w:pStyle w:val="Heading2"/>
        <w:rPr>
          <w:color w:val="auto"/>
        </w:rPr>
      </w:pPr>
      <w:bookmarkStart w:id="53" w:name="_Toc224894002"/>
      <w:r w:rsidRPr="00211BAA">
        <w:rPr>
          <w:color w:val="auto"/>
        </w:rPr>
        <w:lastRenderedPageBreak/>
        <w:t>Economic Reform Roundtable</w:t>
      </w:r>
      <w:bookmarkEnd w:id="53"/>
    </w:p>
    <w:p w14:paraId="504A7AC9" w14:textId="71B7150A" w:rsidR="00742C29" w:rsidRPr="00211BAA" w:rsidRDefault="00742C29" w:rsidP="00A817A6">
      <w:pPr>
        <w:pStyle w:val="NumberedParagraph"/>
      </w:pPr>
      <w:r w:rsidRPr="00211BAA">
        <w:t xml:space="preserve">The Economic Reform Roundtable was held in August 2025. </w:t>
      </w:r>
    </w:p>
    <w:p w14:paraId="545560F6" w14:textId="77777777" w:rsidR="00742C29" w:rsidRPr="00211BAA" w:rsidRDefault="00742C29" w:rsidP="00A817A6">
      <w:pPr>
        <w:pStyle w:val="NumberedParagraph"/>
      </w:pPr>
      <w:r w:rsidRPr="00211BAA">
        <w:t>At the conclusion of the Roundtable, the Treasurer outlined ten areas of consensus:</w:t>
      </w:r>
    </w:p>
    <w:p w14:paraId="6A75A571" w14:textId="10ED5DFC" w:rsidR="00742C29" w:rsidRPr="00211BAA" w:rsidRDefault="00742C29" w:rsidP="00A817A6">
      <w:pPr>
        <w:pStyle w:val="Bulletparagraph"/>
      </w:pPr>
      <w:r w:rsidRPr="00211BAA">
        <w:t xml:space="preserve">progressing work towards a single national market </w:t>
      </w:r>
    </w:p>
    <w:p w14:paraId="3E58C55B" w14:textId="7D3B5646" w:rsidR="00742C29" w:rsidRPr="00211BAA" w:rsidRDefault="00742C29" w:rsidP="00A817A6">
      <w:pPr>
        <w:pStyle w:val="Bulletparagraph"/>
      </w:pPr>
      <w:r w:rsidRPr="00211BAA">
        <w:t>simplifying trade and tariffs</w:t>
      </w:r>
    </w:p>
    <w:p w14:paraId="6E97FDB6" w14:textId="6869B171" w:rsidR="00742C29" w:rsidRPr="00211BAA" w:rsidRDefault="00742C29" w:rsidP="00A817A6">
      <w:pPr>
        <w:pStyle w:val="Bulletparagraph"/>
      </w:pPr>
      <w:r w:rsidRPr="00211BAA">
        <w:t>better regulation to cut the clutter</w:t>
      </w:r>
    </w:p>
    <w:p w14:paraId="57ED1E29" w14:textId="39C91930" w:rsidR="00742C29" w:rsidRPr="00211BAA" w:rsidRDefault="00742C29" w:rsidP="00A817A6">
      <w:pPr>
        <w:pStyle w:val="Bulletparagraph"/>
      </w:pPr>
      <w:r w:rsidRPr="00211BAA">
        <w:t xml:space="preserve">speeding up approvals in national priority areas </w:t>
      </w:r>
    </w:p>
    <w:p w14:paraId="3EAAEC3A" w14:textId="72D817CF" w:rsidR="00742C29" w:rsidRPr="00211BAA" w:rsidRDefault="00742C29" w:rsidP="00A817A6">
      <w:pPr>
        <w:pStyle w:val="Bulletparagraph"/>
      </w:pPr>
      <w:r w:rsidRPr="00211BAA">
        <w:t>building more homes, more quickly</w:t>
      </w:r>
    </w:p>
    <w:p w14:paraId="3E354509" w14:textId="67164414" w:rsidR="00742C29" w:rsidRPr="00211BAA" w:rsidRDefault="00742C29" w:rsidP="00A817A6">
      <w:pPr>
        <w:pStyle w:val="Bulletparagraph"/>
      </w:pPr>
      <w:r w:rsidRPr="00211BAA">
        <w:t>making AI a national priority</w:t>
      </w:r>
    </w:p>
    <w:p w14:paraId="1CA64D8D" w14:textId="5C3E920C" w:rsidR="00742C29" w:rsidRPr="00211BAA" w:rsidRDefault="00742C29" w:rsidP="00A817A6">
      <w:pPr>
        <w:pStyle w:val="Bulletparagraph"/>
      </w:pPr>
      <w:r w:rsidRPr="00211BAA">
        <w:t>attracting capital and deploying investment</w:t>
      </w:r>
    </w:p>
    <w:p w14:paraId="32F9E78D" w14:textId="6775CDF1" w:rsidR="00742C29" w:rsidRPr="00211BAA" w:rsidRDefault="00742C29" w:rsidP="00A817A6">
      <w:pPr>
        <w:pStyle w:val="Bulletparagraph"/>
      </w:pPr>
      <w:r w:rsidRPr="00211BAA">
        <w:t>building a skilled and adaptable workforce</w:t>
      </w:r>
    </w:p>
    <w:p w14:paraId="3834D115" w14:textId="2D6A92DC" w:rsidR="00742C29" w:rsidRPr="00211BAA" w:rsidRDefault="00742C29" w:rsidP="00A817A6">
      <w:pPr>
        <w:pStyle w:val="Bulletparagraph"/>
      </w:pPr>
      <w:r w:rsidRPr="00211BAA">
        <w:t>a better tax system</w:t>
      </w:r>
    </w:p>
    <w:p w14:paraId="5D45E9B2" w14:textId="6C90C282" w:rsidR="00742C29" w:rsidRPr="00211BAA" w:rsidRDefault="00742C29" w:rsidP="00A817A6">
      <w:pPr>
        <w:pStyle w:val="Bulletparagraph"/>
      </w:pPr>
      <w:r w:rsidRPr="00211BAA">
        <w:t>modernising government services.</w:t>
      </w:r>
    </w:p>
    <w:p w14:paraId="5E232E0D" w14:textId="710EDE57" w:rsidR="00742C29" w:rsidRPr="00211BAA" w:rsidRDefault="00742C29" w:rsidP="00A817A6">
      <w:pPr>
        <w:pStyle w:val="NumberedParagraph"/>
      </w:pPr>
      <w:r w:rsidRPr="00211BAA">
        <w:t>The Treasurer also announced ten immediate actions:</w:t>
      </w:r>
    </w:p>
    <w:p w14:paraId="06AA8124" w14:textId="0882E519" w:rsidR="00742C29" w:rsidRPr="00211BAA" w:rsidRDefault="00742C29" w:rsidP="00A817A6">
      <w:pPr>
        <w:pStyle w:val="Bulletparagraph"/>
      </w:pPr>
      <w:r w:rsidRPr="00211BAA">
        <w:t>abolishing more nuisance tariffs, subject to consultation</w:t>
      </w:r>
    </w:p>
    <w:p w14:paraId="56290271" w14:textId="3CC2AD16" w:rsidR="00742C29" w:rsidRPr="00211BAA" w:rsidRDefault="00742C29" w:rsidP="00A817A6">
      <w:pPr>
        <w:pStyle w:val="Bulletparagraph"/>
      </w:pPr>
      <w:r w:rsidRPr="00211BAA">
        <w:t>reducing complexity and red tape in the National Construction Code</w:t>
      </w:r>
    </w:p>
    <w:p w14:paraId="7E4F8403" w14:textId="137708CD" w:rsidR="00742C29" w:rsidRPr="00211BAA" w:rsidRDefault="00742C29" w:rsidP="00A817A6">
      <w:pPr>
        <w:pStyle w:val="Bulletparagraph"/>
      </w:pPr>
      <w:r w:rsidRPr="00211BAA">
        <w:t xml:space="preserve">accelerating </w:t>
      </w:r>
      <w:r w:rsidRPr="00602747">
        <w:rPr>
          <w:i/>
          <w:iCs/>
        </w:rPr>
        <w:t>Environment Protection and Biodiversity Conservation Act 1999</w:t>
      </w:r>
      <w:r w:rsidRPr="00211BAA">
        <w:t xml:space="preserve"> (EPBC Act) reform in line with the principles from the Samuel Review</w:t>
      </w:r>
    </w:p>
    <w:p w14:paraId="4B88548F" w14:textId="589951D9" w:rsidR="00742C29" w:rsidRPr="00211BAA" w:rsidRDefault="00742C29" w:rsidP="00A817A6">
      <w:pPr>
        <w:pStyle w:val="Bulletparagraph"/>
      </w:pPr>
      <w:r w:rsidRPr="00211BAA">
        <w:t>dealing with the backlog of environmental approvals for new homes</w:t>
      </w:r>
    </w:p>
    <w:p w14:paraId="4820DA53" w14:textId="0CE5E693" w:rsidR="00742C29" w:rsidRPr="00211BAA" w:rsidRDefault="00742C29" w:rsidP="00A817A6">
      <w:pPr>
        <w:pStyle w:val="Bulletparagraph"/>
      </w:pPr>
      <w:r w:rsidRPr="00211BAA">
        <w:t>releasing the letters for regulators on opportunities for better regulation, with the Council of Financial Regulators to coordinate actions and lift ambition for financial sector regulators</w:t>
      </w:r>
    </w:p>
    <w:p w14:paraId="2F647CF7" w14:textId="6ACB48BA" w:rsidR="00742C29" w:rsidRPr="00211BAA" w:rsidRDefault="00742C29" w:rsidP="00A817A6">
      <w:pPr>
        <w:pStyle w:val="Bulletparagraph"/>
      </w:pPr>
      <w:r w:rsidRPr="00211BAA">
        <w:t>introducing a bill on regulatory reform, including ‘tell us once’</w:t>
      </w:r>
    </w:p>
    <w:p w14:paraId="3D1AEF44" w14:textId="13B1F1AC" w:rsidR="00742C29" w:rsidRPr="00211BAA" w:rsidRDefault="00742C29" w:rsidP="00A817A6">
      <w:pPr>
        <w:pStyle w:val="Bulletparagraph"/>
      </w:pPr>
      <w:r w:rsidRPr="00211BAA">
        <w:t xml:space="preserve">developing an APS AI plan </w:t>
      </w:r>
    </w:p>
    <w:p w14:paraId="4D59CDE2" w14:textId="2C910EC1" w:rsidR="00742C29" w:rsidRPr="00211BAA" w:rsidRDefault="00742C29" w:rsidP="00A817A6">
      <w:pPr>
        <w:pStyle w:val="Bulletparagraph"/>
      </w:pPr>
      <w:r w:rsidRPr="00211BAA">
        <w:t>accelerating work on a national AI capability plan, including national interest principles for data centres</w:t>
      </w:r>
    </w:p>
    <w:p w14:paraId="093C2A33" w14:textId="53EFCF97" w:rsidR="00742C29" w:rsidRPr="00211BAA" w:rsidRDefault="00742C29" w:rsidP="00A817A6">
      <w:pPr>
        <w:pStyle w:val="Bulletparagraph"/>
      </w:pPr>
      <w:r w:rsidRPr="00211BAA">
        <w:t>commencing the Investor Front Door pilot in September</w:t>
      </w:r>
    </w:p>
    <w:p w14:paraId="7C94B98F" w14:textId="31FBA6A7" w:rsidR="0066679A" w:rsidRPr="00211BAA" w:rsidRDefault="00742C29" w:rsidP="00A817A6">
      <w:pPr>
        <w:pStyle w:val="Bulletparagraph"/>
      </w:pPr>
      <w:r w:rsidRPr="00211BAA">
        <w:t>working with the states on road user charging.</w:t>
      </w:r>
    </w:p>
    <w:p w14:paraId="36808F57" w14:textId="7C5B0757" w:rsidR="001E6603" w:rsidRPr="00211BAA" w:rsidRDefault="001E6603" w:rsidP="00A817A6">
      <w:pPr>
        <w:pStyle w:val="NumberedParagraph"/>
      </w:pPr>
      <w:r w:rsidRPr="00211BAA">
        <w:t xml:space="preserve">Since the Roundtable, progress includes reforms to the </w:t>
      </w:r>
      <w:r w:rsidRPr="00211BAA">
        <w:rPr>
          <w:i/>
          <w:iCs/>
        </w:rPr>
        <w:t>Environment Protection and Biodiversity Conservation Act 1999</w:t>
      </w:r>
      <w:r w:rsidRPr="00211BAA">
        <w:t xml:space="preserve">, streamlining regulations for builders to build more homes more quickly, committing to abolish more nuisance tariffs, legislating the </w:t>
      </w:r>
      <w:r w:rsidRPr="00211BAA">
        <w:rPr>
          <w:i/>
          <w:iCs/>
        </w:rPr>
        <w:t xml:space="preserve">Regulatory Reform Omnibus </w:t>
      </w:r>
      <w:r w:rsidR="003D68E0" w:rsidRPr="00211BAA">
        <w:rPr>
          <w:i/>
          <w:iCs/>
        </w:rPr>
        <w:t>Act</w:t>
      </w:r>
      <w:r w:rsidRPr="00211BAA">
        <w:rPr>
          <w:i/>
          <w:iCs/>
        </w:rPr>
        <w:t xml:space="preserve"> 2025</w:t>
      </w:r>
      <w:r w:rsidRPr="00211BAA">
        <w:t>, releasing a National AI Plan and piloting the Investor Front Door.</w:t>
      </w:r>
    </w:p>
    <w:p w14:paraId="03AB6EF4" w14:textId="780D6FA2" w:rsidR="008E2AF7" w:rsidRPr="00211BAA" w:rsidRDefault="001E6603" w:rsidP="00A817A6">
      <w:pPr>
        <w:pStyle w:val="NumberedParagraph"/>
      </w:pPr>
      <w:r w:rsidRPr="00211BAA">
        <w:t>Significant further work is also underway, including working through more than 400 regulatory reform ideas proposed by 38 regulators, advancing a further round of national competition policies with states and territories to build a single national market, further work to streamline approvals, and better coordinating and facilitating private investment through the Government’s suite of Special Investment Vehicles.</w:t>
      </w:r>
    </w:p>
    <w:p w14:paraId="6200356E" w14:textId="6B0656C2" w:rsidR="00742C29" w:rsidRPr="00211BAA" w:rsidRDefault="0066679A" w:rsidP="00D27AA1">
      <w:pPr>
        <w:pStyle w:val="Heading1"/>
        <w:rPr>
          <w:color w:val="auto"/>
        </w:rPr>
      </w:pPr>
      <w:r w:rsidRPr="00211BAA">
        <w:rPr>
          <w:color w:val="auto"/>
        </w:rPr>
        <w:br w:type="page"/>
      </w:r>
      <w:bookmarkStart w:id="54" w:name="_Toc224894003"/>
      <w:r w:rsidR="00165908" w:rsidRPr="00211BAA">
        <w:rPr>
          <w:color w:val="auto"/>
        </w:rPr>
        <w:lastRenderedPageBreak/>
        <w:t>References</w:t>
      </w:r>
      <w:bookmarkEnd w:id="54"/>
    </w:p>
    <w:p w14:paraId="7541465E" w14:textId="58892503" w:rsidR="00991730" w:rsidRPr="00211BAA" w:rsidRDefault="0037590E" w:rsidP="003B5EA5">
      <w:r w:rsidRPr="00211BAA">
        <w:t>ABS (</w:t>
      </w:r>
      <w:r w:rsidR="00991730" w:rsidRPr="00211BAA">
        <w:t xml:space="preserve">Australian Bureau of Statistics) (2023) </w:t>
      </w:r>
      <w:hyperlink r:id="rId21" w:history="1">
        <w:r w:rsidR="00991730" w:rsidRPr="00211BAA">
          <w:rPr>
            <w:rStyle w:val="Hyperlink"/>
            <w:i/>
            <w:color w:val="auto"/>
          </w:rPr>
          <w:t>Interpreting ABS productivity statistics</w:t>
        </w:r>
      </w:hyperlink>
      <w:r w:rsidR="00991730" w:rsidRPr="00211BAA">
        <w:t>, ABS.</w:t>
      </w:r>
    </w:p>
    <w:p w14:paraId="30DD9572" w14:textId="0B9F5AEC" w:rsidR="00F836EC" w:rsidRPr="00211BAA" w:rsidRDefault="00F836EC" w:rsidP="003B5EA5">
      <w:r w:rsidRPr="00211BAA">
        <w:t xml:space="preserve">ABS (2025) </w:t>
      </w:r>
      <w:hyperlink r:id="rId22" w:history="1">
        <w:r w:rsidRPr="00211BAA">
          <w:rPr>
            <w:rStyle w:val="Hyperlink"/>
            <w:rFonts w:cs="Calibri Light"/>
            <w:i/>
            <w:color w:val="auto"/>
            <w:szCs w:val="22"/>
          </w:rPr>
          <w:t>A Primer on labour productivity</w:t>
        </w:r>
      </w:hyperlink>
      <w:r w:rsidRPr="00211BAA">
        <w:t>, ABS.</w:t>
      </w:r>
    </w:p>
    <w:p w14:paraId="732D323A" w14:textId="115E5301" w:rsidR="00E7016F" w:rsidRPr="00211BAA" w:rsidRDefault="00E7016F" w:rsidP="003B5EA5">
      <w:r w:rsidRPr="00211BAA">
        <w:t>ABS (2026)</w:t>
      </w:r>
      <w:r w:rsidR="00031983" w:rsidRPr="00211BAA">
        <w:t xml:space="preserve"> </w:t>
      </w:r>
      <w:hyperlink r:id="rId23" w:history="1">
        <w:r w:rsidR="00031983" w:rsidRPr="00211BAA">
          <w:rPr>
            <w:rStyle w:val="Hyperlink"/>
            <w:i/>
            <w:color w:val="auto"/>
          </w:rPr>
          <w:t>Estimates of Industry Multifactor Productivity methodology</w:t>
        </w:r>
      </w:hyperlink>
      <w:r w:rsidR="00031983" w:rsidRPr="00211BAA">
        <w:t>, ABS.</w:t>
      </w:r>
    </w:p>
    <w:p w14:paraId="013AFC72" w14:textId="77777777" w:rsidR="005442BC" w:rsidRPr="00211BAA" w:rsidRDefault="005442BC" w:rsidP="005442BC">
      <w:pPr>
        <w:rPr>
          <w:rFonts w:cs="Calibri Light"/>
          <w:szCs w:val="22"/>
        </w:rPr>
      </w:pPr>
      <w:r w:rsidRPr="00211BAA">
        <w:rPr>
          <w:rFonts w:cs="Calibri Light"/>
          <w:szCs w:val="22"/>
        </w:rPr>
        <w:t>ABARES (Australian Bureau of Agricultural and Resource Economics and Sciences) (2024)</w:t>
      </w:r>
      <w:r w:rsidRPr="00211BAA">
        <w:t xml:space="preserve"> </w:t>
      </w:r>
      <w:hyperlink r:id="rId24" w:history="1">
        <w:r w:rsidRPr="00211BAA">
          <w:rPr>
            <w:rStyle w:val="Hyperlink"/>
            <w:rFonts w:cs="Calibri Light"/>
            <w:i/>
            <w:color w:val="auto"/>
            <w:szCs w:val="22"/>
          </w:rPr>
          <w:t>Productivity drivers</w:t>
        </w:r>
      </w:hyperlink>
      <w:r w:rsidRPr="00211BAA">
        <w:rPr>
          <w:rFonts w:cs="Calibri Light"/>
          <w:szCs w:val="22"/>
        </w:rPr>
        <w:t>, Department of Agriculture, Fisheries and Forestry</w:t>
      </w:r>
    </w:p>
    <w:p w14:paraId="2304D68B" w14:textId="6CAF3A95" w:rsidR="005442BC" w:rsidRPr="00211BAA" w:rsidRDefault="005442BC" w:rsidP="003B5EA5">
      <w:pPr>
        <w:rPr>
          <w:rFonts w:cs="Calibri Light"/>
          <w:szCs w:val="22"/>
        </w:rPr>
      </w:pPr>
      <w:r w:rsidRPr="00211BAA">
        <w:rPr>
          <w:rFonts w:cs="Calibri Light"/>
          <w:szCs w:val="22"/>
        </w:rPr>
        <w:t xml:space="preserve">ABARES (2025) </w:t>
      </w:r>
      <w:hyperlink r:id="rId25" w:history="1">
        <w:r w:rsidRPr="00211BAA">
          <w:rPr>
            <w:rStyle w:val="Hyperlink"/>
            <w:rFonts w:cs="Calibri Light"/>
            <w:i/>
            <w:color w:val="auto"/>
            <w:szCs w:val="22"/>
          </w:rPr>
          <w:t>Australian Farm Productivity - Broadacre and Dairy Estimates</w:t>
        </w:r>
      </w:hyperlink>
      <w:r w:rsidRPr="00211BAA">
        <w:rPr>
          <w:rFonts w:cs="Calibri Light"/>
          <w:szCs w:val="22"/>
        </w:rPr>
        <w:t>, Department of Agriculture, Fisheries and Forestry.</w:t>
      </w:r>
    </w:p>
    <w:p w14:paraId="04CA920B" w14:textId="77777777" w:rsidR="00F836EC" w:rsidRPr="00211BAA" w:rsidRDefault="00F836EC" w:rsidP="003B5EA5">
      <w:r w:rsidRPr="00211BAA">
        <w:t xml:space="preserve">Andrews D, Criscuolo C and Peter NG (2016) </w:t>
      </w:r>
      <w:hyperlink r:id="rId26" w:history="1">
        <w:r w:rsidRPr="00211BAA">
          <w:rPr>
            <w:rStyle w:val="Hyperlink"/>
            <w:rFonts w:cs="Calibri Light"/>
            <w:i/>
            <w:color w:val="auto"/>
            <w:szCs w:val="22"/>
          </w:rPr>
          <w:t>The Best versus the Rest: The Global Productivity Slowdown, Divergence across Firms and the Role of Public Policy</w:t>
        </w:r>
      </w:hyperlink>
      <w:r w:rsidRPr="00211BAA">
        <w:t>, OECD Productivity Working Papers, OECD.</w:t>
      </w:r>
    </w:p>
    <w:p w14:paraId="5A590A46" w14:textId="58F72960" w:rsidR="00A239EE" w:rsidRPr="00211BAA" w:rsidRDefault="00A239EE" w:rsidP="00A239EE">
      <w:pPr>
        <w:rPr>
          <w:rFonts w:cs="Calibri Light"/>
          <w:szCs w:val="22"/>
        </w:rPr>
      </w:pPr>
      <w:r w:rsidRPr="00211BAA">
        <w:rPr>
          <w:rFonts w:cs="Calibri Light"/>
          <w:szCs w:val="22"/>
        </w:rPr>
        <w:t xml:space="preserve">Andrews D and </w:t>
      </w:r>
      <w:proofErr w:type="spellStart"/>
      <w:r w:rsidRPr="00211BAA">
        <w:rPr>
          <w:rFonts w:cs="Calibri Light"/>
          <w:szCs w:val="22"/>
        </w:rPr>
        <w:t>Garnero</w:t>
      </w:r>
      <w:proofErr w:type="spellEnd"/>
      <w:r w:rsidRPr="00211BAA">
        <w:rPr>
          <w:rFonts w:cs="Calibri Light"/>
          <w:szCs w:val="22"/>
        </w:rPr>
        <w:t xml:space="preserve"> A (2025) </w:t>
      </w:r>
      <w:hyperlink r:id="rId27" w:history="1">
        <w:r w:rsidRPr="00211BAA">
          <w:rPr>
            <w:rStyle w:val="Hyperlink"/>
            <w:rFonts w:cs="Calibri Light"/>
            <w:i/>
            <w:color w:val="auto"/>
            <w:szCs w:val="22"/>
          </w:rPr>
          <w:t>Five facts on non-compete and related clauses</w:t>
        </w:r>
      </w:hyperlink>
      <w:r w:rsidRPr="00211BAA">
        <w:rPr>
          <w:rFonts w:cs="Calibri Light"/>
          <w:szCs w:val="22"/>
        </w:rPr>
        <w:t>, OECD Economics Department Working Papers, OECD.</w:t>
      </w:r>
    </w:p>
    <w:p w14:paraId="6A5152C3" w14:textId="77777777" w:rsidR="00F836EC" w:rsidRPr="00211BAA" w:rsidRDefault="00F836EC" w:rsidP="003B5EA5">
      <w:r w:rsidRPr="00211BAA">
        <w:t xml:space="preserve">Andrews D, </w:t>
      </w:r>
      <w:proofErr w:type="spellStart"/>
      <w:r w:rsidRPr="00211BAA">
        <w:t>Hambur</w:t>
      </w:r>
      <w:proofErr w:type="spellEnd"/>
      <w:r w:rsidRPr="00211BAA">
        <w:t xml:space="preserve"> J, Hansell D and Wheeler A (2022) </w:t>
      </w:r>
      <w:hyperlink r:id="rId28" w:history="1">
        <w:r w:rsidRPr="00211BAA">
          <w:rPr>
            <w:rStyle w:val="Hyperlink"/>
            <w:rFonts w:cs="Calibri Light"/>
            <w:i/>
            <w:color w:val="auto"/>
            <w:szCs w:val="22"/>
          </w:rPr>
          <w:t>Reaching for the stars: Australian firms and the global productivity frontier</w:t>
        </w:r>
      </w:hyperlink>
      <w:r w:rsidRPr="00211BAA">
        <w:t>, Treasury Working Paper, The Australian Treasury.</w:t>
      </w:r>
    </w:p>
    <w:p w14:paraId="4D2ADF38" w14:textId="77777777" w:rsidR="00A239EE" w:rsidRPr="00211BAA" w:rsidRDefault="00A239EE" w:rsidP="00A239EE">
      <w:r w:rsidRPr="00211BAA">
        <w:t xml:space="preserve">Andrews D and Hansell D (2019) </w:t>
      </w:r>
      <w:hyperlink r:id="rId29" w:history="1">
        <w:r w:rsidRPr="00211BAA">
          <w:rPr>
            <w:rStyle w:val="Hyperlink"/>
            <w:rFonts w:cs="Calibri Light"/>
            <w:i/>
            <w:color w:val="auto"/>
            <w:szCs w:val="22"/>
          </w:rPr>
          <w:t>Productivity-enhancing labour reallocation in Australia</w:t>
        </w:r>
      </w:hyperlink>
      <w:r w:rsidRPr="00211BAA">
        <w:rPr>
          <w:i/>
        </w:rPr>
        <w:t xml:space="preserve">, </w:t>
      </w:r>
      <w:r w:rsidRPr="00211BAA">
        <w:t>Treasury Working Paper, The Australian Treasury.</w:t>
      </w:r>
    </w:p>
    <w:p w14:paraId="3E5BEEE0" w14:textId="07D1501B" w:rsidR="00AE0953" w:rsidRPr="00211BAA" w:rsidRDefault="00621F84" w:rsidP="003B5EA5">
      <w:pPr>
        <w:rPr>
          <w:rFonts w:cs="Calibri Light"/>
          <w:szCs w:val="22"/>
        </w:rPr>
      </w:pPr>
      <w:r w:rsidRPr="00211BAA">
        <w:rPr>
          <w:rFonts w:cs="Calibri Light"/>
          <w:szCs w:val="22"/>
        </w:rPr>
        <w:t xml:space="preserve">Australian Heads of Treasuries (2017) </w:t>
      </w:r>
      <w:hyperlink r:id="rId30" w:history="1">
        <w:r w:rsidR="00AD5852" w:rsidRPr="00211BAA">
          <w:rPr>
            <w:rStyle w:val="Hyperlink"/>
            <w:rFonts w:cs="Calibri Light"/>
            <w:i/>
            <w:color w:val="auto"/>
            <w:szCs w:val="22"/>
          </w:rPr>
          <w:t>Intergovernmental Review of Business Investment</w:t>
        </w:r>
      </w:hyperlink>
      <w:r w:rsidR="00F56E11" w:rsidRPr="00211BAA">
        <w:t>, Australian Government</w:t>
      </w:r>
      <w:r w:rsidR="00FF7127" w:rsidRPr="00211BAA">
        <w:rPr>
          <w:rFonts w:cs="Calibri Light"/>
          <w:szCs w:val="22"/>
        </w:rPr>
        <w:t>.</w:t>
      </w:r>
    </w:p>
    <w:p w14:paraId="48BBD7BF" w14:textId="77E516DE" w:rsidR="00F836EC" w:rsidRPr="00211BAA" w:rsidRDefault="00F836EC" w:rsidP="003B5EA5">
      <w:r w:rsidRPr="00211BAA">
        <w:t xml:space="preserve">Battersby B (2006) </w:t>
      </w:r>
      <w:hyperlink r:id="rId31" w:history="1">
        <w:r w:rsidRPr="00211BAA">
          <w:rPr>
            <w:rStyle w:val="Hyperlink"/>
            <w:rFonts w:cs="Calibri Light"/>
            <w:i/>
            <w:color w:val="auto"/>
            <w:szCs w:val="22"/>
          </w:rPr>
          <w:t>Does distance matter? The effect of geographic isolation on productivity levels</w:t>
        </w:r>
      </w:hyperlink>
      <w:r w:rsidRPr="00211BAA">
        <w:rPr>
          <w:i/>
        </w:rPr>
        <w:t>,</w:t>
      </w:r>
      <w:r w:rsidRPr="00211BAA">
        <w:t xml:space="preserve"> Treasury Working Paper, The Australian Treasury.</w:t>
      </w:r>
    </w:p>
    <w:p w14:paraId="69509845" w14:textId="727C1D9F" w:rsidR="00F836EC" w:rsidRPr="00211BAA" w:rsidRDefault="00F836EC" w:rsidP="003B5EA5">
      <w:r w:rsidRPr="00211BAA">
        <w:t xml:space="preserve">Baumol WJ (2012) </w:t>
      </w:r>
      <w:r w:rsidRPr="00211BAA">
        <w:rPr>
          <w:i/>
        </w:rPr>
        <w:t>The cost disease: Why computers get cheaper and health care doesn't</w:t>
      </w:r>
      <w:r w:rsidRPr="00211BAA">
        <w:t>, Yale University Press</w:t>
      </w:r>
      <w:r w:rsidR="00334C24" w:rsidRPr="00211BAA">
        <w:t>, New Haven</w:t>
      </w:r>
      <w:r w:rsidRPr="00211BAA">
        <w:t>.</w:t>
      </w:r>
    </w:p>
    <w:p w14:paraId="7FA81681" w14:textId="42973B2B" w:rsidR="00F836EC" w:rsidRPr="00211BAA" w:rsidRDefault="00F836EC" w:rsidP="003B5EA5">
      <w:r w:rsidRPr="00211BAA">
        <w:t>Blainey J</w:t>
      </w:r>
      <w:r w:rsidR="00A767E4" w:rsidRPr="00211BAA">
        <w:t>G</w:t>
      </w:r>
      <w:r w:rsidRPr="00211BAA">
        <w:t xml:space="preserve"> (</w:t>
      </w:r>
      <w:r w:rsidR="00A767E4" w:rsidRPr="00211BAA">
        <w:t>1966</w:t>
      </w:r>
      <w:r w:rsidRPr="00211BAA">
        <w:t xml:space="preserve">) </w:t>
      </w:r>
      <w:r w:rsidR="00C8037A" w:rsidRPr="00211BAA">
        <w:t xml:space="preserve">The </w:t>
      </w:r>
      <w:r w:rsidR="00C8037A" w:rsidRPr="00211BAA">
        <w:rPr>
          <w:i/>
        </w:rPr>
        <w:t>Tyranny of Distance: How Distance Shaped Australia's History</w:t>
      </w:r>
      <w:r w:rsidR="00B72999" w:rsidRPr="00211BAA">
        <w:t xml:space="preserve">, </w:t>
      </w:r>
      <w:r w:rsidR="00E82436" w:rsidRPr="00211BAA">
        <w:t>Sun Books, Melbourne</w:t>
      </w:r>
      <w:r w:rsidR="002033A6" w:rsidRPr="00211BAA">
        <w:t>.</w:t>
      </w:r>
    </w:p>
    <w:p w14:paraId="6DB5BCD2" w14:textId="29F2DB7C" w:rsidR="006F05E5" w:rsidRPr="00211BAA" w:rsidRDefault="006F05E5" w:rsidP="003B5EA5">
      <w:r w:rsidRPr="00211BAA">
        <w:t xml:space="preserve">Bresnahan </w:t>
      </w:r>
      <w:r w:rsidR="005A3574" w:rsidRPr="00211BAA">
        <w:t xml:space="preserve">T </w:t>
      </w:r>
      <w:r w:rsidRPr="00211BAA">
        <w:t>and Trajtenberg</w:t>
      </w:r>
      <w:r w:rsidR="005A3574" w:rsidRPr="00211BAA">
        <w:t xml:space="preserve"> M</w:t>
      </w:r>
      <w:r w:rsidR="003519C4" w:rsidRPr="00211BAA">
        <w:t xml:space="preserve"> </w:t>
      </w:r>
      <w:r w:rsidR="00AA7DEE" w:rsidRPr="00211BAA">
        <w:t>(199</w:t>
      </w:r>
      <w:r w:rsidR="004604B3" w:rsidRPr="00211BAA">
        <w:t>2</w:t>
      </w:r>
      <w:r w:rsidR="00AA7DEE" w:rsidRPr="00211BAA">
        <w:t>)</w:t>
      </w:r>
      <w:r w:rsidRPr="00211BAA">
        <w:t xml:space="preserve"> </w:t>
      </w:r>
      <w:hyperlink r:id="rId32" w:history="1">
        <w:r w:rsidR="00E569EE" w:rsidRPr="00211BAA">
          <w:rPr>
            <w:rStyle w:val="Hyperlink"/>
            <w:i/>
            <w:iCs/>
            <w:color w:val="auto"/>
          </w:rPr>
          <w:t>General purpose technologies: Engines of growth?</w:t>
        </w:r>
      </w:hyperlink>
      <w:r w:rsidR="002B093B" w:rsidRPr="00211BAA">
        <w:t xml:space="preserve">, </w:t>
      </w:r>
      <w:r w:rsidR="004604B3" w:rsidRPr="00211BAA">
        <w:t>NBER Working Paper No. 4</w:t>
      </w:r>
      <w:r w:rsidR="009A1651" w:rsidRPr="00211BAA">
        <w:t>148</w:t>
      </w:r>
      <w:r w:rsidR="004604B3" w:rsidRPr="00211BAA">
        <w:t>, National Bureau</w:t>
      </w:r>
      <w:r w:rsidR="002B093B" w:rsidRPr="00211BAA">
        <w:t xml:space="preserve"> of </w:t>
      </w:r>
      <w:r w:rsidR="004604B3" w:rsidRPr="00211BAA">
        <w:t>Economic Research.</w:t>
      </w:r>
    </w:p>
    <w:p w14:paraId="6E745BAE" w14:textId="6631424E" w:rsidR="00F836EC" w:rsidRPr="00211BAA" w:rsidRDefault="00F836EC" w:rsidP="003B5EA5">
      <w:r w:rsidRPr="00211BAA">
        <w:t xml:space="preserve">Bruno A, </w:t>
      </w:r>
      <w:proofErr w:type="spellStart"/>
      <w:r w:rsidRPr="00211BAA">
        <w:t>Hambur</w:t>
      </w:r>
      <w:proofErr w:type="spellEnd"/>
      <w:r w:rsidRPr="00211BAA">
        <w:t xml:space="preserve"> J and Wang L (2025) </w:t>
      </w:r>
      <w:hyperlink r:id="rId33" w:history="1">
        <w:r w:rsidR="00C660D9" w:rsidRPr="00211BAA">
          <w:rPr>
            <w:rStyle w:val="Hyperlink"/>
            <w:rFonts w:cs="Calibri Light"/>
            <w:i/>
            <w:color w:val="auto"/>
            <w:szCs w:val="22"/>
          </w:rPr>
          <w:t>A (Closer to) Real Time Labour Quality Index</w:t>
        </w:r>
      </w:hyperlink>
      <w:r w:rsidRPr="00211BAA">
        <w:t xml:space="preserve">, </w:t>
      </w:r>
      <w:r w:rsidRPr="00211BAA">
        <w:rPr>
          <w:i/>
        </w:rPr>
        <w:t>RBA Bulletin</w:t>
      </w:r>
      <w:r w:rsidRPr="00211BAA">
        <w:t>, Reserve Bank of Australia.</w:t>
      </w:r>
    </w:p>
    <w:p w14:paraId="3E0D6796" w14:textId="1A07F6AF" w:rsidR="00437D5A" w:rsidRPr="00211BAA" w:rsidRDefault="00437D5A" w:rsidP="003B5EA5">
      <w:r w:rsidRPr="00211BAA">
        <w:t xml:space="preserve">Brynjolfsson </w:t>
      </w:r>
      <w:r w:rsidR="005A2863" w:rsidRPr="00211BAA">
        <w:t xml:space="preserve">E </w:t>
      </w:r>
      <w:r w:rsidRPr="00211BAA">
        <w:t>(1993)</w:t>
      </w:r>
      <w:r w:rsidR="00BD2D82" w:rsidRPr="00211BAA">
        <w:t xml:space="preserve"> </w:t>
      </w:r>
      <w:r w:rsidR="00E751FA" w:rsidRPr="00211BAA">
        <w:t>‘</w:t>
      </w:r>
      <w:hyperlink r:id="rId34" w:history="1">
        <w:r w:rsidR="00BD2D82" w:rsidRPr="00211BAA">
          <w:rPr>
            <w:rStyle w:val="Hyperlink"/>
            <w:color w:val="auto"/>
          </w:rPr>
          <w:t xml:space="preserve">The Productivity Paradox </w:t>
        </w:r>
        <w:r w:rsidR="00E751FA" w:rsidRPr="00211BAA">
          <w:rPr>
            <w:rStyle w:val="Hyperlink"/>
            <w:color w:val="auto"/>
          </w:rPr>
          <w:t>o</w:t>
        </w:r>
        <w:r w:rsidR="00BD2D82" w:rsidRPr="00211BAA">
          <w:rPr>
            <w:rStyle w:val="Hyperlink"/>
            <w:color w:val="auto"/>
          </w:rPr>
          <w:t>f Information Technology</w:t>
        </w:r>
        <w:r w:rsidR="00E751FA" w:rsidRPr="00211BAA">
          <w:rPr>
            <w:rStyle w:val="Hyperlink"/>
            <w:color w:val="auto"/>
          </w:rPr>
          <w:t>’</w:t>
        </w:r>
      </w:hyperlink>
      <w:r w:rsidR="00E751FA" w:rsidRPr="00211BAA">
        <w:t>,</w:t>
      </w:r>
      <w:r w:rsidR="00BD2D82" w:rsidRPr="00211BAA">
        <w:t xml:space="preserve"> </w:t>
      </w:r>
      <w:r w:rsidR="00BD2D82" w:rsidRPr="00211BAA">
        <w:rPr>
          <w:i/>
          <w:iCs/>
        </w:rPr>
        <w:t xml:space="preserve">Communications </w:t>
      </w:r>
      <w:r w:rsidR="00E751FA" w:rsidRPr="00211BAA">
        <w:rPr>
          <w:i/>
          <w:iCs/>
        </w:rPr>
        <w:t>o</w:t>
      </w:r>
      <w:r w:rsidR="00BD2D82" w:rsidRPr="00211BAA">
        <w:rPr>
          <w:i/>
          <w:iCs/>
        </w:rPr>
        <w:t xml:space="preserve">f </w:t>
      </w:r>
      <w:r w:rsidR="00E751FA" w:rsidRPr="00211BAA">
        <w:rPr>
          <w:i/>
          <w:iCs/>
        </w:rPr>
        <w:t>t</w:t>
      </w:r>
      <w:r w:rsidR="00BD2D82" w:rsidRPr="00211BAA">
        <w:rPr>
          <w:i/>
          <w:iCs/>
        </w:rPr>
        <w:t>he ACM</w:t>
      </w:r>
      <w:r w:rsidR="00BD2D82" w:rsidRPr="00211BAA">
        <w:t>, 36(12)</w:t>
      </w:r>
      <w:r w:rsidR="0052395D" w:rsidRPr="00211BAA">
        <w:t>:</w:t>
      </w:r>
      <w:r w:rsidR="00BD2D82" w:rsidRPr="00211BAA">
        <w:t>67-77</w:t>
      </w:r>
    </w:p>
    <w:p w14:paraId="785279A2" w14:textId="5776F2EC" w:rsidR="00437D5A" w:rsidRPr="00211BAA" w:rsidRDefault="00437D5A" w:rsidP="00437D5A">
      <w:r w:rsidRPr="00211BAA">
        <w:t xml:space="preserve">Brynjolfsson </w:t>
      </w:r>
      <w:r w:rsidR="005A2863" w:rsidRPr="00211BAA">
        <w:t xml:space="preserve">E </w:t>
      </w:r>
      <w:r w:rsidRPr="00211BAA">
        <w:t>(2026)</w:t>
      </w:r>
      <w:r w:rsidR="00F47EAF" w:rsidRPr="00211BAA">
        <w:t xml:space="preserve"> ‘</w:t>
      </w:r>
      <w:hyperlink r:id="rId35" w:history="1">
        <w:r w:rsidR="00F47EAF" w:rsidRPr="00211BAA">
          <w:rPr>
            <w:rStyle w:val="Hyperlink"/>
            <w:color w:val="auto"/>
          </w:rPr>
          <w:t>The AI productivity take-off is finally visible’</w:t>
        </w:r>
      </w:hyperlink>
      <w:r w:rsidR="00AD6580" w:rsidRPr="00211BAA">
        <w:rPr>
          <w:i/>
          <w:iCs/>
        </w:rPr>
        <w:t>, Financial Times</w:t>
      </w:r>
      <w:r w:rsidR="009F6A5B" w:rsidRPr="00211BAA">
        <w:t>, 16 February 2026</w:t>
      </w:r>
    </w:p>
    <w:p w14:paraId="00EE1621" w14:textId="3E8F50D2" w:rsidR="00F836EC" w:rsidRPr="00211BAA" w:rsidRDefault="00F836EC" w:rsidP="003B5EA5">
      <w:r w:rsidRPr="00211BAA">
        <w:t xml:space="preserve">Brynjolfsson E and McAfee A (2011), </w:t>
      </w:r>
      <w:r w:rsidRPr="00211BAA">
        <w:rPr>
          <w:i/>
        </w:rPr>
        <w:t>Race Against the Machine: How the Digital Revolution is Accelerating Innovation, Driving Productivity, and Irreversibly Transforming Employment and the Economy</w:t>
      </w:r>
      <w:r w:rsidRPr="00211BAA">
        <w:t>, Digital Frontier Press</w:t>
      </w:r>
      <w:r w:rsidR="00B74022" w:rsidRPr="00211BAA">
        <w:t>, London</w:t>
      </w:r>
      <w:r w:rsidRPr="00211BAA">
        <w:t>.</w:t>
      </w:r>
    </w:p>
    <w:p w14:paraId="39007131" w14:textId="77777777" w:rsidR="00041DE2" w:rsidRPr="00211BAA" w:rsidRDefault="00041DE2" w:rsidP="00041DE2">
      <w:r w:rsidRPr="00211BAA">
        <w:t xml:space="preserve">Buckley J (2023) </w:t>
      </w:r>
      <w:hyperlink r:id="rId36" w:history="1">
        <w:r w:rsidRPr="00211BAA">
          <w:rPr>
            <w:rStyle w:val="Hyperlink"/>
            <w:i/>
            <w:color w:val="auto"/>
          </w:rPr>
          <w:t>Productivity in motion: The role of job switching</w:t>
        </w:r>
      </w:hyperlink>
      <w:r w:rsidRPr="00211BAA">
        <w:t>, e61 Institute.</w:t>
      </w:r>
    </w:p>
    <w:p w14:paraId="437143DC" w14:textId="1B1C5970" w:rsidR="00437D5A" w:rsidRPr="00211BAA" w:rsidRDefault="00437D5A" w:rsidP="003B5EA5">
      <w:r w:rsidRPr="00211BAA">
        <w:t>Comin</w:t>
      </w:r>
      <w:r w:rsidR="0002652A" w:rsidRPr="00211BAA">
        <w:t xml:space="preserve"> D</w:t>
      </w:r>
      <w:r w:rsidRPr="00211BAA">
        <w:t xml:space="preserve"> and </w:t>
      </w:r>
      <w:proofErr w:type="spellStart"/>
      <w:r w:rsidRPr="00211BAA">
        <w:t>Hobjin</w:t>
      </w:r>
      <w:proofErr w:type="spellEnd"/>
      <w:r w:rsidRPr="00211BAA">
        <w:t xml:space="preserve"> </w:t>
      </w:r>
      <w:r w:rsidR="0002652A" w:rsidRPr="00211BAA">
        <w:t xml:space="preserve">B </w:t>
      </w:r>
      <w:r w:rsidRPr="00211BAA">
        <w:t>(2010)</w:t>
      </w:r>
      <w:r w:rsidR="007509EE" w:rsidRPr="00211BAA">
        <w:t xml:space="preserve"> ‘</w:t>
      </w:r>
      <w:hyperlink r:id="rId37" w:history="1">
        <w:r w:rsidR="007509EE" w:rsidRPr="00211BAA">
          <w:rPr>
            <w:rStyle w:val="Hyperlink"/>
            <w:color w:val="auto"/>
          </w:rPr>
          <w:t>An Exploration of Technology Diffusion</w:t>
        </w:r>
      </w:hyperlink>
      <w:r w:rsidR="007509EE" w:rsidRPr="00211BAA">
        <w:t xml:space="preserve">’, </w:t>
      </w:r>
      <w:r w:rsidR="007509EE" w:rsidRPr="00211BAA">
        <w:rPr>
          <w:i/>
        </w:rPr>
        <w:t>American Economic Review</w:t>
      </w:r>
      <w:r w:rsidR="007509EE" w:rsidRPr="00211BAA">
        <w:t>, 2010, 100(5)</w:t>
      </w:r>
      <w:r w:rsidR="0052395D" w:rsidRPr="00211BAA">
        <w:t>:</w:t>
      </w:r>
      <w:r w:rsidR="007509EE" w:rsidRPr="00211BAA">
        <w:t>2031-2059.</w:t>
      </w:r>
    </w:p>
    <w:p w14:paraId="48D3A377" w14:textId="7300E2F5" w:rsidR="00F836EC" w:rsidRPr="00211BAA" w:rsidRDefault="00F836EC" w:rsidP="003B5EA5">
      <w:r w:rsidRPr="00211BAA">
        <w:lastRenderedPageBreak/>
        <w:t xml:space="preserve">Conference Board (2025) </w:t>
      </w:r>
      <w:hyperlink r:id="rId38" w:history="1">
        <w:r w:rsidRPr="00211BAA">
          <w:rPr>
            <w:rStyle w:val="Hyperlink"/>
            <w:rFonts w:cs="Calibri Light"/>
            <w:i/>
            <w:color w:val="auto"/>
            <w:szCs w:val="22"/>
          </w:rPr>
          <w:t xml:space="preserve">Total Economy Database: Summary tables and </w:t>
        </w:r>
        <w:r w:rsidR="007454F2" w:rsidRPr="00211BAA">
          <w:rPr>
            <w:rStyle w:val="Hyperlink"/>
            <w:rFonts w:cs="Calibri Light"/>
            <w:i/>
            <w:color w:val="auto"/>
            <w:szCs w:val="22"/>
          </w:rPr>
          <w:t>Chart</w:t>
        </w:r>
        <w:r w:rsidRPr="00211BAA">
          <w:rPr>
            <w:rStyle w:val="Hyperlink"/>
            <w:rFonts w:cs="Calibri Light"/>
            <w:i/>
            <w:color w:val="auto"/>
            <w:szCs w:val="22"/>
          </w:rPr>
          <w:t>s May 2025</w:t>
        </w:r>
      </w:hyperlink>
      <w:r w:rsidRPr="00211BAA">
        <w:rPr>
          <w:i/>
        </w:rPr>
        <w:t>,</w:t>
      </w:r>
      <w:r w:rsidRPr="00211BAA">
        <w:t xml:space="preserve"> The Conference Board.</w:t>
      </w:r>
    </w:p>
    <w:p w14:paraId="7A32DDE6" w14:textId="4C25EC50" w:rsidR="00F836EC" w:rsidRPr="00211BAA" w:rsidRDefault="00F836EC" w:rsidP="003B5EA5">
      <w:r w:rsidRPr="00211BAA">
        <w:t>Congressional Budget Office (202</w:t>
      </w:r>
      <w:r w:rsidR="001868DB" w:rsidRPr="00211BAA">
        <w:t>6</w:t>
      </w:r>
      <w:r w:rsidRPr="00211BAA">
        <w:t xml:space="preserve">) </w:t>
      </w:r>
      <w:hyperlink r:id="rId39" w:history="1">
        <w:r w:rsidRPr="00211BAA">
          <w:rPr>
            <w:rStyle w:val="Hyperlink"/>
            <w:rFonts w:cs="Calibri Light"/>
            <w:i/>
            <w:color w:val="auto"/>
            <w:szCs w:val="22"/>
          </w:rPr>
          <w:t>The Long-Term Budget Outlook</w:t>
        </w:r>
        <w:r w:rsidR="006B0DEA" w:rsidRPr="00211BAA">
          <w:rPr>
            <w:rStyle w:val="Hyperlink"/>
            <w:rFonts w:cs="Calibri Light"/>
            <w:i/>
            <w:color w:val="auto"/>
            <w:szCs w:val="22"/>
          </w:rPr>
          <w:t xml:space="preserve"> Data</w:t>
        </w:r>
        <w:r w:rsidRPr="00211BAA">
          <w:rPr>
            <w:rStyle w:val="Hyperlink"/>
            <w:rFonts w:cs="Calibri Light"/>
            <w:i/>
            <w:color w:val="auto"/>
            <w:szCs w:val="22"/>
          </w:rPr>
          <w:t>: 202</w:t>
        </w:r>
        <w:r w:rsidR="006B0DEA" w:rsidRPr="00211BAA">
          <w:rPr>
            <w:rStyle w:val="Hyperlink"/>
            <w:rFonts w:cs="Calibri Light"/>
            <w:i/>
            <w:color w:val="auto"/>
            <w:szCs w:val="22"/>
          </w:rPr>
          <w:t>6</w:t>
        </w:r>
        <w:r w:rsidRPr="00211BAA">
          <w:rPr>
            <w:rStyle w:val="Hyperlink"/>
            <w:rFonts w:cs="Calibri Light"/>
            <w:i/>
            <w:color w:val="auto"/>
            <w:szCs w:val="22"/>
          </w:rPr>
          <w:t xml:space="preserve"> to 20</w:t>
        </w:r>
        <w:r w:rsidR="006B0DEA" w:rsidRPr="00211BAA">
          <w:rPr>
            <w:rStyle w:val="Hyperlink"/>
            <w:rFonts w:cs="Calibri Light"/>
            <w:i/>
            <w:color w:val="auto"/>
            <w:szCs w:val="22"/>
          </w:rPr>
          <w:t>56</w:t>
        </w:r>
      </w:hyperlink>
      <w:r w:rsidRPr="00211BAA">
        <w:rPr>
          <w:i/>
        </w:rPr>
        <w:t xml:space="preserve">, </w:t>
      </w:r>
      <w:r w:rsidRPr="00211BAA">
        <w:t xml:space="preserve">supplementary data, Congressional Budget Office. </w:t>
      </w:r>
    </w:p>
    <w:p w14:paraId="05C920BF" w14:textId="24806DD7" w:rsidR="00437D5A" w:rsidRPr="00211BAA" w:rsidRDefault="00437D5A" w:rsidP="003B5EA5">
      <w:r w:rsidRPr="00211BAA">
        <w:t xml:space="preserve">Crafts </w:t>
      </w:r>
      <w:r w:rsidR="00EB51F0" w:rsidRPr="00211BAA">
        <w:t xml:space="preserve">N </w:t>
      </w:r>
      <w:r w:rsidRPr="00211BAA">
        <w:t>(2004)</w:t>
      </w:r>
      <w:r w:rsidR="005162A2" w:rsidRPr="00211BAA">
        <w:t xml:space="preserve"> </w:t>
      </w:r>
      <w:hyperlink r:id="rId40" w:history="1">
        <w:r w:rsidR="005162A2" w:rsidRPr="00211BAA">
          <w:rPr>
            <w:rStyle w:val="Hyperlink"/>
            <w:i/>
            <w:color w:val="auto"/>
          </w:rPr>
          <w:t>Steam as a General Purpose Technology: A Growth Accounting Perspective</w:t>
        </w:r>
      </w:hyperlink>
      <w:r w:rsidR="005162A2" w:rsidRPr="00211BAA">
        <w:t xml:space="preserve"> </w:t>
      </w:r>
      <w:r w:rsidR="005162A2" w:rsidRPr="00211BAA">
        <w:rPr>
          <w:i/>
        </w:rPr>
        <w:t>The Economic Journal</w:t>
      </w:r>
      <w:r w:rsidR="005162A2" w:rsidRPr="00211BAA">
        <w:t>, 114</w:t>
      </w:r>
      <w:r w:rsidR="00BD6F33" w:rsidRPr="00211BAA">
        <w:t>(</w:t>
      </w:r>
      <w:r w:rsidR="005162A2" w:rsidRPr="00211BAA">
        <w:t>495</w:t>
      </w:r>
      <w:r w:rsidR="00BD6F33" w:rsidRPr="00211BAA">
        <w:t>)</w:t>
      </w:r>
      <w:r w:rsidR="0052395D" w:rsidRPr="00211BAA">
        <w:t>:</w:t>
      </w:r>
      <w:r w:rsidR="005162A2" w:rsidRPr="00211BAA">
        <w:t xml:space="preserve"> 338–351.</w:t>
      </w:r>
    </w:p>
    <w:p w14:paraId="5E85438B" w14:textId="1C1669FB" w:rsidR="00437D5A" w:rsidRPr="00211BAA" w:rsidRDefault="00437D5A" w:rsidP="003B5EA5">
      <w:r w:rsidRPr="00211BAA">
        <w:t>David</w:t>
      </w:r>
      <w:r w:rsidR="0005112F" w:rsidRPr="00211BAA">
        <w:t xml:space="preserve"> P</w:t>
      </w:r>
      <w:r w:rsidRPr="00211BAA">
        <w:t xml:space="preserve"> (1990)</w:t>
      </w:r>
      <w:r w:rsidR="00A011B0" w:rsidRPr="00211BAA">
        <w:t xml:space="preserve"> </w:t>
      </w:r>
      <w:hyperlink r:id="rId41" w:history="1">
        <w:r w:rsidR="00A011B0" w:rsidRPr="00211BAA">
          <w:rPr>
            <w:rStyle w:val="Hyperlink"/>
            <w:i/>
            <w:iCs/>
            <w:color w:val="auto"/>
          </w:rPr>
          <w:t>The Dynamo and the Computer: An Historical Perspective On the Modern Productivity</w:t>
        </w:r>
        <w:r w:rsidR="00A011B0" w:rsidRPr="00211BAA">
          <w:rPr>
            <w:rStyle w:val="Hyperlink"/>
            <w:color w:val="auto"/>
          </w:rPr>
          <w:t xml:space="preserve"> </w:t>
        </w:r>
        <w:r w:rsidR="00A011B0" w:rsidRPr="00211BAA">
          <w:rPr>
            <w:rStyle w:val="Hyperlink"/>
            <w:i/>
            <w:iCs/>
            <w:color w:val="auto"/>
          </w:rPr>
          <w:t>Paradox</w:t>
        </w:r>
      </w:hyperlink>
      <w:r w:rsidR="00A011B0" w:rsidRPr="00211BAA">
        <w:t xml:space="preserve">, </w:t>
      </w:r>
      <w:r w:rsidR="00A011B0" w:rsidRPr="00211BAA">
        <w:rPr>
          <w:i/>
          <w:iCs/>
        </w:rPr>
        <w:t>American Economic Review</w:t>
      </w:r>
      <w:r w:rsidR="00B47CF6" w:rsidRPr="00211BAA">
        <w:t>,</w:t>
      </w:r>
      <w:r w:rsidR="005A2863" w:rsidRPr="00211BAA">
        <w:t xml:space="preserve"> </w:t>
      </w:r>
      <w:r w:rsidR="00A011B0" w:rsidRPr="00211BAA">
        <w:t>80</w:t>
      </w:r>
      <w:r w:rsidR="00B47CF6" w:rsidRPr="00211BAA">
        <w:t>(</w:t>
      </w:r>
      <w:r w:rsidR="00A011B0" w:rsidRPr="00211BAA">
        <w:t>2</w:t>
      </w:r>
      <w:r w:rsidR="00B47CF6" w:rsidRPr="00211BAA">
        <w:t>)</w:t>
      </w:r>
      <w:r w:rsidR="0052395D" w:rsidRPr="00211BAA">
        <w:t>:</w:t>
      </w:r>
      <w:r w:rsidR="00A011B0" w:rsidRPr="00211BAA">
        <w:t>355-61</w:t>
      </w:r>
      <w:r w:rsidR="00A17402" w:rsidRPr="00211BAA">
        <w:t>.</w:t>
      </w:r>
    </w:p>
    <w:p w14:paraId="6AD13149" w14:textId="77777777" w:rsidR="00F836EC" w:rsidRPr="00211BAA" w:rsidRDefault="00F836EC" w:rsidP="003B5EA5">
      <w:r w:rsidRPr="00211BAA">
        <w:t xml:space="preserve">Day I, </w:t>
      </w:r>
      <w:proofErr w:type="spellStart"/>
      <w:r w:rsidRPr="00211BAA">
        <w:t>Duretto</w:t>
      </w:r>
      <w:proofErr w:type="spellEnd"/>
      <w:r w:rsidRPr="00211BAA">
        <w:t xml:space="preserve"> Z, Hartigan P and </w:t>
      </w:r>
      <w:proofErr w:type="spellStart"/>
      <w:r w:rsidRPr="00211BAA">
        <w:t>Hambur</w:t>
      </w:r>
      <w:proofErr w:type="spellEnd"/>
      <w:r w:rsidRPr="00211BAA">
        <w:t xml:space="preserve"> J (2022) </w:t>
      </w:r>
      <w:hyperlink r:id="rId42" w:history="1">
        <w:r w:rsidRPr="00211BAA">
          <w:rPr>
            <w:rStyle w:val="Hyperlink"/>
            <w:rFonts w:cs="Calibri Light"/>
            <w:i/>
            <w:color w:val="auto"/>
            <w:szCs w:val="22"/>
          </w:rPr>
          <w:t>Competition in Australia and its impact on productivity growth</w:t>
        </w:r>
      </w:hyperlink>
      <w:r w:rsidRPr="00211BAA">
        <w:rPr>
          <w:i/>
        </w:rPr>
        <w:t xml:space="preserve">, </w:t>
      </w:r>
      <w:r w:rsidRPr="00211BAA">
        <w:t>Treasury Round Up, The Australian Treasury.</w:t>
      </w:r>
    </w:p>
    <w:p w14:paraId="765CACDC" w14:textId="3363C793" w:rsidR="00F836EC" w:rsidRPr="00211BAA" w:rsidRDefault="00F836EC" w:rsidP="003B5EA5">
      <w:r w:rsidRPr="00211BAA">
        <w:rPr>
          <w:rFonts w:cs="Calibri"/>
        </w:rPr>
        <w:t xml:space="preserve">Department of Finance Canada (2025) </w:t>
      </w:r>
      <w:hyperlink r:id="rId43" w:history="1">
        <w:r w:rsidR="00F87117" w:rsidRPr="00211BAA">
          <w:rPr>
            <w:rStyle w:val="Hyperlink"/>
            <w:rFonts w:cs="Calibri Light"/>
            <w:i/>
            <w:color w:val="auto"/>
            <w:szCs w:val="22"/>
          </w:rPr>
          <w:t>Canada Strong Budget 2025</w:t>
        </w:r>
      </w:hyperlink>
      <w:r w:rsidRPr="00211BAA">
        <w:rPr>
          <w:rFonts w:cs="Calibri"/>
        </w:rPr>
        <w:t xml:space="preserve">, Department of Finance Canada. </w:t>
      </w:r>
    </w:p>
    <w:p w14:paraId="5C607120" w14:textId="77777777" w:rsidR="00F836EC" w:rsidRPr="00211BAA" w:rsidRDefault="00F836EC" w:rsidP="003B5EA5">
      <w:r w:rsidRPr="00211BAA">
        <w:t xml:space="preserve">Deutscher N (2019) </w:t>
      </w:r>
      <w:hyperlink r:id="rId44" w:history="1">
        <w:r w:rsidRPr="00211BAA">
          <w:rPr>
            <w:rStyle w:val="Hyperlink"/>
            <w:rFonts w:cs="Calibri Light"/>
            <w:i/>
            <w:color w:val="auto"/>
            <w:szCs w:val="22"/>
          </w:rPr>
          <w:t>Job-to-job transitions and the wages of Australian workers</w:t>
        </w:r>
      </w:hyperlink>
      <w:r w:rsidRPr="00211BAA">
        <w:t>, Treasury Working Paper, The Australian Treasury.</w:t>
      </w:r>
    </w:p>
    <w:p w14:paraId="132F0A81" w14:textId="2E49CA06" w:rsidR="00261E7F" w:rsidRPr="00211BAA" w:rsidRDefault="00261E7F" w:rsidP="003B5EA5">
      <w:r w:rsidRPr="00211BAA">
        <w:t xml:space="preserve">Dieppe, A (2021) </w:t>
      </w:r>
      <w:hyperlink r:id="rId45" w:history="1">
        <w:r w:rsidRPr="00211BAA">
          <w:rPr>
            <w:rStyle w:val="Hyperlink"/>
            <w:rFonts w:cs="Calibri Light"/>
            <w:i/>
            <w:iCs/>
            <w:color w:val="auto"/>
            <w:szCs w:val="22"/>
          </w:rPr>
          <w:t>Global Productivity: Trends, Drivers, and Policies</w:t>
        </w:r>
      </w:hyperlink>
      <w:r w:rsidRPr="00211BAA">
        <w:t>, World Bank.</w:t>
      </w:r>
    </w:p>
    <w:p w14:paraId="7AE0C68B" w14:textId="14E9C507" w:rsidR="00F836EC" w:rsidRPr="00211BAA" w:rsidRDefault="00F836EC" w:rsidP="003B5EA5">
      <w:r w:rsidRPr="00211BAA">
        <w:t xml:space="preserve">Dolman B, Parham D and Zheng S (2007) </w:t>
      </w:r>
      <w:hyperlink r:id="rId46" w:history="1">
        <w:r w:rsidRPr="00211BAA">
          <w:rPr>
            <w:rStyle w:val="Hyperlink"/>
            <w:rFonts w:cs="Calibri Light"/>
            <w:i/>
            <w:color w:val="auto"/>
            <w:szCs w:val="22"/>
          </w:rPr>
          <w:t xml:space="preserve">Can Australia </w:t>
        </w:r>
        <w:r w:rsidR="00B352F7" w:rsidRPr="00211BAA">
          <w:rPr>
            <w:rStyle w:val="Hyperlink"/>
            <w:rFonts w:cs="Calibri Light"/>
            <w:i/>
            <w:iCs/>
            <w:color w:val="auto"/>
            <w:szCs w:val="22"/>
          </w:rPr>
          <w:t>M</w:t>
        </w:r>
        <w:r w:rsidRPr="00211BAA">
          <w:rPr>
            <w:rStyle w:val="Hyperlink"/>
            <w:rFonts w:cs="Calibri Light"/>
            <w:i/>
            <w:iCs/>
            <w:color w:val="auto"/>
            <w:szCs w:val="22"/>
          </w:rPr>
          <w:t>atch</w:t>
        </w:r>
        <w:r w:rsidRPr="00211BAA">
          <w:rPr>
            <w:rStyle w:val="Hyperlink"/>
            <w:rFonts w:cs="Calibri Light"/>
            <w:i/>
            <w:color w:val="auto"/>
            <w:szCs w:val="22"/>
          </w:rPr>
          <w:t xml:space="preserve"> US </w:t>
        </w:r>
        <w:r w:rsidR="00B352F7" w:rsidRPr="00211BAA">
          <w:rPr>
            <w:rStyle w:val="Hyperlink"/>
            <w:rFonts w:cs="Calibri Light"/>
            <w:i/>
            <w:iCs/>
            <w:color w:val="auto"/>
            <w:szCs w:val="22"/>
          </w:rPr>
          <w:t>P</w:t>
        </w:r>
        <w:r w:rsidRPr="00211BAA">
          <w:rPr>
            <w:rStyle w:val="Hyperlink"/>
            <w:rFonts w:cs="Calibri Light"/>
            <w:i/>
            <w:iCs/>
            <w:color w:val="auto"/>
            <w:szCs w:val="22"/>
          </w:rPr>
          <w:t xml:space="preserve">roductivity </w:t>
        </w:r>
        <w:r w:rsidR="00B352F7" w:rsidRPr="00211BAA">
          <w:rPr>
            <w:rStyle w:val="Hyperlink"/>
            <w:rFonts w:cs="Calibri Light"/>
            <w:i/>
            <w:iCs/>
            <w:color w:val="auto"/>
            <w:szCs w:val="22"/>
          </w:rPr>
          <w:t>P</w:t>
        </w:r>
        <w:r w:rsidRPr="00211BAA">
          <w:rPr>
            <w:rStyle w:val="Hyperlink"/>
            <w:rFonts w:cs="Calibri Light"/>
            <w:i/>
            <w:iCs/>
            <w:color w:val="auto"/>
            <w:szCs w:val="22"/>
          </w:rPr>
          <w:t>erformance</w:t>
        </w:r>
        <w:r w:rsidRPr="00211BAA">
          <w:rPr>
            <w:rStyle w:val="Hyperlink"/>
            <w:rFonts w:cs="Calibri Light"/>
            <w:i/>
            <w:color w:val="auto"/>
            <w:szCs w:val="22"/>
          </w:rPr>
          <w:t>?</w:t>
        </w:r>
      </w:hyperlink>
      <w:r w:rsidRPr="00211BAA">
        <w:t>, Staff Working Paper, Productivity Commission.</w:t>
      </w:r>
    </w:p>
    <w:p w14:paraId="67FC6601" w14:textId="77777777" w:rsidR="00F836EC" w:rsidRPr="00211BAA" w:rsidRDefault="00F836EC" w:rsidP="003B5EA5">
      <w:r w:rsidRPr="00211BAA">
        <w:t xml:space="preserve">Evans S, Kamil J, </w:t>
      </w:r>
      <w:proofErr w:type="spellStart"/>
      <w:r w:rsidRPr="00211BAA">
        <w:t>Thiris</w:t>
      </w:r>
      <w:proofErr w:type="spellEnd"/>
      <w:r w:rsidRPr="00211BAA">
        <w:t xml:space="preserve"> J, Lipp J and de Fontenay C (2024) </w:t>
      </w:r>
      <w:hyperlink r:id="rId47" w:history="1">
        <w:r w:rsidRPr="00211BAA">
          <w:rPr>
            <w:rStyle w:val="Hyperlink"/>
            <w:rFonts w:cs="Calibri Light"/>
            <w:i/>
            <w:iCs/>
            <w:color w:val="auto"/>
            <w:szCs w:val="22"/>
          </w:rPr>
          <w:t>Why are investment hurdle rates so high? Risk or market power?</w:t>
        </w:r>
      </w:hyperlink>
      <w:r w:rsidRPr="00211BAA">
        <w:t>, Staff Working Paper, Productivity Commission.</w:t>
      </w:r>
    </w:p>
    <w:p w14:paraId="58E22D85" w14:textId="6BC264A5" w:rsidR="00F836EC" w:rsidRPr="00211BAA" w:rsidRDefault="00F836EC" w:rsidP="003B5EA5">
      <w:r w:rsidRPr="00211BAA">
        <w:t xml:space="preserve">Farhi E, and </w:t>
      </w:r>
      <w:proofErr w:type="spellStart"/>
      <w:r w:rsidRPr="00211BAA">
        <w:t>Gourio</w:t>
      </w:r>
      <w:proofErr w:type="spellEnd"/>
      <w:r w:rsidRPr="00211BAA">
        <w:t xml:space="preserve"> F. (201</w:t>
      </w:r>
      <w:r w:rsidR="00D032B2" w:rsidRPr="00211BAA">
        <w:t>8</w:t>
      </w:r>
      <w:r w:rsidRPr="00211BAA">
        <w:t xml:space="preserve">) </w:t>
      </w:r>
      <w:hyperlink r:id="rId48" w:history="1">
        <w:r w:rsidRPr="00211BAA">
          <w:rPr>
            <w:rStyle w:val="Hyperlink"/>
            <w:rFonts w:cs="Calibri Light"/>
            <w:i/>
            <w:iCs/>
            <w:color w:val="auto"/>
            <w:szCs w:val="22"/>
          </w:rPr>
          <w:t>Accounting for macro-finance trends: Market power, intangibles, and risk premia</w:t>
        </w:r>
        <w:r w:rsidRPr="00211BAA">
          <w:rPr>
            <w:rStyle w:val="Hyperlink"/>
            <w:rFonts w:cs="Calibri Light"/>
            <w:color w:val="auto"/>
            <w:szCs w:val="22"/>
          </w:rPr>
          <w:t>, Brookings Papers on Economic Activity</w:t>
        </w:r>
      </w:hyperlink>
      <w:r w:rsidRPr="00211BAA">
        <w:t xml:space="preserve">, </w:t>
      </w:r>
      <w:r w:rsidR="00433FFF" w:rsidRPr="00211BAA">
        <w:t xml:space="preserve"> Fall </w:t>
      </w:r>
      <w:r w:rsidR="00513E18" w:rsidRPr="00211BAA">
        <w:t>2018</w:t>
      </w:r>
      <w:r w:rsidRPr="00211BAA">
        <w:t xml:space="preserve">, </w:t>
      </w:r>
      <w:r w:rsidR="00EC5ABA" w:rsidRPr="00211BAA">
        <w:t>pp.</w:t>
      </w:r>
      <w:r w:rsidRPr="00211BAA">
        <w:t>147–223.</w:t>
      </w:r>
    </w:p>
    <w:p w14:paraId="77F93C80" w14:textId="4173BD50" w:rsidR="00F836EC" w:rsidRPr="00211BAA" w:rsidRDefault="00F836EC" w:rsidP="003B5EA5">
      <w:r w:rsidRPr="00211BAA">
        <w:t xml:space="preserve">Garnaut R (2022) </w:t>
      </w:r>
      <w:r w:rsidRPr="00211BAA">
        <w:rPr>
          <w:i/>
          <w:iCs/>
        </w:rPr>
        <w:t>Superpower: Australia’s low-carbon opportunity</w:t>
      </w:r>
      <w:r w:rsidRPr="00211BAA">
        <w:t>, La Trobe University Press</w:t>
      </w:r>
      <w:r w:rsidR="00433FFF" w:rsidRPr="00211BAA">
        <w:t>, Melbourne</w:t>
      </w:r>
      <w:r w:rsidRPr="00211BAA">
        <w:t>.</w:t>
      </w:r>
    </w:p>
    <w:p w14:paraId="2F92FE00" w14:textId="77777777" w:rsidR="00F836EC" w:rsidRPr="00211BAA" w:rsidRDefault="00F836EC" w:rsidP="003B5EA5">
      <w:r w:rsidRPr="00211BAA">
        <w:t xml:space="preserve">Gordon RJ (2012) </w:t>
      </w:r>
      <w:hyperlink r:id="rId49" w:history="1">
        <w:r w:rsidRPr="00211BAA">
          <w:rPr>
            <w:rStyle w:val="Hyperlink"/>
            <w:rFonts w:cs="Calibri Light"/>
            <w:i/>
            <w:color w:val="auto"/>
            <w:szCs w:val="22"/>
          </w:rPr>
          <w:t>Is US Economic Growth Over? Faltering Innovation Confronts Six Headwinds</w:t>
        </w:r>
      </w:hyperlink>
      <w:r w:rsidRPr="00211BAA">
        <w:t>, NBER Working Paper No. 18315, National Bureau of Economic Research.</w:t>
      </w:r>
    </w:p>
    <w:p w14:paraId="3F1D2DBC" w14:textId="2C62A1A5" w:rsidR="00823B92" w:rsidRPr="00211BAA" w:rsidRDefault="00823B92" w:rsidP="003B5EA5">
      <w:proofErr w:type="spellStart"/>
      <w:r w:rsidRPr="00211BAA">
        <w:t>Hambur</w:t>
      </w:r>
      <w:proofErr w:type="spellEnd"/>
      <w:r w:rsidRPr="00211BAA">
        <w:t xml:space="preserve"> J and Andrews D (2023) </w:t>
      </w:r>
      <w:hyperlink r:id="rId50" w:history="1">
        <w:r w:rsidRPr="00211BAA">
          <w:rPr>
            <w:rStyle w:val="Hyperlink"/>
            <w:i/>
            <w:iCs/>
            <w:color w:val="auto"/>
          </w:rPr>
          <w:t>Doing Less, with Less: Capital Misallocation, Investment and the Productivity Slowdown in Australia</w:t>
        </w:r>
      </w:hyperlink>
      <w:r w:rsidR="0093034F" w:rsidRPr="00211BAA">
        <w:t>, Research Discussion Paper, Reserve Bank of Australia.</w:t>
      </w:r>
      <w:r w:rsidRPr="00211BAA">
        <w:t xml:space="preserve"> </w:t>
      </w:r>
    </w:p>
    <w:p w14:paraId="3D42B3EE" w14:textId="64087420" w:rsidR="001B51C9" w:rsidRPr="00211BAA" w:rsidRDefault="001B51C9" w:rsidP="003B5EA5">
      <w:proofErr w:type="spellStart"/>
      <w:r w:rsidRPr="00211BAA">
        <w:t>Hambur</w:t>
      </w:r>
      <w:proofErr w:type="spellEnd"/>
      <w:r w:rsidR="00022131" w:rsidRPr="00211BAA">
        <w:t xml:space="preserve"> J and Freestone O (2025) </w:t>
      </w:r>
      <w:hyperlink r:id="rId51" w:history="1">
        <w:r w:rsidR="00022131" w:rsidRPr="00211BAA">
          <w:rPr>
            <w:rStyle w:val="Hyperlink"/>
            <w:i/>
            <w:iCs/>
            <w:color w:val="auto"/>
          </w:rPr>
          <w:t>How Costly are Mark-ups in Australia? The Effect of Declining Competition on Misallocation and Productivity</w:t>
        </w:r>
      </w:hyperlink>
      <w:r w:rsidR="00022131" w:rsidRPr="00211BAA">
        <w:t>, Research Discussion Paper, 2025-06</w:t>
      </w:r>
      <w:r w:rsidR="009E2012" w:rsidRPr="00211BAA">
        <w:t>, Reserve Bank of Australia</w:t>
      </w:r>
      <w:r w:rsidR="00022131" w:rsidRPr="00211BAA">
        <w:t>.</w:t>
      </w:r>
    </w:p>
    <w:p w14:paraId="5B8BFACD" w14:textId="1E08BC9D" w:rsidR="00437D5A" w:rsidRPr="00211BAA" w:rsidRDefault="00437D5A" w:rsidP="003B5EA5">
      <w:r w:rsidRPr="00211BAA">
        <w:t>Haskel</w:t>
      </w:r>
      <w:r w:rsidR="00240870" w:rsidRPr="00211BAA">
        <w:t xml:space="preserve"> J</w:t>
      </w:r>
      <w:r w:rsidRPr="00211BAA">
        <w:t xml:space="preserve"> and Westlake </w:t>
      </w:r>
      <w:r w:rsidR="00240870" w:rsidRPr="00211BAA">
        <w:t xml:space="preserve">S </w:t>
      </w:r>
      <w:r w:rsidRPr="00211BAA">
        <w:t>(2018)</w:t>
      </w:r>
      <w:r w:rsidR="00451F96" w:rsidRPr="00211BAA">
        <w:t xml:space="preserve"> </w:t>
      </w:r>
      <w:r w:rsidR="00451F96" w:rsidRPr="00211BAA">
        <w:rPr>
          <w:i/>
        </w:rPr>
        <w:t>Capitalism without capital: The rise of the intangible economy</w:t>
      </w:r>
      <w:r w:rsidR="0025652B" w:rsidRPr="00211BAA">
        <w:t>, Princeton University Press</w:t>
      </w:r>
      <w:r w:rsidR="009E2012" w:rsidRPr="00211BAA">
        <w:t xml:space="preserve">, </w:t>
      </w:r>
      <w:r w:rsidR="00E944E6" w:rsidRPr="00211BAA">
        <w:t>Princeton</w:t>
      </w:r>
    </w:p>
    <w:p w14:paraId="35271773" w14:textId="69DC3DD0" w:rsidR="00F836EC" w:rsidRPr="00211BAA" w:rsidRDefault="00BF2A86" w:rsidP="003B5EA5">
      <w:proofErr w:type="spellStart"/>
      <w:r w:rsidRPr="00211BAA">
        <w:t>Helpman</w:t>
      </w:r>
      <w:proofErr w:type="spellEnd"/>
      <w:r w:rsidRPr="00211BAA">
        <w:t xml:space="preserve"> </w:t>
      </w:r>
      <w:r w:rsidR="00E62A39" w:rsidRPr="00211BAA">
        <w:t xml:space="preserve">E </w:t>
      </w:r>
      <w:r w:rsidRPr="00211BAA">
        <w:t xml:space="preserve">and </w:t>
      </w:r>
      <w:r w:rsidR="00E62A39" w:rsidRPr="00211BAA">
        <w:t>Trajtenberg M</w:t>
      </w:r>
      <w:r w:rsidR="00C004B1" w:rsidRPr="00211BAA">
        <w:t xml:space="preserve">, </w:t>
      </w:r>
      <w:hyperlink r:id="rId52" w:history="1">
        <w:r w:rsidR="00C004B1" w:rsidRPr="00211BAA">
          <w:rPr>
            <w:rStyle w:val="Hyperlink"/>
            <w:i/>
            <w:iCs/>
            <w:color w:val="auto"/>
          </w:rPr>
          <w:t>A time to sow and a time to reap: Growth based on General Purpose Technologies</w:t>
        </w:r>
      </w:hyperlink>
      <w:r w:rsidR="00C004B1" w:rsidRPr="00211BAA">
        <w:t xml:space="preserve">, NBER </w:t>
      </w:r>
      <w:r w:rsidR="00D03C72" w:rsidRPr="00211BAA">
        <w:t>Working Paper No. 4854</w:t>
      </w:r>
      <w:r w:rsidR="00700C78" w:rsidRPr="00211BAA">
        <w:t>, National Bureau of Economic Research.</w:t>
      </w:r>
    </w:p>
    <w:p w14:paraId="37CC5288" w14:textId="6635F7CB" w:rsidR="004111FF" w:rsidRPr="00211BAA" w:rsidRDefault="004111FF" w:rsidP="003B5EA5">
      <w:r w:rsidRPr="00211BAA">
        <w:t>Infrastructure Australia</w:t>
      </w:r>
      <w:r w:rsidR="00691556" w:rsidRPr="00211BAA">
        <w:t xml:space="preserve"> (2010)</w:t>
      </w:r>
      <w:r w:rsidRPr="00211BAA">
        <w:t xml:space="preserve">, </w:t>
      </w:r>
      <w:r w:rsidR="00691556" w:rsidRPr="00211BAA">
        <w:t>‘</w:t>
      </w:r>
      <w:hyperlink r:id="rId53" w:history="1">
        <w:r w:rsidR="00691556" w:rsidRPr="00211BAA">
          <w:rPr>
            <w:rStyle w:val="Hyperlink"/>
            <w:color w:val="auto"/>
          </w:rPr>
          <w:t>Productivity of Australian cities</w:t>
        </w:r>
      </w:hyperlink>
      <w:r w:rsidR="00691556" w:rsidRPr="00211BAA">
        <w:t>’</w:t>
      </w:r>
      <w:r w:rsidR="0020596C" w:rsidRPr="00211BAA">
        <w:t xml:space="preserve">, </w:t>
      </w:r>
      <w:r w:rsidR="0020596C" w:rsidRPr="00211BAA">
        <w:rPr>
          <w:i/>
          <w:iCs/>
        </w:rPr>
        <w:t>State of Australian Cities 2010</w:t>
      </w:r>
      <w:r w:rsidR="0020596C" w:rsidRPr="00211BAA">
        <w:t>, Department of Infrastructu</w:t>
      </w:r>
      <w:r w:rsidR="006617B3" w:rsidRPr="00211BAA">
        <w:t>re and Regional Development</w:t>
      </w:r>
    </w:p>
    <w:p w14:paraId="29A8F3EE" w14:textId="77777777" w:rsidR="00F836EC" w:rsidRPr="00211BAA" w:rsidRDefault="00F836EC" w:rsidP="003B5EA5">
      <w:r w:rsidRPr="00211BAA">
        <w:t xml:space="preserve">Jenner K, Walker A, Close C and Trent Saunders (2018) </w:t>
      </w:r>
      <w:hyperlink r:id="rId54" w:history="1">
        <w:r w:rsidRPr="00211BAA">
          <w:rPr>
            <w:rStyle w:val="Hyperlink"/>
            <w:rFonts w:cs="Calibri Light"/>
            <w:i/>
            <w:color w:val="auto"/>
            <w:szCs w:val="22"/>
          </w:rPr>
          <w:t>Mining Investment beyond the Boom</w:t>
        </w:r>
      </w:hyperlink>
      <w:r w:rsidRPr="00211BAA">
        <w:t xml:space="preserve">, </w:t>
      </w:r>
      <w:r w:rsidRPr="00211BAA">
        <w:rPr>
          <w:i/>
        </w:rPr>
        <w:t>RBA Bulletin</w:t>
      </w:r>
      <w:r w:rsidRPr="00211BAA">
        <w:t>, Reserve Bank of Australia.</w:t>
      </w:r>
    </w:p>
    <w:p w14:paraId="51A2BC17" w14:textId="77777777" w:rsidR="00F836EC" w:rsidRPr="00211BAA" w:rsidRDefault="00F836EC" w:rsidP="003B5EA5">
      <w:r w:rsidRPr="00211BAA">
        <w:t xml:space="preserve">King S (2025) </w:t>
      </w:r>
      <w:hyperlink r:id="rId55" w:history="1">
        <w:r w:rsidRPr="00211BAA">
          <w:rPr>
            <w:rStyle w:val="Hyperlink"/>
            <w:rFonts w:cs="Calibri Light"/>
            <w:i/>
            <w:color w:val="auto"/>
            <w:szCs w:val="22"/>
          </w:rPr>
          <w:t>Competitive care: Why, when and how competition can improve human services</w:t>
        </w:r>
      </w:hyperlink>
      <w:r w:rsidRPr="00211BAA">
        <w:rPr>
          <w:i/>
        </w:rPr>
        <w:t>,</w:t>
      </w:r>
      <w:r w:rsidRPr="00211BAA">
        <w:t xml:space="preserve"> Conference Paper, Productivity Commission.</w:t>
      </w:r>
    </w:p>
    <w:p w14:paraId="6B1694E5" w14:textId="77777777" w:rsidR="00F836EC" w:rsidRPr="00211BAA" w:rsidRDefault="00F836EC" w:rsidP="003B5EA5">
      <w:pPr>
        <w:rPr>
          <w:rFonts w:cs="Calibri"/>
        </w:rPr>
      </w:pPr>
      <w:r w:rsidRPr="00211BAA">
        <w:t xml:space="preserve">Lowe P (1995) </w:t>
      </w:r>
      <w:hyperlink r:id="rId56" w:history="1">
        <w:r w:rsidRPr="00211BAA">
          <w:rPr>
            <w:rStyle w:val="Hyperlink"/>
            <w:rFonts w:cs="Calibri Light"/>
            <w:i/>
            <w:color w:val="auto"/>
            <w:szCs w:val="22"/>
          </w:rPr>
          <w:t>Labour-Productivity Growth and Relative Wages: 1978–1994</w:t>
        </w:r>
      </w:hyperlink>
      <w:r w:rsidRPr="00211BAA">
        <w:t>, Research Discussion Paper, Reserve Bank of Australia.</w:t>
      </w:r>
    </w:p>
    <w:p w14:paraId="5640B2D8" w14:textId="7A593D0A" w:rsidR="0082633D" w:rsidRPr="00211BAA" w:rsidRDefault="00D430A7" w:rsidP="003B5EA5">
      <w:pPr>
        <w:rPr>
          <w:u w:val="single"/>
        </w:rPr>
      </w:pPr>
      <w:r w:rsidRPr="00211BAA">
        <w:lastRenderedPageBreak/>
        <w:t>Mackey W (2024)</w:t>
      </w:r>
      <w:r w:rsidR="0082633D" w:rsidRPr="00211BAA">
        <w:t xml:space="preserve"> </w:t>
      </w:r>
      <w:hyperlink r:id="rId57" w:history="1">
        <w:r w:rsidR="0082633D" w:rsidRPr="00211BAA">
          <w:rPr>
            <w:rStyle w:val="Hyperlink"/>
            <w:color w:val="auto"/>
          </w:rPr>
          <w:t>Labour market matching across skills and regions in Australia</w:t>
        </w:r>
      </w:hyperlink>
      <w:r w:rsidR="003861D5" w:rsidRPr="00211BAA">
        <w:t xml:space="preserve">, </w:t>
      </w:r>
      <w:r w:rsidR="003861D5" w:rsidRPr="00211BAA">
        <w:rPr>
          <w:i/>
        </w:rPr>
        <w:t>Treasury Roundup</w:t>
      </w:r>
      <w:r w:rsidR="003861D5" w:rsidRPr="00211BAA">
        <w:t>, The Australian Treasury.</w:t>
      </w:r>
    </w:p>
    <w:p w14:paraId="5C5B0D86" w14:textId="43ACC650" w:rsidR="00F836EC" w:rsidRPr="00211BAA" w:rsidRDefault="00F836EC" w:rsidP="003B5EA5">
      <w:r w:rsidRPr="00211BAA">
        <w:t xml:space="preserve">McCririck R and Rees D (2017) </w:t>
      </w:r>
      <w:hyperlink r:id="rId58" w:history="1">
        <w:r w:rsidRPr="00211BAA">
          <w:rPr>
            <w:rStyle w:val="Hyperlink"/>
            <w:rFonts w:cs="Calibri Light"/>
            <w:i/>
            <w:color w:val="auto"/>
            <w:szCs w:val="22"/>
          </w:rPr>
          <w:t>The Neutral Interest Rate</w:t>
        </w:r>
      </w:hyperlink>
      <w:r w:rsidRPr="00211BAA">
        <w:rPr>
          <w:i/>
        </w:rPr>
        <w:t xml:space="preserve">, </w:t>
      </w:r>
      <w:r w:rsidRPr="00211BAA">
        <w:t>RBA Bulletin, Reserve Bank of Australia.</w:t>
      </w:r>
    </w:p>
    <w:p w14:paraId="2C22C318" w14:textId="68CFA3B5" w:rsidR="00F836EC" w:rsidRPr="00211BAA" w:rsidRDefault="00F836EC" w:rsidP="003B5EA5">
      <w:r w:rsidRPr="00211BAA">
        <w:t xml:space="preserve">Mokyr J (2013) </w:t>
      </w:r>
      <w:hyperlink r:id="rId59" w:history="1">
        <w:r w:rsidRPr="00211BAA">
          <w:rPr>
            <w:rStyle w:val="Hyperlink"/>
            <w:rFonts w:cs="Calibri Light"/>
            <w:i/>
            <w:color w:val="auto"/>
            <w:szCs w:val="22"/>
          </w:rPr>
          <w:t>Is technological progress a thing of the past?</w:t>
        </w:r>
      </w:hyperlink>
      <w:r w:rsidRPr="00211BAA">
        <w:t xml:space="preserve">, </w:t>
      </w:r>
      <w:proofErr w:type="spellStart"/>
      <w:r w:rsidRPr="00211BAA">
        <w:t>VoxEU</w:t>
      </w:r>
      <w:proofErr w:type="spellEnd"/>
      <w:r w:rsidRPr="00211BAA">
        <w:t xml:space="preserve"> column, Centre for Economic Policy Research.</w:t>
      </w:r>
    </w:p>
    <w:p w14:paraId="4A51774B" w14:textId="0A6497D8" w:rsidR="003E742A" w:rsidRPr="00211BAA" w:rsidRDefault="003E742A" w:rsidP="003B5EA5">
      <w:r w:rsidRPr="00211BAA">
        <w:t xml:space="preserve">NSW Productivity Commission (2021) </w:t>
      </w:r>
      <w:hyperlink r:id="rId60" w:history="1">
        <w:r w:rsidR="00907E12" w:rsidRPr="00211BAA">
          <w:rPr>
            <w:rStyle w:val="Hyperlink"/>
            <w:i/>
            <w:iCs/>
            <w:color w:val="auto"/>
          </w:rPr>
          <w:t>Productivity Commission W</w:t>
        </w:r>
        <w:r w:rsidRPr="00211BAA">
          <w:rPr>
            <w:rStyle w:val="Hyperlink"/>
            <w:i/>
            <w:iCs/>
            <w:color w:val="auto"/>
          </w:rPr>
          <w:t>hite Paper</w:t>
        </w:r>
      </w:hyperlink>
      <w:r w:rsidRPr="00211BAA">
        <w:t>, NSW Government.</w:t>
      </w:r>
    </w:p>
    <w:p w14:paraId="4CA33B65" w14:textId="77777777" w:rsidR="00F836EC" w:rsidRPr="00211BAA" w:rsidRDefault="00F836EC" w:rsidP="003B5EA5">
      <w:r w:rsidRPr="00211BAA">
        <w:rPr>
          <w:rFonts w:cs="Calibri Light"/>
          <w:szCs w:val="22"/>
        </w:rPr>
        <w:t xml:space="preserve">New Zealand Treasury (2025) </w:t>
      </w:r>
      <w:hyperlink r:id="rId61" w:history="1">
        <w:r w:rsidRPr="00211BAA">
          <w:rPr>
            <w:rStyle w:val="Hyperlink"/>
            <w:rFonts w:cs="Calibri Light"/>
            <w:i/>
            <w:color w:val="auto"/>
            <w:szCs w:val="22"/>
          </w:rPr>
          <w:t>Long-term Fiscal Statement 2025</w:t>
        </w:r>
      </w:hyperlink>
      <w:r w:rsidRPr="00211BAA">
        <w:rPr>
          <w:rFonts w:cs="Calibri Light"/>
          <w:szCs w:val="22"/>
        </w:rPr>
        <w:t>, New Zealand Treasury.</w:t>
      </w:r>
    </w:p>
    <w:p w14:paraId="2D2A7D11" w14:textId="1B9C0F0C" w:rsidR="00F836EC" w:rsidRPr="00211BAA" w:rsidRDefault="00F836EC" w:rsidP="003B5EA5">
      <w:pPr>
        <w:rPr>
          <w:rFonts w:cs="Calibri Light"/>
          <w:szCs w:val="22"/>
        </w:rPr>
      </w:pPr>
      <w:r w:rsidRPr="00211BAA">
        <w:rPr>
          <w:rFonts w:cs="Calibri Light"/>
          <w:szCs w:val="22"/>
        </w:rPr>
        <w:t xml:space="preserve">OECD (2012) </w:t>
      </w:r>
      <w:hyperlink r:id="rId62" w:history="1">
        <w:r w:rsidRPr="00211BAA">
          <w:rPr>
            <w:rStyle w:val="Hyperlink"/>
            <w:rFonts w:cs="Calibri Light"/>
            <w:i/>
            <w:color w:val="auto"/>
            <w:szCs w:val="22"/>
          </w:rPr>
          <w:t>OECD Compendium of Productivity Indicators 2012</w:t>
        </w:r>
      </w:hyperlink>
      <w:r w:rsidRPr="00211BAA">
        <w:rPr>
          <w:rFonts w:cs="Calibri Light"/>
          <w:szCs w:val="22"/>
        </w:rPr>
        <w:t>, OECD.</w:t>
      </w:r>
    </w:p>
    <w:p w14:paraId="4C5B2D12" w14:textId="4CF9F1A3" w:rsidR="00F836EC" w:rsidRPr="00211BAA" w:rsidRDefault="00F836EC" w:rsidP="003B5EA5">
      <w:pPr>
        <w:rPr>
          <w:rFonts w:cs="Calibri Light"/>
          <w:szCs w:val="22"/>
        </w:rPr>
      </w:pPr>
      <w:r w:rsidRPr="00211BAA">
        <w:rPr>
          <w:rFonts w:cs="Calibri Light"/>
          <w:szCs w:val="22"/>
        </w:rPr>
        <w:t xml:space="preserve">OECD (2023) </w:t>
      </w:r>
      <w:hyperlink r:id="rId63" w:history="1">
        <w:r w:rsidRPr="00211BAA">
          <w:rPr>
            <w:rStyle w:val="Hyperlink"/>
            <w:rFonts w:cs="Calibri Light"/>
            <w:i/>
            <w:color w:val="auto"/>
            <w:szCs w:val="22"/>
          </w:rPr>
          <w:t>Migration and regional productivity: Evidence from individual wages in Australia</w:t>
        </w:r>
      </w:hyperlink>
      <w:r w:rsidRPr="00211BAA">
        <w:rPr>
          <w:rFonts w:cs="Calibri Light"/>
          <w:szCs w:val="22"/>
        </w:rPr>
        <w:t>, OECD Regional Development Papers, OECD.</w:t>
      </w:r>
    </w:p>
    <w:p w14:paraId="153EAD14" w14:textId="459F96A6" w:rsidR="00F836EC" w:rsidRPr="00211BAA" w:rsidRDefault="00F836EC" w:rsidP="003B5EA5">
      <w:r w:rsidRPr="00211BAA">
        <w:t xml:space="preserve">OECD (2025a) </w:t>
      </w:r>
      <w:hyperlink r:id="rId64" w:history="1">
        <w:r w:rsidRPr="00211BAA">
          <w:rPr>
            <w:rStyle w:val="Hyperlink"/>
            <w:rFonts w:cs="Calibri Light"/>
            <w:i/>
            <w:color w:val="auto"/>
            <w:szCs w:val="22"/>
          </w:rPr>
          <w:t>The Global Forum on Productivity at 10: Past and Future Perspectives on Reviving Productivity Growth</w:t>
        </w:r>
      </w:hyperlink>
      <w:r w:rsidRPr="00211BAA">
        <w:t>, OECD.</w:t>
      </w:r>
    </w:p>
    <w:p w14:paraId="20828A05" w14:textId="1663268A" w:rsidR="00F836EC" w:rsidRPr="00211BAA" w:rsidRDefault="00F836EC" w:rsidP="003B5EA5">
      <w:r w:rsidRPr="00211BAA">
        <w:t xml:space="preserve">OECD (2025b) </w:t>
      </w:r>
      <w:hyperlink r:id="rId65" w:history="1">
        <w:r w:rsidRPr="00211BAA">
          <w:rPr>
            <w:rStyle w:val="Hyperlink"/>
            <w:rFonts w:cs="Calibri Light"/>
            <w:i/>
            <w:color w:val="auto"/>
            <w:szCs w:val="22"/>
          </w:rPr>
          <w:t>Understanding the weakness in business investment: A cross-country analysis</w:t>
        </w:r>
      </w:hyperlink>
      <w:r w:rsidRPr="00211BAA">
        <w:t>, OECD Economics Department Working Papers, OECD.</w:t>
      </w:r>
    </w:p>
    <w:p w14:paraId="26AC3829" w14:textId="32BA857D" w:rsidR="002F7CA9" w:rsidRPr="00211BAA" w:rsidRDefault="002F7CA9" w:rsidP="002F7CA9">
      <w:pPr>
        <w:rPr>
          <w:rFonts w:cs="Calibri Light"/>
          <w:szCs w:val="22"/>
        </w:rPr>
      </w:pPr>
      <w:r w:rsidRPr="00211BAA">
        <w:rPr>
          <w:rFonts w:cs="Calibri Light"/>
          <w:szCs w:val="22"/>
        </w:rPr>
        <w:t xml:space="preserve">OECD (2025c) </w:t>
      </w:r>
      <w:hyperlink r:id="rId66" w:history="1">
        <w:r w:rsidRPr="00211BAA">
          <w:rPr>
            <w:rStyle w:val="Hyperlink"/>
            <w:rFonts w:cs="Calibri Light"/>
            <w:i/>
            <w:color w:val="auto"/>
            <w:szCs w:val="22"/>
          </w:rPr>
          <w:t>The best versus the rest: The global productivity slowdown, divergence across firms and the role of public policy</w:t>
        </w:r>
      </w:hyperlink>
      <w:r w:rsidRPr="00211BAA">
        <w:rPr>
          <w:rFonts w:cs="Calibri Light"/>
          <w:szCs w:val="22"/>
        </w:rPr>
        <w:t>, Global Forum on Productivity, OECD.</w:t>
      </w:r>
    </w:p>
    <w:p w14:paraId="37415D13" w14:textId="4949D89A" w:rsidR="00356D8F" w:rsidRPr="00211BAA" w:rsidRDefault="00356D8F" w:rsidP="003B5EA5">
      <w:r w:rsidRPr="00211BAA">
        <w:t xml:space="preserve">OECD (2026) </w:t>
      </w:r>
      <w:hyperlink r:id="rId67" w:history="1">
        <w:r w:rsidR="00F025DF" w:rsidRPr="00211BAA">
          <w:rPr>
            <w:rStyle w:val="Hyperlink"/>
            <w:i/>
            <w:color w:val="auto"/>
          </w:rPr>
          <w:t>OECD Economic Surveys: Australia 2026</w:t>
        </w:r>
      </w:hyperlink>
      <w:r w:rsidRPr="00211BAA">
        <w:t>, OECD</w:t>
      </w:r>
      <w:r w:rsidR="00E944E6" w:rsidRPr="00211BAA">
        <w:t>.</w:t>
      </w:r>
    </w:p>
    <w:p w14:paraId="4AF5ACAB" w14:textId="77777777" w:rsidR="00F836EC" w:rsidRPr="00211BAA" w:rsidRDefault="00F836EC" w:rsidP="003B5EA5">
      <w:pPr>
        <w:rPr>
          <w:rFonts w:cs="Calibri Light"/>
          <w:szCs w:val="22"/>
        </w:rPr>
      </w:pPr>
      <w:r w:rsidRPr="00211BAA">
        <w:rPr>
          <w:rFonts w:cs="Calibri Light"/>
          <w:szCs w:val="22"/>
        </w:rPr>
        <w:t xml:space="preserve">Office for Budget Responsibility (2025) </w:t>
      </w:r>
      <w:hyperlink r:id="rId68" w:history="1">
        <w:r w:rsidRPr="00211BAA">
          <w:rPr>
            <w:rStyle w:val="Hyperlink"/>
            <w:rFonts w:cs="Calibri Light"/>
            <w:i/>
            <w:color w:val="auto"/>
            <w:szCs w:val="22"/>
          </w:rPr>
          <w:t>Economic and Fiscal Outlook – March 2025</w:t>
        </w:r>
      </w:hyperlink>
      <w:r w:rsidRPr="00211BAA">
        <w:rPr>
          <w:rFonts w:cs="Calibri Light"/>
          <w:szCs w:val="22"/>
        </w:rPr>
        <w:t>, supplementary data, Office for Budget Responsibility.</w:t>
      </w:r>
    </w:p>
    <w:p w14:paraId="4DEE0791" w14:textId="77777777" w:rsidR="00F836EC" w:rsidRPr="00211BAA" w:rsidRDefault="00F836EC" w:rsidP="003B5EA5">
      <w:r w:rsidRPr="00211BAA">
        <w:t xml:space="preserve">Parkinson M, Howe J and Azarias J (2023) </w:t>
      </w:r>
      <w:hyperlink r:id="rId69" w:history="1">
        <w:r w:rsidRPr="00211BAA">
          <w:rPr>
            <w:rStyle w:val="Hyperlink"/>
            <w:rFonts w:cs="Calibri Light"/>
            <w:i/>
            <w:color w:val="auto"/>
            <w:szCs w:val="22"/>
          </w:rPr>
          <w:t>Review of the Migration System</w:t>
        </w:r>
      </w:hyperlink>
      <w:r w:rsidRPr="00211BAA">
        <w:t xml:space="preserve">, </w:t>
      </w:r>
      <w:r w:rsidRPr="00211BAA">
        <w:rPr>
          <w:i/>
        </w:rPr>
        <w:t>Final Report</w:t>
      </w:r>
      <w:r w:rsidRPr="00211BAA">
        <w:t>. Department of Home Affairs.</w:t>
      </w:r>
    </w:p>
    <w:p w14:paraId="3F6E7D54" w14:textId="1860C158" w:rsidR="00F836EC" w:rsidRPr="00211BAA" w:rsidRDefault="00F836EC" w:rsidP="003B5EA5">
      <w:r w:rsidRPr="00211BAA">
        <w:t xml:space="preserve">Productivity Commission (2005) </w:t>
      </w:r>
      <w:hyperlink r:id="rId70" w:history="1">
        <w:r w:rsidRPr="00211BAA">
          <w:rPr>
            <w:rStyle w:val="Hyperlink"/>
            <w:i/>
            <w:color w:val="auto"/>
          </w:rPr>
          <w:t xml:space="preserve">Review of National Competition Policy </w:t>
        </w:r>
        <w:r w:rsidR="00893E6A" w:rsidRPr="00211BAA">
          <w:rPr>
            <w:rStyle w:val="Hyperlink"/>
            <w:i/>
            <w:color w:val="auto"/>
          </w:rPr>
          <w:t>Reforms</w:t>
        </w:r>
        <w:r w:rsidRPr="00211BAA">
          <w:rPr>
            <w:rStyle w:val="Hyperlink"/>
            <w:i/>
            <w:color w:val="auto"/>
          </w:rPr>
          <w:t xml:space="preserve"> Inquiry Report</w:t>
        </w:r>
      </w:hyperlink>
      <w:r w:rsidRPr="00211BAA">
        <w:t>, Productivity Commission.</w:t>
      </w:r>
    </w:p>
    <w:p w14:paraId="0CCAD90F" w14:textId="2C7956C7" w:rsidR="00F836EC" w:rsidRPr="00211BAA" w:rsidRDefault="00F836EC" w:rsidP="003B5EA5">
      <w:r w:rsidRPr="00211BAA">
        <w:t xml:space="preserve">Productivity Commission (2020a) </w:t>
      </w:r>
      <w:hyperlink r:id="rId71" w:history="1">
        <w:r w:rsidRPr="00211BAA">
          <w:rPr>
            <w:rStyle w:val="Hyperlink"/>
            <w:rFonts w:cs="Calibri Light"/>
            <w:i/>
            <w:color w:val="auto"/>
            <w:szCs w:val="22"/>
          </w:rPr>
          <w:t>Australia’s long</w:t>
        </w:r>
        <w:r w:rsidR="007F6E28" w:rsidRPr="00211BAA">
          <w:rPr>
            <w:rStyle w:val="Hyperlink"/>
            <w:rFonts w:cs="Calibri Light"/>
            <w:i/>
            <w:color w:val="auto"/>
            <w:szCs w:val="22"/>
          </w:rPr>
          <w:t xml:space="preserve"> </w:t>
        </w:r>
        <w:r w:rsidRPr="00211BAA">
          <w:rPr>
            <w:rStyle w:val="Hyperlink"/>
            <w:rFonts w:cs="Calibri Light"/>
            <w:i/>
            <w:color w:val="auto"/>
            <w:szCs w:val="22"/>
          </w:rPr>
          <w:t>term productivity experience</w:t>
        </w:r>
      </w:hyperlink>
      <w:r w:rsidRPr="00211BAA">
        <w:t>, PC</w:t>
      </w:r>
      <w:r w:rsidR="00CD1175" w:rsidRPr="00211BAA">
        <w:t> </w:t>
      </w:r>
      <w:r w:rsidR="001326CF" w:rsidRPr="00211BAA">
        <w:t>P</w:t>
      </w:r>
      <w:r w:rsidRPr="00211BAA">
        <w:t>roductivity</w:t>
      </w:r>
      <w:r w:rsidR="00CD1175" w:rsidRPr="00211BAA">
        <w:t> </w:t>
      </w:r>
      <w:r w:rsidR="001326CF" w:rsidRPr="00211BAA">
        <w:t>I</w:t>
      </w:r>
      <w:r w:rsidRPr="00211BAA">
        <w:t>nsights, Productivity Commission.</w:t>
      </w:r>
    </w:p>
    <w:p w14:paraId="5CF5CA3F" w14:textId="3629F3AB" w:rsidR="00F836EC" w:rsidRPr="00211BAA" w:rsidRDefault="00F836EC" w:rsidP="003B5EA5">
      <w:r w:rsidRPr="00211BAA">
        <w:t xml:space="preserve">Productivity Commission (2020b) </w:t>
      </w:r>
      <w:hyperlink r:id="rId72" w:history="1">
        <w:r w:rsidRPr="00211BAA">
          <w:rPr>
            <w:rStyle w:val="Hyperlink"/>
            <w:rFonts w:cs="Calibri Light"/>
            <w:i/>
            <w:color w:val="auto"/>
            <w:szCs w:val="22"/>
          </w:rPr>
          <w:t>Can Australia be a productivity leader?</w:t>
        </w:r>
      </w:hyperlink>
      <w:r w:rsidRPr="00211BAA">
        <w:t xml:space="preserve">, </w:t>
      </w:r>
      <w:r w:rsidR="001326CF" w:rsidRPr="00211BAA">
        <w:t xml:space="preserve">PC </w:t>
      </w:r>
      <w:r w:rsidRPr="00211BAA">
        <w:t>Productivity Insights, Productivity Commission.</w:t>
      </w:r>
    </w:p>
    <w:p w14:paraId="5C5CBCC2" w14:textId="759FB751" w:rsidR="00F836EC" w:rsidRPr="00211BAA" w:rsidRDefault="00F836EC" w:rsidP="003B5EA5">
      <w:pPr>
        <w:rPr>
          <w:shd w:val="clear" w:color="auto" w:fill="FFFFFF"/>
        </w:rPr>
      </w:pPr>
      <w:r w:rsidRPr="00211BAA">
        <w:rPr>
          <w:shd w:val="clear" w:color="auto" w:fill="FFFFFF"/>
        </w:rPr>
        <w:t xml:space="preserve">Productivity Commission (2023a) </w:t>
      </w:r>
      <w:hyperlink r:id="rId73" w:history="1">
        <w:r w:rsidR="004F0D0C" w:rsidRPr="00211BAA">
          <w:rPr>
            <w:rStyle w:val="Hyperlink"/>
            <w:rFonts w:cs="Calibri Light"/>
            <w:i/>
            <w:color w:val="auto"/>
            <w:szCs w:val="22"/>
            <w:shd w:val="clear" w:color="auto" w:fill="FFFFFF"/>
          </w:rPr>
          <w:t>5-year P</w:t>
        </w:r>
        <w:r w:rsidRPr="00211BAA">
          <w:rPr>
            <w:rStyle w:val="Hyperlink"/>
            <w:rFonts w:cs="Calibri Light"/>
            <w:i/>
            <w:color w:val="auto"/>
            <w:szCs w:val="22"/>
            <w:shd w:val="clear" w:color="auto" w:fill="FFFFFF"/>
          </w:rPr>
          <w:t xml:space="preserve">roductivity </w:t>
        </w:r>
        <w:r w:rsidR="00173CF4" w:rsidRPr="00211BAA">
          <w:rPr>
            <w:rStyle w:val="Hyperlink"/>
            <w:rFonts w:cs="Calibri Light"/>
            <w:i/>
            <w:color w:val="auto"/>
            <w:szCs w:val="22"/>
            <w:shd w:val="clear" w:color="auto" w:fill="FFFFFF"/>
          </w:rPr>
          <w:t>I</w:t>
        </w:r>
        <w:r w:rsidRPr="00211BAA">
          <w:rPr>
            <w:rStyle w:val="Hyperlink"/>
            <w:rFonts w:cs="Calibri Light"/>
            <w:i/>
            <w:color w:val="auto"/>
            <w:szCs w:val="22"/>
            <w:shd w:val="clear" w:color="auto" w:fill="FFFFFF"/>
          </w:rPr>
          <w:t>nquiry: Advancing Prosperity</w:t>
        </w:r>
        <w:r w:rsidR="00F91C25" w:rsidRPr="00211BAA">
          <w:rPr>
            <w:rStyle w:val="Hyperlink"/>
            <w:rFonts w:cs="Calibri Light"/>
            <w:i/>
            <w:color w:val="auto"/>
            <w:szCs w:val="22"/>
            <w:shd w:val="clear" w:color="auto" w:fill="FFFFFF"/>
          </w:rPr>
          <w:t xml:space="preserve"> Inquiry Report</w:t>
        </w:r>
      </w:hyperlink>
      <w:r w:rsidRPr="00211BAA">
        <w:rPr>
          <w:shd w:val="clear" w:color="auto" w:fill="FFFFFF"/>
        </w:rPr>
        <w:t>, Productivity Commission.</w:t>
      </w:r>
    </w:p>
    <w:p w14:paraId="6CC25190" w14:textId="5DCC03EF" w:rsidR="00F836EC" w:rsidRPr="00211BAA" w:rsidRDefault="00F836EC" w:rsidP="003B5EA5">
      <w:r w:rsidRPr="00211BAA">
        <w:t xml:space="preserve">Productivity Commission (2023b) </w:t>
      </w:r>
      <w:hyperlink r:id="rId74" w:history="1">
        <w:r w:rsidRPr="00211BAA">
          <w:rPr>
            <w:rStyle w:val="Hyperlink"/>
            <w:rFonts w:cs="Calibri Light"/>
            <w:i/>
            <w:color w:val="auto"/>
            <w:szCs w:val="22"/>
          </w:rPr>
          <w:t xml:space="preserve">5-year </w:t>
        </w:r>
        <w:r w:rsidR="0045577E" w:rsidRPr="00211BAA">
          <w:rPr>
            <w:rStyle w:val="Hyperlink"/>
            <w:rFonts w:cs="Calibri Light"/>
            <w:i/>
            <w:color w:val="auto"/>
            <w:szCs w:val="22"/>
          </w:rPr>
          <w:t>P</w:t>
        </w:r>
        <w:r w:rsidRPr="00211BAA">
          <w:rPr>
            <w:rStyle w:val="Hyperlink"/>
            <w:rFonts w:cs="Calibri Light"/>
            <w:i/>
            <w:color w:val="auto"/>
            <w:szCs w:val="22"/>
          </w:rPr>
          <w:t xml:space="preserve">roductivity </w:t>
        </w:r>
        <w:r w:rsidR="0045577E" w:rsidRPr="00211BAA">
          <w:rPr>
            <w:rStyle w:val="Hyperlink"/>
            <w:rFonts w:cs="Calibri Light"/>
            <w:i/>
            <w:color w:val="auto"/>
            <w:szCs w:val="22"/>
          </w:rPr>
          <w:t>I</w:t>
        </w:r>
        <w:r w:rsidRPr="00211BAA">
          <w:rPr>
            <w:rStyle w:val="Hyperlink"/>
            <w:rFonts w:cs="Calibri Light"/>
            <w:i/>
            <w:color w:val="auto"/>
            <w:szCs w:val="22"/>
          </w:rPr>
          <w:t>nquiry: Innovation for the 98</w:t>
        </w:r>
        <w:r w:rsidR="005F66B5" w:rsidRPr="00211BAA">
          <w:rPr>
            <w:rStyle w:val="Hyperlink"/>
            <w:rFonts w:cs="Calibri Light"/>
            <w:i/>
            <w:color w:val="auto"/>
            <w:szCs w:val="22"/>
          </w:rPr>
          <w:t>% Inquiry Report</w:t>
        </w:r>
      </w:hyperlink>
      <w:r w:rsidRPr="00211BAA">
        <w:t>, Productivity Commission.</w:t>
      </w:r>
    </w:p>
    <w:p w14:paraId="75C00183" w14:textId="71738B91" w:rsidR="00F836EC" w:rsidRPr="00211BAA" w:rsidRDefault="00F836EC" w:rsidP="003B5EA5">
      <w:r w:rsidRPr="00211BAA">
        <w:t xml:space="preserve">Productivity Commission (2024a) </w:t>
      </w:r>
      <w:hyperlink r:id="rId75" w:history="1">
        <w:r w:rsidRPr="00211BAA">
          <w:rPr>
            <w:rStyle w:val="Hyperlink"/>
            <w:rFonts w:cs="Calibri Light"/>
            <w:i/>
            <w:color w:val="auto"/>
            <w:szCs w:val="22"/>
          </w:rPr>
          <w:t>Advances in measuring healthcare productivity</w:t>
        </w:r>
      </w:hyperlink>
      <w:r w:rsidRPr="00211BAA">
        <w:t xml:space="preserve">, Research </w:t>
      </w:r>
      <w:r w:rsidR="00342C3E" w:rsidRPr="00211BAA">
        <w:t>P</w:t>
      </w:r>
      <w:r w:rsidRPr="00211BAA">
        <w:t>aper, Productivity Commission.</w:t>
      </w:r>
    </w:p>
    <w:p w14:paraId="6206F6B3" w14:textId="770921B2" w:rsidR="00F836EC" w:rsidRPr="00211BAA" w:rsidRDefault="00F836EC" w:rsidP="003B5EA5">
      <w:r w:rsidRPr="00211BAA">
        <w:t xml:space="preserve">Productivity Commission (2024b) </w:t>
      </w:r>
      <w:hyperlink r:id="rId76" w:history="1">
        <w:r w:rsidRPr="00211BAA">
          <w:rPr>
            <w:rStyle w:val="Hyperlink"/>
            <w:rFonts w:cs="Calibri Light"/>
            <w:i/>
            <w:color w:val="auto"/>
            <w:szCs w:val="22"/>
          </w:rPr>
          <w:t xml:space="preserve">Quarterly </w:t>
        </w:r>
        <w:r w:rsidR="000703FA" w:rsidRPr="00211BAA">
          <w:rPr>
            <w:rStyle w:val="Hyperlink"/>
            <w:rFonts w:cs="Calibri Light"/>
            <w:i/>
            <w:color w:val="auto"/>
            <w:szCs w:val="22"/>
          </w:rPr>
          <w:t>P</w:t>
        </w:r>
        <w:r w:rsidRPr="00211BAA">
          <w:rPr>
            <w:rStyle w:val="Hyperlink"/>
            <w:rFonts w:cs="Calibri Light"/>
            <w:i/>
            <w:color w:val="auto"/>
            <w:szCs w:val="22"/>
          </w:rPr>
          <w:t>roductivity Bulletin – December 2024</w:t>
        </w:r>
      </w:hyperlink>
      <w:r w:rsidRPr="00211BAA">
        <w:t>, Productivity</w:t>
      </w:r>
      <w:r w:rsidR="00501E88" w:rsidRPr="00211BAA">
        <w:t> </w:t>
      </w:r>
      <w:r w:rsidRPr="00211BAA">
        <w:t>Commission.</w:t>
      </w:r>
    </w:p>
    <w:p w14:paraId="40331176" w14:textId="51290E99" w:rsidR="00F836EC" w:rsidRPr="00211BAA" w:rsidRDefault="00F836EC" w:rsidP="003B5EA5">
      <w:r w:rsidRPr="00211BAA">
        <w:t>Productivity Commission (2025</w:t>
      </w:r>
      <w:r w:rsidR="00437D5A" w:rsidRPr="00211BAA">
        <w:t>a</w:t>
      </w:r>
      <w:r w:rsidRPr="00211BAA">
        <w:t xml:space="preserve">) </w:t>
      </w:r>
      <w:hyperlink r:id="rId77" w:history="1">
        <w:r w:rsidRPr="00211BAA">
          <w:rPr>
            <w:rStyle w:val="Hyperlink"/>
            <w:rFonts w:cs="Calibri Light"/>
            <w:i/>
            <w:color w:val="auto"/>
            <w:szCs w:val="22"/>
          </w:rPr>
          <w:t>Productivity before and after COVID</w:t>
        </w:r>
        <w:r w:rsidR="00A20196" w:rsidRPr="00211BAA">
          <w:rPr>
            <w:rStyle w:val="Hyperlink"/>
            <w:rFonts w:cs="Calibri Light"/>
            <w:i/>
            <w:color w:val="auto"/>
            <w:szCs w:val="22"/>
          </w:rPr>
          <w:t>-</w:t>
        </w:r>
        <w:r w:rsidRPr="00211BAA">
          <w:rPr>
            <w:rStyle w:val="Hyperlink"/>
            <w:rFonts w:cs="Calibri Light"/>
            <w:i/>
            <w:color w:val="auto"/>
            <w:szCs w:val="22"/>
          </w:rPr>
          <w:t>19</w:t>
        </w:r>
      </w:hyperlink>
      <w:r w:rsidRPr="00211BAA">
        <w:t>, Research paper, Productivity</w:t>
      </w:r>
      <w:r w:rsidR="005D0415" w:rsidRPr="00211BAA">
        <w:t> </w:t>
      </w:r>
      <w:r w:rsidRPr="00211BAA">
        <w:t>Commission.</w:t>
      </w:r>
    </w:p>
    <w:p w14:paraId="5D03396D" w14:textId="5B20A36D" w:rsidR="00437D5A" w:rsidRPr="00211BAA" w:rsidRDefault="00437D5A" w:rsidP="003B5EA5">
      <w:r w:rsidRPr="00211BAA">
        <w:t xml:space="preserve">Productivity Commission (2025b) </w:t>
      </w:r>
      <w:hyperlink r:id="rId78" w:history="1">
        <w:r w:rsidR="00890C3B" w:rsidRPr="00211BAA">
          <w:rPr>
            <w:rStyle w:val="Hyperlink"/>
            <w:color w:val="auto"/>
          </w:rPr>
          <w:t xml:space="preserve">Harnessing </w:t>
        </w:r>
        <w:r w:rsidR="00175BE9" w:rsidRPr="00211BAA">
          <w:rPr>
            <w:rStyle w:val="Hyperlink"/>
            <w:color w:val="auto"/>
          </w:rPr>
          <w:t>Data and Digital Technology Inquiry Report</w:t>
        </w:r>
      </w:hyperlink>
      <w:r w:rsidR="00E751FA" w:rsidRPr="00211BAA">
        <w:t>,</w:t>
      </w:r>
      <w:r w:rsidR="00890C3B" w:rsidRPr="00211BAA">
        <w:t xml:space="preserve"> </w:t>
      </w:r>
      <w:r w:rsidR="00B11AF1" w:rsidRPr="00211BAA">
        <w:t>Productivity</w:t>
      </w:r>
      <w:r w:rsidR="00175BE9" w:rsidRPr="00211BAA">
        <w:t> </w:t>
      </w:r>
      <w:r w:rsidR="00B11AF1" w:rsidRPr="00211BAA">
        <w:t>Commission</w:t>
      </w:r>
      <w:r w:rsidR="00E944E6" w:rsidRPr="00211BAA">
        <w:t>.</w:t>
      </w:r>
    </w:p>
    <w:p w14:paraId="0231ACF2" w14:textId="3D6CF89B" w:rsidR="00F836EC" w:rsidRPr="00211BAA" w:rsidRDefault="009878FB" w:rsidP="003B5EA5">
      <w:r w:rsidRPr="00211BAA">
        <w:lastRenderedPageBreak/>
        <w:t xml:space="preserve">RBA </w:t>
      </w:r>
      <w:r w:rsidR="004D3B79" w:rsidRPr="00211BAA">
        <w:t xml:space="preserve">(Reserve Bank of Australia) </w:t>
      </w:r>
      <w:r w:rsidRPr="00211BAA">
        <w:t>(</w:t>
      </w:r>
      <w:r w:rsidR="00F836EC" w:rsidRPr="00211BAA">
        <w:t xml:space="preserve">2022) </w:t>
      </w:r>
      <w:hyperlink r:id="rId79" w:history="1">
        <w:r w:rsidR="006E3851" w:rsidRPr="00211BAA">
          <w:rPr>
            <w:rStyle w:val="Hyperlink"/>
            <w:rFonts w:cs="Calibri Light"/>
            <w:i/>
            <w:color w:val="auto"/>
            <w:szCs w:val="22"/>
          </w:rPr>
          <w:t>The Neutral Rate: The Pole-star Casts Faint Light</w:t>
        </w:r>
      </w:hyperlink>
      <w:r w:rsidR="00F836EC" w:rsidRPr="00211BAA">
        <w:t>, Speech by Assistant</w:t>
      </w:r>
      <w:r w:rsidR="00662117" w:rsidRPr="00211BAA">
        <w:t> </w:t>
      </w:r>
      <w:r w:rsidR="00F836EC" w:rsidRPr="00211BAA">
        <w:t>Governor (Economic) Luci Ellis, 12 October, Reserve Bank of Australia</w:t>
      </w:r>
      <w:r w:rsidR="00E944E6" w:rsidRPr="00211BAA">
        <w:t>.</w:t>
      </w:r>
      <w:r w:rsidR="00F836EC" w:rsidRPr="00211BAA">
        <w:t xml:space="preserve"> </w:t>
      </w:r>
    </w:p>
    <w:p w14:paraId="46C4618F" w14:textId="5D75DC26" w:rsidR="00F836EC" w:rsidRPr="00211BAA" w:rsidRDefault="00636D4B" w:rsidP="003B5EA5">
      <w:r w:rsidRPr="00211BAA">
        <w:t>RBA</w:t>
      </w:r>
      <w:r w:rsidR="00F836EC" w:rsidRPr="00211BAA">
        <w:t xml:space="preserve"> (2025a) </w:t>
      </w:r>
      <w:hyperlink r:id="rId80" w:history="1">
        <w:r w:rsidR="00F836EC" w:rsidRPr="00211BAA">
          <w:rPr>
            <w:rStyle w:val="Hyperlink"/>
            <w:rFonts w:cs="Calibri Light"/>
            <w:i/>
            <w:color w:val="auto"/>
            <w:szCs w:val="22"/>
          </w:rPr>
          <w:t>Why Productivity Matters for Central Bankers</w:t>
        </w:r>
      </w:hyperlink>
      <w:r w:rsidR="00F836EC" w:rsidRPr="00211BAA">
        <w:t xml:space="preserve">, Speech by Sarah Hunter, Assistant Governor (Economic), Citi Australia </w:t>
      </w:r>
      <w:r w:rsidR="00A735C4" w:rsidRPr="00211BAA">
        <w:t>and</w:t>
      </w:r>
      <w:r w:rsidR="00F836EC" w:rsidRPr="00211BAA">
        <w:t xml:space="preserve"> New Zealand Investment Conference, 15 October</w:t>
      </w:r>
      <w:r w:rsidR="00584610" w:rsidRPr="00211BAA">
        <w:t xml:space="preserve"> 2025</w:t>
      </w:r>
      <w:r w:rsidR="00F836EC" w:rsidRPr="00211BAA">
        <w:t xml:space="preserve">, Reserve Bank of Australia. </w:t>
      </w:r>
    </w:p>
    <w:p w14:paraId="76DF73C7" w14:textId="441F6C5E" w:rsidR="00F836EC" w:rsidRPr="00211BAA" w:rsidRDefault="00636D4B" w:rsidP="003B5EA5">
      <w:pPr>
        <w:rPr>
          <w:rFonts w:cs="Calibri Light"/>
          <w:szCs w:val="22"/>
        </w:rPr>
      </w:pPr>
      <w:r w:rsidRPr="00211BAA">
        <w:rPr>
          <w:rFonts w:cs="Calibri Light"/>
          <w:szCs w:val="22"/>
        </w:rPr>
        <w:t>RBA</w:t>
      </w:r>
      <w:r w:rsidR="00F836EC" w:rsidRPr="00211BAA">
        <w:rPr>
          <w:rFonts w:cs="Calibri Light"/>
          <w:szCs w:val="22"/>
        </w:rPr>
        <w:t xml:space="preserve"> (2025</w:t>
      </w:r>
      <w:r w:rsidR="006C68B4" w:rsidRPr="00211BAA">
        <w:rPr>
          <w:rFonts w:cs="Calibri Light"/>
          <w:szCs w:val="22"/>
        </w:rPr>
        <w:t>b</w:t>
      </w:r>
      <w:r w:rsidR="00F836EC" w:rsidRPr="00211BAA">
        <w:rPr>
          <w:rFonts w:cs="Calibri Light"/>
          <w:szCs w:val="22"/>
        </w:rPr>
        <w:t xml:space="preserve">) </w:t>
      </w:r>
      <w:hyperlink r:id="rId81" w:history="1">
        <w:r w:rsidR="00F836EC" w:rsidRPr="00211BAA">
          <w:rPr>
            <w:rStyle w:val="Hyperlink"/>
            <w:rFonts w:cs="Calibri Light"/>
            <w:i/>
            <w:color w:val="auto"/>
            <w:szCs w:val="22"/>
          </w:rPr>
          <w:t>Statement on Monetary Policy – August 2025: In Depth – Drivers and Implications of Lower Productivity Growth</w:t>
        </w:r>
      </w:hyperlink>
      <w:r w:rsidR="00F836EC" w:rsidRPr="00211BAA">
        <w:rPr>
          <w:rFonts w:cs="Calibri Light"/>
          <w:szCs w:val="22"/>
        </w:rPr>
        <w:t xml:space="preserve">, Reserve Bank of Australia. </w:t>
      </w:r>
    </w:p>
    <w:p w14:paraId="360344C4" w14:textId="4FBEAFC5" w:rsidR="00F14BB7" w:rsidRPr="00211BAA" w:rsidRDefault="00F14BB7" w:rsidP="003B5EA5">
      <w:pPr>
        <w:rPr>
          <w:rFonts w:cs="Calibri Light"/>
          <w:szCs w:val="22"/>
        </w:rPr>
      </w:pPr>
      <w:r w:rsidRPr="00211BAA">
        <w:rPr>
          <w:rFonts w:cs="Calibri Light"/>
          <w:szCs w:val="22"/>
        </w:rPr>
        <w:t>Robertson P and Robitaille M</w:t>
      </w:r>
      <w:r w:rsidR="00E0443A" w:rsidRPr="00211BAA">
        <w:rPr>
          <w:rFonts w:cs="Calibri Light"/>
          <w:szCs w:val="22"/>
        </w:rPr>
        <w:t xml:space="preserve"> (2017)</w:t>
      </w:r>
      <w:r w:rsidRPr="00211BAA">
        <w:rPr>
          <w:rFonts w:cs="Calibri Light"/>
          <w:szCs w:val="22"/>
        </w:rPr>
        <w:t xml:space="preserve">, ‘The </w:t>
      </w:r>
      <w:r w:rsidR="00D0073E" w:rsidRPr="00211BAA">
        <w:rPr>
          <w:rFonts w:cs="Calibri Light"/>
          <w:szCs w:val="22"/>
        </w:rPr>
        <w:t xml:space="preserve">Tyranny of Distance and the Gravity of Resources’, </w:t>
      </w:r>
      <w:r w:rsidR="00D0073E" w:rsidRPr="00211BAA">
        <w:rPr>
          <w:rFonts w:cs="Calibri Light"/>
          <w:i/>
          <w:iCs/>
          <w:szCs w:val="22"/>
        </w:rPr>
        <w:t>Economic Record</w:t>
      </w:r>
      <w:r w:rsidR="00E0443A" w:rsidRPr="00211BAA">
        <w:rPr>
          <w:rFonts w:cs="Calibri Light"/>
          <w:szCs w:val="22"/>
        </w:rPr>
        <w:t xml:space="preserve"> 93(303):533-549</w:t>
      </w:r>
    </w:p>
    <w:p w14:paraId="534465E3" w14:textId="785DDA35" w:rsidR="00B11AF1" w:rsidRPr="00211BAA" w:rsidRDefault="00B11AF1" w:rsidP="003B5EA5">
      <w:pPr>
        <w:rPr>
          <w:rFonts w:cs="Calibri Light"/>
          <w:szCs w:val="22"/>
        </w:rPr>
      </w:pPr>
      <w:r w:rsidRPr="00211BAA">
        <w:rPr>
          <w:rFonts w:cs="Calibri Light"/>
          <w:szCs w:val="22"/>
        </w:rPr>
        <w:t>Slok</w:t>
      </w:r>
      <w:r w:rsidR="005256C7" w:rsidRPr="00211BAA">
        <w:rPr>
          <w:rFonts w:cs="Calibri Light"/>
          <w:szCs w:val="22"/>
        </w:rPr>
        <w:t xml:space="preserve"> T (2026) </w:t>
      </w:r>
      <w:hyperlink r:id="rId82" w:history="1">
        <w:r w:rsidR="005256C7" w:rsidRPr="00211BAA">
          <w:rPr>
            <w:rStyle w:val="Hyperlink"/>
            <w:rFonts w:cs="Calibri Light"/>
            <w:i/>
            <w:iCs/>
            <w:color w:val="auto"/>
            <w:szCs w:val="22"/>
          </w:rPr>
          <w:t>Waiting for the AI J-Curve</w:t>
        </w:r>
      </w:hyperlink>
      <w:r w:rsidR="00616811" w:rsidRPr="00211BAA">
        <w:rPr>
          <w:rFonts w:cs="Calibri Light"/>
          <w:szCs w:val="22"/>
        </w:rPr>
        <w:t xml:space="preserve">, Apollo </w:t>
      </w:r>
      <w:r w:rsidR="0086638E" w:rsidRPr="00211BAA">
        <w:rPr>
          <w:rFonts w:cs="Calibri Light"/>
          <w:szCs w:val="22"/>
        </w:rPr>
        <w:t>Global Management</w:t>
      </w:r>
      <w:r w:rsidR="00616811" w:rsidRPr="00211BAA">
        <w:rPr>
          <w:rFonts w:cs="Calibri Light"/>
          <w:szCs w:val="22"/>
        </w:rPr>
        <w:t>, 2026</w:t>
      </w:r>
      <w:r w:rsidR="00E944E6" w:rsidRPr="00211BAA">
        <w:rPr>
          <w:rFonts w:cs="Calibri Light"/>
          <w:szCs w:val="22"/>
        </w:rPr>
        <w:t>.</w:t>
      </w:r>
    </w:p>
    <w:p w14:paraId="75699F69" w14:textId="0C26BE9F" w:rsidR="00F836EC" w:rsidRPr="00211BAA" w:rsidRDefault="00F836EC" w:rsidP="003B5EA5">
      <w:proofErr w:type="spellStart"/>
      <w:r w:rsidRPr="00211BAA">
        <w:t>Sorbe</w:t>
      </w:r>
      <w:proofErr w:type="spellEnd"/>
      <w:r w:rsidRPr="00211BAA">
        <w:t xml:space="preserve"> S, Gal P and Millot V (2018) </w:t>
      </w:r>
      <w:hyperlink r:id="rId83" w:history="1">
        <w:r w:rsidRPr="00211BAA">
          <w:rPr>
            <w:rStyle w:val="Hyperlink"/>
            <w:i/>
            <w:color w:val="auto"/>
            <w:szCs w:val="22"/>
          </w:rPr>
          <w:t>Can productivity still grow in service-based economies?</w:t>
        </w:r>
      </w:hyperlink>
      <w:r w:rsidRPr="00211BAA">
        <w:t>, OECD Economics Department Working Papers, OECD.</w:t>
      </w:r>
    </w:p>
    <w:p w14:paraId="450007E3" w14:textId="22EC3C73" w:rsidR="00437D5A" w:rsidRPr="00211BAA" w:rsidRDefault="00437D5A" w:rsidP="003B5EA5">
      <w:pPr>
        <w:rPr>
          <w:rFonts w:cs="Calibri Light"/>
          <w:szCs w:val="22"/>
        </w:rPr>
      </w:pPr>
      <w:r w:rsidRPr="00211BAA">
        <w:t xml:space="preserve">Solow </w:t>
      </w:r>
      <w:r w:rsidR="00FB158B" w:rsidRPr="00211BAA">
        <w:t xml:space="preserve">R </w:t>
      </w:r>
      <w:r w:rsidRPr="00211BAA">
        <w:t>(1987)</w:t>
      </w:r>
      <w:r w:rsidR="00FB158B" w:rsidRPr="00211BAA">
        <w:t xml:space="preserve"> "We'd better watch out", </w:t>
      </w:r>
      <w:r w:rsidR="00FB158B" w:rsidRPr="00211BAA">
        <w:rPr>
          <w:i/>
          <w:iCs/>
        </w:rPr>
        <w:t>New York Times Book Review</w:t>
      </w:r>
      <w:r w:rsidR="00FB158B" w:rsidRPr="00211BAA">
        <w:t>, July 12, 1987, page 36.</w:t>
      </w:r>
    </w:p>
    <w:p w14:paraId="701584BD" w14:textId="229DF8FB" w:rsidR="00F836EC" w:rsidRPr="00211BAA" w:rsidRDefault="00F836EC" w:rsidP="003B5EA5">
      <w:r w:rsidRPr="00211BAA">
        <w:t>Terrill M</w:t>
      </w:r>
      <w:r w:rsidR="00857126" w:rsidRPr="00211BAA">
        <w:t xml:space="preserve"> and</w:t>
      </w:r>
      <w:r w:rsidRPr="00211BAA">
        <w:t xml:space="preserve">, </w:t>
      </w:r>
      <w:proofErr w:type="spellStart"/>
      <w:r w:rsidRPr="00211BAA">
        <w:t>Batrouney</w:t>
      </w:r>
      <w:proofErr w:type="spellEnd"/>
      <w:r w:rsidRPr="00211BAA">
        <w:t xml:space="preserve"> H (2018) </w:t>
      </w:r>
      <w:hyperlink r:id="rId84" w:history="1">
        <w:r w:rsidRPr="00211BAA">
          <w:rPr>
            <w:rStyle w:val="Hyperlink"/>
            <w:rFonts w:cs="Calibri Light"/>
            <w:i/>
            <w:color w:val="auto"/>
            <w:szCs w:val="22"/>
          </w:rPr>
          <w:t>Remarkably adaptive: Australian cities in a time of growth</w:t>
        </w:r>
      </w:hyperlink>
      <w:r w:rsidRPr="00211BAA">
        <w:t>, Grattan Institute.</w:t>
      </w:r>
    </w:p>
    <w:p w14:paraId="049241C5" w14:textId="77777777" w:rsidR="00F836EC" w:rsidRPr="00211BAA" w:rsidRDefault="00F836EC" w:rsidP="003B5EA5">
      <w:r w:rsidRPr="00211BAA">
        <w:t xml:space="preserve">Treasury (2023a) </w:t>
      </w:r>
      <w:hyperlink r:id="rId85" w:history="1">
        <w:r w:rsidRPr="00211BAA">
          <w:rPr>
            <w:rStyle w:val="Hyperlink"/>
            <w:rFonts w:cs="Calibri Light"/>
            <w:i/>
            <w:color w:val="auto"/>
            <w:szCs w:val="22"/>
          </w:rPr>
          <w:t>Intergenerational Report 2023: Australia’s future to 2063</w:t>
        </w:r>
      </w:hyperlink>
      <w:r w:rsidRPr="00211BAA">
        <w:t xml:space="preserve">, The Australian Treasury. </w:t>
      </w:r>
    </w:p>
    <w:p w14:paraId="503118B3" w14:textId="77777777" w:rsidR="00F836EC" w:rsidRPr="00211BAA" w:rsidRDefault="00F836EC" w:rsidP="003B5EA5">
      <w:r w:rsidRPr="00211BAA">
        <w:t xml:space="preserve">Treasury (2024) </w:t>
      </w:r>
      <w:hyperlink r:id="rId86" w:history="1">
        <w:r w:rsidRPr="00211BAA">
          <w:rPr>
            <w:rStyle w:val="Hyperlink"/>
            <w:rFonts w:cs="Calibri Light"/>
            <w:i/>
            <w:color w:val="auto"/>
            <w:szCs w:val="22"/>
          </w:rPr>
          <w:t>Future Made in Australia – National Interest Framework supporting paper</w:t>
        </w:r>
      </w:hyperlink>
      <w:r w:rsidRPr="00211BAA">
        <w:t>, The Australian Treasury.</w:t>
      </w:r>
    </w:p>
    <w:p w14:paraId="27B50C63" w14:textId="15B90D5E" w:rsidR="0039065F" w:rsidRPr="00211BAA" w:rsidRDefault="0039065F" w:rsidP="003B5EA5">
      <w:r w:rsidRPr="00211BAA">
        <w:t xml:space="preserve">van der Merwe </w:t>
      </w:r>
      <w:r w:rsidR="008E5615" w:rsidRPr="00211BAA">
        <w:t xml:space="preserve">M, Cockerell L, Chambers M and </w:t>
      </w:r>
      <w:proofErr w:type="spellStart"/>
      <w:r w:rsidR="00A32314" w:rsidRPr="00211BAA">
        <w:t>Jääskelä</w:t>
      </w:r>
      <w:proofErr w:type="spellEnd"/>
      <w:r w:rsidR="00A32314" w:rsidRPr="00211BAA">
        <w:t xml:space="preserve"> J (2018) </w:t>
      </w:r>
      <w:hyperlink r:id="rId87" w:history="1">
        <w:r w:rsidR="00505849" w:rsidRPr="00211BAA">
          <w:rPr>
            <w:rStyle w:val="Hyperlink"/>
            <w:i/>
            <w:color w:val="auto"/>
          </w:rPr>
          <w:t>Private Non Mining Investment In Australia</w:t>
        </w:r>
      </w:hyperlink>
      <w:r w:rsidR="00505849" w:rsidRPr="00211BAA">
        <w:t>, RBA Bulletin</w:t>
      </w:r>
      <w:r w:rsidR="00721C0A" w:rsidRPr="00211BAA">
        <w:t xml:space="preserve"> 2018, Reserve Bank of Australia</w:t>
      </w:r>
      <w:r w:rsidR="00307BD0" w:rsidRPr="00211BAA">
        <w:t>.</w:t>
      </w:r>
    </w:p>
    <w:p w14:paraId="1809BEB8" w14:textId="57F1CEBA" w:rsidR="00C434D9" w:rsidRPr="00211BAA" w:rsidRDefault="00A239EE" w:rsidP="003B5EA5">
      <w:r w:rsidRPr="00211BAA">
        <w:t>WEF (</w:t>
      </w:r>
      <w:r w:rsidR="00C434D9" w:rsidRPr="00211BAA">
        <w:t xml:space="preserve">World Economic Forum) (2026) </w:t>
      </w:r>
      <w:hyperlink r:id="rId88" w:history="1">
        <w:r w:rsidR="00C434D9" w:rsidRPr="00211BAA">
          <w:rPr>
            <w:rStyle w:val="Hyperlink"/>
            <w:i/>
            <w:iCs/>
            <w:color w:val="auto"/>
          </w:rPr>
          <w:t xml:space="preserve">Chief </w:t>
        </w:r>
        <w:r w:rsidR="002F229D" w:rsidRPr="00211BAA">
          <w:rPr>
            <w:rStyle w:val="Hyperlink"/>
            <w:i/>
            <w:iCs/>
            <w:color w:val="auto"/>
          </w:rPr>
          <w:t>E</w:t>
        </w:r>
        <w:r w:rsidR="00C434D9" w:rsidRPr="00211BAA">
          <w:rPr>
            <w:rStyle w:val="Hyperlink"/>
            <w:i/>
            <w:iCs/>
            <w:color w:val="auto"/>
          </w:rPr>
          <w:t xml:space="preserve">conomists </w:t>
        </w:r>
        <w:r w:rsidR="002F229D" w:rsidRPr="00211BAA">
          <w:rPr>
            <w:rStyle w:val="Hyperlink"/>
            <w:i/>
            <w:iCs/>
            <w:color w:val="auto"/>
          </w:rPr>
          <w:t>Outlook, 20</w:t>
        </w:r>
        <w:r w:rsidR="00F4378E" w:rsidRPr="00211BAA">
          <w:rPr>
            <w:rStyle w:val="Hyperlink"/>
            <w:i/>
            <w:iCs/>
            <w:color w:val="auto"/>
          </w:rPr>
          <w:t>2</w:t>
        </w:r>
        <w:r w:rsidR="002F229D" w:rsidRPr="00211BAA">
          <w:rPr>
            <w:rStyle w:val="Hyperlink"/>
            <w:i/>
            <w:iCs/>
            <w:color w:val="auto"/>
          </w:rPr>
          <w:t>6</w:t>
        </w:r>
      </w:hyperlink>
      <w:r w:rsidR="00C434D9" w:rsidRPr="00211BAA">
        <w:t xml:space="preserve">, </w:t>
      </w:r>
      <w:r w:rsidR="008B753F" w:rsidRPr="00211BAA">
        <w:t>World Economic Forum</w:t>
      </w:r>
      <w:r w:rsidR="00AF7823" w:rsidRPr="00211BAA">
        <w:t>.</w:t>
      </w:r>
    </w:p>
    <w:p w14:paraId="450D78BC" w14:textId="77DF1B7A" w:rsidR="00F836EC" w:rsidRPr="0081685C" w:rsidRDefault="00F836EC" w:rsidP="00F836EC">
      <w:r w:rsidRPr="00211BAA">
        <w:t xml:space="preserve">Young A, Wilkie J, Ewing R and Rahman J (2008) </w:t>
      </w:r>
      <w:hyperlink r:id="rId89" w:history="1">
        <w:r w:rsidRPr="00211BAA">
          <w:rPr>
            <w:rStyle w:val="Hyperlink"/>
            <w:rFonts w:cs="Calibri Light"/>
            <w:i/>
            <w:color w:val="auto"/>
            <w:szCs w:val="22"/>
          </w:rPr>
          <w:t>International comparison of industry productivity</w:t>
        </w:r>
      </w:hyperlink>
      <w:r w:rsidRPr="00211BAA">
        <w:t>, Treasury Round Up.</w:t>
      </w:r>
    </w:p>
    <w:sectPr w:rsidR="00F836EC" w:rsidRPr="0081685C" w:rsidSect="00DC3595">
      <w:headerReference w:type="first" r:id="rId90"/>
      <w:footerReference w:type="first" r:id="rId91"/>
      <w:pgSz w:w="11906" w:h="16838" w:code="9"/>
      <w:pgMar w:top="1843" w:right="1418" w:bottom="1560"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D4101" w14:textId="77777777" w:rsidR="00D975A0" w:rsidRDefault="00D975A0" w:rsidP="0066679A">
      <w:r>
        <w:separator/>
      </w:r>
    </w:p>
  </w:endnote>
  <w:endnote w:type="continuationSeparator" w:id="0">
    <w:p w14:paraId="4CF8741B" w14:textId="77777777" w:rsidR="00D975A0" w:rsidRDefault="00D975A0" w:rsidP="0066679A">
      <w:r>
        <w:continuationSeparator/>
      </w:r>
    </w:p>
  </w:endnote>
  <w:endnote w:type="continuationNotice" w:id="1">
    <w:p w14:paraId="5E427157" w14:textId="77777777" w:rsidR="00D975A0" w:rsidRDefault="00D975A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E57D" w14:textId="76A18C85" w:rsidR="00165908" w:rsidRPr="00165908" w:rsidRDefault="00165908" w:rsidP="0066679A">
    <w:pPr>
      <w:pStyle w:val="FooterOdd"/>
      <w:rPr>
        <w:sz w:val="22"/>
      </w:rPr>
    </w:pPr>
    <w:r w:rsidRPr="00103F3C">
      <w:rPr>
        <w:noProof/>
        <w:position w:val="-8"/>
      </w:rPr>
      <w:drawing>
        <wp:inline distT="0" distB="0" distL="0" distR="0" wp14:anchorId="43645398" wp14:editId="7AE7C090">
          <wp:extent cx="1324800" cy="201600"/>
          <wp:effectExtent l="0" t="0" r="0" b="8255"/>
          <wp:docPr id="631335867" name="Picture 631335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t xml:space="preserve"> </w:t>
    </w:r>
    <w:r>
      <w:fldChar w:fldCharType="begin"/>
    </w:r>
    <w:r>
      <w:instrText xml:space="preserve"> PAGE   \* MERGEFORMAT </w:instrText>
    </w:r>
    <w:r>
      <w:fldChar w:fldCharType="separate"/>
    </w:r>
    <w: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EB8ED" w14:textId="6511DA96" w:rsidR="00AB580F" w:rsidRPr="005B4CD5" w:rsidRDefault="00EF2FEB" w:rsidP="00104A93">
    <w:pPr>
      <w:jc w:val="right"/>
    </w:pPr>
    <w:r w:rsidRPr="00103F3C">
      <w:rPr>
        <w:noProof/>
        <w:position w:val="-8"/>
      </w:rPr>
      <w:drawing>
        <wp:anchor distT="0" distB="0" distL="114300" distR="114300" simplePos="0" relativeHeight="251658243" behindDoc="0" locked="0" layoutInCell="1" allowOverlap="1" wp14:anchorId="78332103" wp14:editId="2FB553F6">
          <wp:simplePos x="0" y="0"/>
          <wp:positionH relativeFrom="column">
            <wp:posOffset>-162598</wp:posOffset>
          </wp:positionH>
          <wp:positionV relativeFrom="page">
            <wp:posOffset>10002773</wp:posOffset>
          </wp:positionV>
          <wp:extent cx="1324610" cy="201295"/>
          <wp:effectExtent l="0" t="0" r="8890" b="8255"/>
          <wp:wrapSquare wrapText="bothSides"/>
          <wp:docPr id="1855511038" name="Picture 1855511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610" cy="201295"/>
                  </a:xfrm>
                  <a:prstGeom prst="rect">
                    <a:avLst/>
                  </a:prstGeom>
                </pic:spPr>
              </pic:pic>
            </a:graphicData>
          </a:graphic>
        </wp:anchor>
      </w:drawing>
    </w:r>
    <w:r>
      <w:tab/>
    </w:r>
    <w:r w:rsidRPr="00104A93">
      <w:rPr>
        <w:sz w:val="20"/>
        <w:szCs w:val="18"/>
      </w:rPr>
      <w:fldChar w:fldCharType="begin"/>
    </w:r>
    <w:r w:rsidRPr="00104A93">
      <w:rPr>
        <w:sz w:val="20"/>
        <w:szCs w:val="18"/>
      </w:rPr>
      <w:instrText xml:space="preserve"> PAGE   \* MERGEFORMAT </w:instrText>
    </w:r>
    <w:r w:rsidRPr="00104A93">
      <w:rPr>
        <w:sz w:val="20"/>
        <w:szCs w:val="18"/>
      </w:rPr>
      <w:fldChar w:fldCharType="separate"/>
    </w:r>
    <w:r w:rsidRPr="00104A93">
      <w:rPr>
        <w:sz w:val="20"/>
        <w:szCs w:val="18"/>
      </w:rPr>
      <w:t>1</w:t>
    </w:r>
    <w:r w:rsidRPr="00104A93">
      <w:rPr>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006C" w14:textId="2898C08A" w:rsidR="00AD268D" w:rsidRPr="005B4CD5" w:rsidRDefault="00EF2FEB" w:rsidP="005B4CD5">
    <w:pPr>
      <w:pStyle w:val="FooterOdd"/>
      <w:rPr>
        <w:sz w:val="22"/>
      </w:rPr>
    </w:pPr>
    <w:r w:rsidRPr="00103F3C">
      <w:rPr>
        <w:noProof/>
        <w:position w:val="-8"/>
      </w:rPr>
      <w:drawing>
        <wp:inline distT="0" distB="0" distL="0" distR="0" wp14:anchorId="78332103" wp14:editId="5C86760F">
          <wp:extent cx="1324800" cy="201600"/>
          <wp:effectExtent l="0" t="0" r="0" b="8255"/>
          <wp:docPr id="1287095101" name="Picture 1287095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F640F7" w:rsidRPr="00F640F7">
        <w:rPr>
          <w:b/>
          <w:bCs/>
          <w:noProof/>
          <w:lang w:val="en-US"/>
        </w:rPr>
        <w:t>About this submission</w:t>
      </w:r>
    </w:fldSimple>
    <w:r>
      <w:t xml:space="preserve"> | </w:t>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5E0BE" w14:textId="77777777" w:rsidR="00D975A0" w:rsidRDefault="00D975A0" w:rsidP="0066679A">
      <w:r>
        <w:separator/>
      </w:r>
    </w:p>
  </w:footnote>
  <w:footnote w:type="continuationSeparator" w:id="0">
    <w:p w14:paraId="39DA3772" w14:textId="77777777" w:rsidR="00D975A0" w:rsidRDefault="00D975A0" w:rsidP="0066679A">
      <w:r>
        <w:continuationSeparator/>
      </w:r>
    </w:p>
  </w:footnote>
  <w:footnote w:type="continuationNotice" w:id="1">
    <w:p w14:paraId="7363F3AF" w14:textId="77777777" w:rsidR="00D975A0" w:rsidRDefault="00D975A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84C9" w14:textId="6C12A4FF" w:rsidR="002452C3" w:rsidRPr="00926C97" w:rsidRDefault="002452C3" w:rsidP="00663937">
    <w:pPr>
      <w:pStyle w:val="Header"/>
      <w:jc w:val="left"/>
      <w:rPr>
        <w:rFonts w:ascii="Calibri" w:hAnsi="Calibri" w:cs="Calibri"/>
        <w:color w:val="FF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524A" w14:textId="77777777" w:rsidR="007611DB" w:rsidRDefault="007611DB" w:rsidP="0066679A">
    <w:pPr>
      <w:pStyle w:val="Header"/>
    </w:pPr>
    <w:r>
      <w:rPr>
        <w:noProof/>
      </w:rPr>
      <w:drawing>
        <wp:anchor distT="0" distB="0" distL="114300" distR="114300" simplePos="0" relativeHeight="251658240" behindDoc="1" locked="0" layoutInCell="1" allowOverlap="0" wp14:anchorId="149A19F7" wp14:editId="19EB26A4">
          <wp:simplePos x="0" y="0"/>
          <wp:positionH relativeFrom="margin">
            <wp:posOffset>-962025</wp:posOffset>
          </wp:positionH>
          <wp:positionV relativeFrom="page">
            <wp:posOffset>11430</wp:posOffset>
          </wp:positionV>
          <wp:extent cx="7599600" cy="1519200"/>
          <wp:effectExtent l="0" t="0" r="1905" b="5080"/>
          <wp:wrapNone/>
          <wp:docPr id="1331623742" name="Picture 1331623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9600" cy="151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19A9B" w14:textId="43D731C6" w:rsidR="008B0334" w:rsidRPr="00232FE0" w:rsidRDefault="00EF2FEB" w:rsidP="00232FE0">
    <w:pPr>
      <w:pStyle w:val="Header"/>
      <w:jc w:val="center"/>
      <w:rPr>
        <w:rFonts w:ascii="Calibri" w:hAnsi="Calibri" w:cs="Calibri"/>
        <w:color w:val="FF0000"/>
        <w:sz w:val="22"/>
        <w:szCs w:val="22"/>
      </w:rPr>
    </w:pPr>
    <w:r>
      <w:rPr>
        <w:noProof/>
      </w:rPr>
      <w:drawing>
        <wp:anchor distT="0" distB="0" distL="114300" distR="114300" simplePos="0" relativeHeight="251658242" behindDoc="1" locked="1" layoutInCell="1" allowOverlap="1" wp14:anchorId="6DFB773B" wp14:editId="631A04B3">
          <wp:simplePos x="0" y="0"/>
          <wp:positionH relativeFrom="page">
            <wp:posOffset>-23495</wp:posOffset>
          </wp:positionH>
          <wp:positionV relativeFrom="page">
            <wp:posOffset>11430</wp:posOffset>
          </wp:positionV>
          <wp:extent cx="7570470" cy="1043940"/>
          <wp:effectExtent l="0" t="0" r="0" b="3810"/>
          <wp:wrapNone/>
          <wp:docPr id="580451253" name="Picture 580451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D0B31" w14:textId="06693781" w:rsidR="00AD268D" w:rsidRDefault="00EF2FEB">
    <w:pPr>
      <w:pStyle w:val="Header"/>
    </w:pPr>
    <w:r>
      <w:rPr>
        <w:noProof/>
      </w:rPr>
      <w:drawing>
        <wp:anchor distT="0" distB="0" distL="114300" distR="114300" simplePos="0" relativeHeight="251658241" behindDoc="1" locked="1" layoutInCell="1" allowOverlap="1" wp14:anchorId="6DFB773B" wp14:editId="631A04B3">
          <wp:simplePos x="0" y="0"/>
          <wp:positionH relativeFrom="page">
            <wp:posOffset>-23495</wp:posOffset>
          </wp:positionH>
          <wp:positionV relativeFrom="page">
            <wp:posOffset>11430</wp:posOffset>
          </wp:positionV>
          <wp:extent cx="7570470" cy="1043940"/>
          <wp:effectExtent l="0" t="0" r="0" b="3810"/>
          <wp:wrapNone/>
          <wp:docPr id="1402214168" name="Picture 1402214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C246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66C0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C4B0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2806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D2A0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068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0C71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D02A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F25D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6C68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126CE"/>
    <w:multiLevelType w:val="multilevel"/>
    <w:tmpl w:val="7C38E26A"/>
    <w:lvl w:ilvl="0">
      <w:start w:val="1"/>
      <w:numFmt w:val="bullet"/>
      <w:lvlText w:val=""/>
      <w:lvlJc w:val="left"/>
      <w:pPr>
        <w:tabs>
          <w:tab w:val="num" w:pos="1040"/>
        </w:tabs>
        <w:ind w:left="1040" w:hanging="520"/>
      </w:pPr>
      <w:rPr>
        <w:rFonts w:ascii="Symbol" w:hAnsi="Symbol" w:hint="default"/>
      </w:rPr>
    </w:lvl>
    <w:lvl w:ilvl="1">
      <w:start w:val="1"/>
      <w:numFmt w:val="bullet"/>
      <w:lvlText w:val="–"/>
      <w:lvlJc w:val="left"/>
      <w:pPr>
        <w:tabs>
          <w:tab w:val="num" w:pos="1560"/>
        </w:tabs>
        <w:ind w:left="1560" w:hanging="520"/>
      </w:pPr>
      <w:rPr>
        <w:rFonts w:ascii="Times New Roman" w:hAnsi="Times New Roman" w:cs="Times New Roman"/>
      </w:rPr>
    </w:lvl>
    <w:lvl w:ilvl="2">
      <w:start w:val="1"/>
      <w:numFmt w:val="bullet"/>
      <w:lvlText w:val=":"/>
      <w:lvlJc w:val="left"/>
      <w:pPr>
        <w:tabs>
          <w:tab w:val="num" w:pos="2080"/>
        </w:tabs>
        <w:ind w:left="2080" w:hanging="520"/>
      </w:pPr>
      <w:rPr>
        <w:rFonts w:ascii="Times New Roman" w:hAnsi="Times New Roman" w:cs="Times New Roman"/>
      </w:rPr>
    </w:lvl>
    <w:lvl w:ilvl="3">
      <w:start w:val="1"/>
      <w:numFmt w:val="decimal"/>
      <w:lvlText w:val="(%4)"/>
      <w:lvlJc w:val="left"/>
      <w:pPr>
        <w:ind w:left="2480" w:hanging="360"/>
      </w:pPr>
    </w:lvl>
    <w:lvl w:ilvl="4">
      <w:start w:val="1"/>
      <w:numFmt w:val="lowerLetter"/>
      <w:lvlText w:val="(%5)"/>
      <w:lvlJc w:val="left"/>
      <w:pPr>
        <w:ind w:left="2840" w:hanging="360"/>
      </w:pPr>
    </w:lvl>
    <w:lvl w:ilvl="5">
      <w:start w:val="1"/>
      <w:numFmt w:val="lowerRoman"/>
      <w:lvlText w:val="(%6)"/>
      <w:lvlJc w:val="left"/>
      <w:pPr>
        <w:ind w:left="3200" w:hanging="360"/>
      </w:pPr>
    </w:lvl>
    <w:lvl w:ilvl="6">
      <w:start w:val="1"/>
      <w:numFmt w:val="decimal"/>
      <w:lvlText w:val="%7."/>
      <w:lvlJc w:val="left"/>
      <w:pPr>
        <w:ind w:left="3560" w:hanging="360"/>
      </w:pPr>
    </w:lvl>
    <w:lvl w:ilvl="7">
      <w:start w:val="1"/>
      <w:numFmt w:val="lowerLetter"/>
      <w:lvlText w:val="%8."/>
      <w:lvlJc w:val="left"/>
      <w:pPr>
        <w:ind w:left="3920" w:hanging="360"/>
      </w:pPr>
    </w:lvl>
    <w:lvl w:ilvl="8">
      <w:start w:val="1"/>
      <w:numFmt w:val="lowerRoman"/>
      <w:lvlText w:val="%9."/>
      <w:lvlJc w:val="left"/>
      <w:pPr>
        <w:ind w:left="4280" w:hanging="360"/>
      </w:pPr>
    </w:lvl>
  </w:abstractNum>
  <w:abstractNum w:abstractNumId="11" w15:restartNumberingAfterBreak="0">
    <w:nsid w:val="03C415C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625B92"/>
    <w:multiLevelType w:val="hybridMultilevel"/>
    <w:tmpl w:val="4516DB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042BC9"/>
    <w:multiLevelType w:val="hybridMultilevel"/>
    <w:tmpl w:val="33E0A9F6"/>
    <w:lvl w:ilvl="0" w:tplc="54969354">
      <w:start w:val="1"/>
      <w:numFmt w:val="decimal"/>
      <w:lvlText w:val="%1."/>
      <w:lvlJc w:val="left"/>
      <w:pPr>
        <w:ind w:left="737" w:hanging="73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953D68"/>
    <w:multiLevelType w:val="multilevel"/>
    <w:tmpl w:val="0E868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C00460"/>
    <w:multiLevelType w:val="hybridMultilevel"/>
    <w:tmpl w:val="8E40C3F0"/>
    <w:lvl w:ilvl="0" w:tplc="162A9B12">
      <w:start w:val="1"/>
      <w:numFmt w:val="decimal"/>
      <w:lvlText w:val="%1."/>
      <w:lvlJc w:val="left"/>
      <w:pPr>
        <w:tabs>
          <w:tab w:val="num" w:pos="567"/>
        </w:tabs>
        <w:ind w:left="567" w:hanging="567"/>
      </w:pPr>
      <w:rPr>
        <w:rFonts w:hint="default"/>
      </w:rPr>
    </w:lvl>
    <w:lvl w:ilvl="1" w:tplc="7C565BF8" w:tentative="1">
      <w:start w:val="1"/>
      <w:numFmt w:val="lowerLetter"/>
      <w:lvlText w:val="%2."/>
      <w:lvlJc w:val="left"/>
      <w:pPr>
        <w:ind w:left="1440" w:hanging="360"/>
      </w:pPr>
    </w:lvl>
    <w:lvl w:ilvl="2" w:tplc="C2361B0A" w:tentative="1">
      <w:start w:val="1"/>
      <w:numFmt w:val="lowerRoman"/>
      <w:lvlText w:val="%3."/>
      <w:lvlJc w:val="right"/>
      <w:pPr>
        <w:ind w:left="2160" w:hanging="180"/>
      </w:pPr>
    </w:lvl>
    <w:lvl w:ilvl="3" w:tplc="A6466A80" w:tentative="1">
      <w:start w:val="1"/>
      <w:numFmt w:val="decimal"/>
      <w:lvlText w:val="%4."/>
      <w:lvlJc w:val="left"/>
      <w:pPr>
        <w:ind w:left="2880" w:hanging="360"/>
      </w:pPr>
    </w:lvl>
    <w:lvl w:ilvl="4" w:tplc="077C74D6" w:tentative="1">
      <w:start w:val="1"/>
      <w:numFmt w:val="lowerLetter"/>
      <w:lvlText w:val="%5."/>
      <w:lvlJc w:val="left"/>
      <w:pPr>
        <w:ind w:left="3600" w:hanging="360"/>
      </w:pPr>
    </w:lvl>
    <w:lvl w:ilvl="5" w:tplc="ABC2C4D0" w:tentative="1">
      <w:start w:val="1"/>
      <w:numFmt w:val="lowerRoman"/>
      <w:lvlText w:val="%6."/>
      <w:lvlJc w:val="right"/>
      <w:pPr>
        <w:ind w:left="4320" w:hanging="180"/>
      </w:pPr>
    </w:lvl>
    <w:lvl w:ilvl="6" w:tplc="0A7C9030" w:tentative="1">
      <w:start w:val="1"/>
      <w:numFmt w:val="decimal"/>
      <w:lvlText w:val="%7."/>
      <w:lvlJc w:val="left"/>
      <w:pPr>
        <w:ind w:left="5040" w:hanging="360"/>
      </w:pPr>
    </w:lvl>
    <w:lvl w:ilvl="7" w:tplc="0F1E65A8" w:tentative="1">
      <w:start w:val="1"/>
      <w:numFmt w:val="lowerLetter"/>
      <w:lvlText w:val="%8."/>
      <w:lvlJc w:val="left"/>
      <w:pPr>
        <w:ind w:left="5760" w:hanging="360"/>
      </w:pPr>
    </w:lvl>
    <w:lvl w:ilvl="8" w:tplc="495246F6" w:tentative="1">
      <w:start w:val="1"/>
      <w:numFmt w:val="lowerRoman"/>
      <w:lvlText w:val="%9."/>
      <w:lvlJc w:val="right"/>
      <w:pPr>
        <w:ind w:left="6480" w:hanging="180"/>
      </w:pPr>
    </w:lvl>
  </w:abstractNum>
  <w:abstractNum w:abstractNumId="16" w15:restartNumberingAfterBreak="0">
    <w:nsid w:val="17DF7717"/>
    <w:multiLevelType w:val="multilevel"/>
    <w:tmpl w:val="B91AC3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A6579F"/>
    <w:multiLevelType w:val="hybridMultilevel"/>
    <w:tmpl w:val="3CB450D8"/>
    <w:lvl w:ilvl="0" w:tplc="7BCC9D52">
      <w:start w:val="1"/>
      <w:numFmt w:val="bullet"/>
      <w:lvlText w:val=""/>
      <w:lvlJc w:val="left"/>
      <w:pPr>
        <w:tabs>
          <w:tab w:val="num" w:pos="360"/>
        </w:tabs>
        <w:ind w:left="360" w:hanging="360"/>
      </w:pPr>
      <w:rPr>
        <w:rFonts w:ascii="Symbol" w:hAnsi="Symbol" w:hint="default"/>
      </w:rPr>
    </w:lvl>
    <w:lvl w:ilvl="1" w:tplc="CB0AF8A6">
      <w:start w:val="1"/>
      <w:numFmt w:val="bullet"/>
      <w:lvlText w:val=""/>
      <w:lvlJc w:val="left"/>
      <w:pPr>
        <w:tabs>
          <w:tab w:val="num" w:pos="606"/>
        </w:tabs>
        <w:ind w:left="1003" w:hanging="283"/>
      </w:pPr>
      <w:rPr>
        <w:rFonts w:ascii="Symbol" w:hAnsi="Symbol" w:hint="default"/>
        <w:color w:val="auto"/>
        <w:sz w:val="24"/>
        <w:szCs w:val="20"/>
      </w:rPr>
    </w:lvl>
    <w:lvl w:ilvl="2" w:tplc="8FAE755C">
      <w:start w:val="1"/>
      <w:numFmt w:val="bullet"/>
      <w:lvlText w:val="o"/>
      <w:lvlJc w:val="left"/>
      <w:pPr>
        <w:tabs>
          <w:tab w:val="num" w:pos="1800"/>
        </w:tabs>
        <w:ind w:left="1800" w:hanging="360"/>
      </w:pPr>
      <w:rPr>
        <w:rFonts w:ascii="Courier New" w:hAnsi="Courier New" w:cs="Courier New" w:hint="default"/>
      </w:rPr>
    </w:lvl>
    <w:lvl w:ilvl="3" w:tplc="E7124D7A">
      <w:start w:val="1"/>
      <w:numFmt w:val="decimal"/>
      <w:lvlText w:val="%4."/>
      <w:lvlJc w:val="left"/>
      <w:pPr>
        <w:tabs>
          <w:tab w:val="num" w:pos="2880"/>
        </w:tabs>
        <w:ind w:left="2880" w:hanging="360"/>
      </w:pPr>
    </w:lvl>
    <w:lvl w:ilvl="4" w:tplc="A41C45FC">
      <w:start w:val="1"/>
      <w:numFmt w:val="decimal"/>
      <w:lvlText w:val="%5."/>
      <w:lvlJc w:val="left"/>
      <w:pPr>
        <w:tabs>
          <w:tab w:val="num" w:pos="3600"/>
        </w:tabs>
        <w:ind w:left="3600" w:hanging="360"/>
      </w:pPr>
    </w:lvl>
    <w:lvl w:ilvl="5" w:tplc="583E9D2E">
      <w:start w:val="1"/>
      <w:numFmt w:val="decimal"/>
      <w:lvlText w:val="%6."/>
      <w:lvlJc w:val="left"/>
      <w:pPr>
        <w:tabs>
          <w:tab w:val="num" w:pos="4320"/>
        </w:tabs>
        <w:ind w:left="4320" w:hanging="360"/>
      </w:pPr>
    </w:lvl>
    <w:lvl w:ilvl="6" w:tplc="59E62FD8">
      <w:start w:val="1"/>
      <w:numFmt w:val="decimal"/>
      <w:lvlText w:val="%7."/>
      <w:lvlJc w:val="left"/>
      <w:pPr>
        <w:tabs>
          <w:tab w:val="num" w:pos="5040"/>
        </w:tabs>
        <w:ind w:left="5040" w:hanging="360"/>
      </w:pPr>
    </w:lvl>
    <w:lvl w:ilvl="7" w:tplc="E376A76C">
      <w:start w:val="1"/>
      <w:numFmt w:val="decimal"/>
      <w:lvlText w:val="%8."/>
      <w:lvlJc w:val="left"/>
      <w:pPr>
        <w:tabs>
          <w:tab w:val="num" w:pos="5760"/>
        </w:tabs>
        <w:ind w:left="5760" w:hanging="360"/>
      </w:pPr>
    </w:lvl>
    <w:lvl w:ilvl="8" w:tplc="7E7265CC">
      <w:start w:val="1"/>
      <w:numFmt w:val="decimal"/>
      <w:lvlText w:val="%9."/>
      <w:lvlJc w:val="left"/>
      <w:pPr>
        <w:tabs>
          <w:tab w:val="num" w:pos="6480"/>
        </w:tabs>
        <w:ind w:left="6480" w:hanging="360"/>
      </w:pPr>
    </w:lvl>
  </w:abstractNum>
  <w:abstractNum w:abstractNumId="18" w15:restartNumberingAfterBreak="0">
    <w:nsid w:val="19521486"/>
    <w:multiLevelType w:val="hybridMultilevel"/>
    <w:tmpl w:val="F912D5E6"/>
    <w:lvl w:ilvl="0" w:tplc="6FA2FAF0">
      <w:start w:val="1"/>
      <w:numFmt w:val="decimal"/>
      <w:lvlText w:val="%1."/>
      <w:lvlJc w:val="left"/>
      <w:pPr>
        <w:ind w:left="1020" w:hanging="360"/>
      </w:pPr>
    </w:lvl>
    <w:lvl w:ilvl="1" w:tplc="681A2320">
      <w:start w:val="1"/>
      <w:numFmt w:val="decimal"/>
      <w:lvlText w:val="%2."/>
      <w:lvlJc w:val="left"/>
      <w:pPr>
        <w:ind w:left="1020" w:hanging="360"/>
      </w:pPr>
    </w:lvl>
    <w:lvl w:ilvl="2" w:tplc="FA507746">
      <w:start w:val="1"/>
      <w:numFmt w:val="decimal"/>
      <w:lvlText w:val="%3."/>
      <w:lvlJc w:val="left"/>
      <w:pPr>
        <w:ind w:left="1020" w:hanging="360"/>
      </w:pPr>
    </w:lvl>
    <w:lvl w:ilvl="3" w:tplc="5D04BE26">
      <w:start w:val="1"/>
      <w:numFmt w:val="decimal"/>
      <w:lvlText w:val="%4."/>
      <w:lvlJc w:val="left"/>
      <w:pPr>
        <w:ind w:left="1020" w:hanging="360"/>
      </w:pPr>
    </w:lvl>
    <w:lvl w:ilvl="4" w:tplc="60505A1A">
      <w:start w:val="1"/>
      <w:numFmt w:val="decimal"/>
      <w:lvlText w:val="%5."/>
      <w:lvlJc w:val="left"/>
      <w:pPr>
        <w:ind w:left="1020" w:hanging="360"/>
      </w:pPr>
    </w:lvl>
    <w:lvl w:ilvl="5" w:tplc="1D746680">
      <w:start w:val="1"/>
      <w:numFmt w:val="decimal"/>
      <w:lvlText w:val="%6."/>
      <w:lvlJc w:val="left"/>
      <w:pPr>
        <w:ind w:left="1020" w:hanging="360"/>
      </w:pPr>
    </w:lvl>
    <w:lvl w:ilvl="6" w:tplc="B1DE1D60">
      <w:start w:val="1"/>
      <w:numFmt w:val="decimal"/>
      <w:lvlText w:val="%7."/>
      <w:lvlJc w:val="left"/>
      <w:pPr>
        <w:ind w:left="1020" w:hanging="360"/>
      </w:pPr>
    </w:lvl>
    <w:lvl w:ilvl="7" w:tplc="4E36BD58">
      <w:start w:val="1"/>
      <w:numFmt w:val="decimal"/>
      <w:lvlText w:val="%8."/>
      <w:lvlJc w:val="left"/>
      <w:pPr>
        <w:ind w:left="1020" w:hanging="360"/>
      </w:pPr>
    </w:lvl>
    <w:lvl w:ilvl="8" w:tplc="6B32C530">
      <w:start w:val="1"/>
      <w:numFmt w:val="decimal"/>
      <w:lvlText w:val="%9."/>
      <w:lvlJc w:val="left"/>
      <w:pPr>
        <w:ind w:left="1020" w:hanging="360"/>
      </w:pPr>
    </w:lvl>
  </w:abstractNum>
  <w:abstractNum w:abstractNumId="19" w15:restartNumberingAfterBreak="0">
    <w:nsid w:val="19C960FD"/>
    <w:multiLevelType w:val="multilevel"/>
    <w:tmpl w:val="DF984770"/>
    <w:name w:val="OneLevelNumberedParagraphList"/>
    <w:lvl w:ilvl="0">
      <w:start w:val="1"/>
      <w:numFmt w:val="decimal"/>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20" w15:restartNumberingAfterBreak="0">
    <w:nsid w:val="20FE740D"/>
    <w:multiLevelType w:val="multilevel"/>
    <w:tmpl w:val="0D723674"/>
    <w:lvl w:ilvl="0">
      <w:start w:val="1"/>
      <w:numFmt w:val="bullet"/>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1" w15:restartNumberingAfterBreak="0">
    <w:nsid w:val="236A5BB3"/>
    <w:multiLevelType w:val="multilevel"/>
    <w:tmpl w:val="FA9E4CAC"/>
    <w:lvl w:ilvl="0">
      <w:start w:val="1"/>
      <w:numFmt w:val="decimal"/>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2" w15:restartNumberingAfterBreak="0">
    <w:nsid w:val="244237C5"/>
    <w:multiLevelType w:val="multilevel"/>
    <w:tmpl w:val="AB7C623E"/>
    <w:name w:val="StandardNumberedList"/>
    <w:lvl w:ilvl="0">
      <w:start w:val="1"/>
      <w:numFmt w:val="decimal"/>
      <w:lvlText w:val="%1."/>
      <w:lvlJc w:val="left"/>
      <w:pPr>
        <w:ind w:left="360" w:hanging="360"/>
      </w:pPr>
      <w:rPr>
        <w:b w:val="0"/>
        <w:i w:val="0"/>
      </w:rPr>
    </w:lvl>
    <w:lvl w:ilvl="1">
      <w:start w:val="1"/>
      <w:numFmt w:val="decimal"/>
      <w:pStyle w:val="NumberedParagraph"/>
      <w:lvlText w:val="%1.%2."/>
      <w:lvlJc w:val="left"/>
      <w:pPr>
        <w:ind w:left="574"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rPr>
        <w:b w:val="0"/>
        <w:i w:val="0"/>
      </w:rPr>
    </w:lvl>
    <w:lvl w:ilvl="4">
      <w:start w:val="1"/>
      <w:numFmt w:val="decimal"/>
      <w:lvlText w:val="%1.%2.%3.%4.%5."/>
      <w:lvlJc w:val="left"/>
      <w:pPr>
        <w:ind w:left="2232" w:hanging="792"/>
      </w:pPr>
      <w:rPr>
        <w:b w:val="0"/>
        <w:i w:val="0"/>
      </w:rPr>
    </w:lvl>
    <w:lvl w:ilvl="5">
      <w:start w:val="1"/>
      <w:numFmt w:val="decimal"/>
      <w:lvlText w:val="%1.%2.%3.%4.%5.%6."/>
      <w:lvlJc w:val="left"/>
      <w:pPr>
        <w:ind w:left="2736" w:hanging="936"/>
      </w:pPr>
      <w:rPr>
        <w:b w:val="0"/>
        <w:i w:val="0"/>
      </w:rPr>
    </w:lvl>
    <w:lvl w:ilvl="6">
      <w:start w:val="1"/>
      <w:numFmt w:val="decimal"/>
      <w:lvlText w:val="%1.%2.%3.%4.%5.%6.%7."/>
      <w:lvlJc w:val="left"/>
      <w:pPr>
        <w:ind w:left="3240" w:hanging="1080"/>
      </w:pPr>
      <w:rPr>
        <w:b w:val="0"/>
        <w:i w:val="0"/>
      </w:rPr>
    </w:lvl>
    <w:lvl w:ilvl="7">
      <w:start w:val="1"/>
      <w:numFmt w:val="decimal"/>
      <w:lvlText w:val="%1.%2.%3.%4.%5.%6.%7.%8."/>
      <w:lvlJc w:val="left"/>
      <w:pPr>
        <w:ind w:left="3744" w:hanging="1224"/>
      </w:pPr>
      <w:rPr>
        <w:b w:val="0"/>
        <w:i w:val="0"/>
      </w:rPr>
    </w:lvl>
    <w:lvl w:ilvl="8">
      <w:start w:val="1"/>
      <w:numFmt w:val="decimal"/>
      <w:lvlText w:val="%1.%2.%3.%4.%5.%6.%7.%8.%9."/>
      <w:lvlJc w:val="left"/>
      <w:pPr>
        <w:ind w:left="4320" w:hanging="1440"/>
      </w:pPr>
      <w:rPr>
        <w:b w:val="0"/>
        <w:i w:val="0"/>
      </w:rPr>
    </w:lvl>
  </w:abstractNum>
  <w:abstractNum w:abstractNumId="23" w15:restartNumberingAfterBreak="0">
    <w:nsid w:val="25E45FA3"/>
    <w:multiLevelType w:val="hybridMultilevel"/>
    <w:tmpl w:val="8B3A9C1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15:restartNumberingAfterBreak="0">
    <w:nsid w:val="27440C8B"/>
    <w:multiLevelType w:val="multilevel"/>
    <w:tmpl w:val="25C43BF0"/>
    <w:name w:val="StandardBulletedList_"/>
    <w:lvl w:ilvl="0">
      <w:start w:val="1"/>
      <w:numFmt w:val="bullet"/>
      <w:lvlText w:val="•"/>
      <w:lvlJc w:val="left"/>
      <w:pPr>
        <w:tabs>
          <w:tab w:val="num" w:pos="425"/>
        </w:tabs>
        <w:ind w:left="425" w:hanging="425"/>
      </w:pPr>
      <w:rPr>
        <w:rFonts w:ascii="Times New Roman" w:hAnsi="Times New Roman" w:cs="Times New Roman"/>
        <w:b w:val="0"/>
        <w:i w:val="0"/>
      </w:rPr>
    </w:lvl>
    <w:lvl w:ilvl="1">
      <w:start w:val="1"/>
      <w:numFmt w:val="bullet"/>
      <w:lvlText w:val="–"/>
      <w:lvlJc w:val="left"/>
      <w:pPr>
        <w:tabs>
          <w:tab w:val="num" w:pos="850"/>
        </w:tabs>
        <w:ind w:left="850" w:hanging="425"/>
      </w:pPr>
      <w:rPr>
        <w:rFonts w:ascii="Times New Roman" w:hAnsi="Times New Roman" w:cs="Times New Roman"/>
        <w:b w:val="0"/>
        <w:i w:val="0"/>
      </w:rPr>
    </w:lvl>
    <w:lvl w:ilvl="2">
      <w:start w:val="1"/>
      <w:numFmt w:val="bullet"/>
      <w:lvlText w:val=":"/>
      <w:lvlJc w:val="left"/>
      <w:pPr>
        <w:tabs>
          <w:tab w:val="num" w:pos="1275"/>
        </w:tabs>
        <w:ind w:left="1275" w:hanging="425"/>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5"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7F46AAD"/>
    <w:multiLevelType w:val="multilevel"/>
    <w:tmpl w:val="20C6D62C"/>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A6D5F0C"/>
    <w:multiLevelType w:val="multilevel"/>
    <w:tmpl w:val="0D723674"/>
    <w:lvl w:ilvl="0">
      <w:start w:val="1"/>
      <w:numFmt w:val="bullet"/>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8" w15:restartNumberingAfterBreak="0">
    <w:nsid w:val="2D665DFA"/>
    <w:multiLevelType w:val="singleLevel"/>
    <w:tmpl w:val="6C485EAA"/>
    <w:lvl w:ilvl="0">
      <w:start w:val="1"/>
      <w:numFmt w:val="lowerLetter"/>
      <w:lvlText w:val="(%1)"/>
      <w:lvlJc w:val="left"/>
      <w:pPr>
        <w:ind w:left="360" w:hanging="360"/>
      </w:pPr>
      <w:rPr>
        <w:rFonts w:ascii="Calibri" w:hAnsi="Calibri" w:hint="default"/>
        <w:b w:val="0"/>
        <w:i w:val="0"/>
        <w:sz w:val="22"/>
      </w:rPr>
    </w:lvl>
  </w:abstractNum>
  <w:abstractNum w:abstractNumId="29" w15:restartNumberingAfterBreak="0">
    <w:nsid w:val="34653265"/>
    <w:multiLevelType w:val="hybridMultilevel"/>
    <w:tmpl w:val="02CC8C0C"/>
    <w:lvl w:ilvl="0" w:tplc="3A2C37A0">
      <w:start w:val="1"/>
      <w:numFmt w:val="lowerLetter"/>
      <w:lvlText w:val="(%1)"/>
      <w:lvlJc w:val="left"/>
      <w:pPr>
        <w:ind w:left="360" w:hanging="360"/>
      </w:pPr>
      <w:rPr>
        <w:rFonts w:ascii="Calibri" w:hAnsi="Calibri" w:hint="default"/>
        <w:b w:val="0"/>
        <w:i w:val="0"/>
        <w:sz w:val="22"/>
      </w:rPr>
    </w:lvl>
    <w:lvl w:ilvl="1" w:tplc="50D4609C" w:tentative="1">
      <w:start w:val="1"/>
      <w:numFmt w:val="lowerLetter"/>
      <w:lvlText w:val="%2."/>
      <w:lvlJc w:val="left"/>
      <w:pPr>
        <w:ind w:left="1440" w:hanging="360"/>
      </w:pPr>
    </w:lvl>
    <w:lvl w:ilvl="2" w:tplc="AE52361E" w:tentative="1">
      <w:start w:val="1"/>
      <w:numFmt w:val="lowerRoman"/>
      <w:lvlText w:val="%3."/>
      <w:lvlJc w:val="right"/>
      <w:pPr>
        <w:ind w:left="2160" w:hanging="180"/>
      </w:pPr>
    </w:lvl>
    <w:lvl w:ilvl="3" w:tplc="982A0000" w:tentative="1">
      <w:start w:val="1"/>
      <w:numFmt w:val="decimal"/>
      <w:lvlText w:val="%4."/>
      <w:lvlJc w:val="left"/>
      <w:pPr>
        <w:ind w:left="2880" w:hanging="360"/>
      </w:pPr>
    </w:lvl>
    <w:lvl w:ilvl="4" w:tplc="5F50E50A" w:tentative="1">
      <w:start w:val="1"/>
      <w:numFmt w:val="lowerLetter"/>
      <w:lvlText w:val="%5."/>
      <w:lvlJc w:val="left"/>
      <w:pPr>
        <w:ind w:left="3600" w:hanging="360"/>
      </w:pPr>
    </w:lvl>
    <w:lvl w:ilvl="5" w:tplc="54AC9B2E" w:tentative="1">
      <w:start w:val="1"/>
      <w:numFmt w:val="lowerRoman"/>
      <w:lvlText w:val="%6."/>
      <w:lvlJc w:val="right"/>
      <w:pPr>
        <w:ind w:left="4320" w:hanging="180"/>
      </w:pPr>
    </w:lvl>
    <w:lvl w:ilvl="6" w:tplc="BB08B7B8" w:tentative="1">
      <w:start w:val="1"/>
      <w:numFmt w:val="decimal"/>
      <w:lvlText w:val="%7."/>
      <w:lvlJc w:val="left"/>
      <w:pPr>
        <w:ind w:left="5040" w:hanging="360"/>
      </w:pPr>
    </w:lvl>
    <w:lvl w:ilvl="7" w:tplc="AE6045E2" w:tentative="1">
      <w:start w:val="1"/>
      <w:numFmt w:val="lowerLetter"/>
      <w:lvlText w:val="%8."/>
      <w:lvlJc w:val="left"/>
      <w:pPr>
        <w:ind w:left="5760" w:hanging="360"/>
      </w:pPr>
    </w:lvl>
    <w:lvl w:ilvl="8" w:tplc="64C8BEE4" w:tentative="1">
      <w:start w:val="1"/>
      <w:numFmt w:val="lowerRoman"/>
      <w:lvlText w:val="%9."/>
      <w:lvlJc w:val="right"/>
      <w:pPr>
        <w:ind w:left="6480" w:hanging="180"/>
      </w:pPr>
    </w:lvl>
  </w:abstractNum>
  <w:abstractNum w:abstractNumId="30" w15:restartNumberingAfterBreak="0">
    <w:nsid w:val="34F56A8C"/>
    <w:multiLevelType w:val="multilevel"/>
    <w:tmpl w:val="D10E9CF6"/>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64C31B0"/>
    <w:multiLevelType w:val="multilevel"/>
    <w:tmpl w:val="D10E9CF6"/>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BDE01D0"/>
    <w:multiLevelType w:val="multilevel"/>
    <w:tmpl w:val="43846F94"/>
    <w:lvl w:ilvl="0">
      <w:start w:val="1"/>
      <w:numFmt w:val="bullet"/>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3" w15:restartNumberingAfterBreak="0">
    <w:nsid w:val="3C857931"/>
    <w:multiLevelType w:val="singleLevel"/>
    <w:tmpl w:val="0C09000F"/>
    <w:lvl w:ilvl="0">
      <w:start w:val="1"/>
      <w:numFmt w:val="decimal"/>
      <w:lvlText w:val="%1."/>
      <w:lvlJc w:val="left"/>
      <w:pPr>
        <w:tabs>
          <w:tab w:val="num" w:pos="720"/>
        </w:tabs>
        <w:ind w:left="720" w:hanging="360"/>
      </w:pPr>
    </w:lvl>
  </w:abstractNum>
  <w:abstractNum w:abstractNumId="34" w15:restartNumberingAfterBreak="0">
    <w:nsid w:val="3D09368A"/>
    <w:multiLevelType w:val="multilevel"/>
    <w:tmpl w:val="0FF4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8B22D4"/>
    <w:multiLevelType w:val="singleLevel"/>
    <w:tmpl w:val="0C09000F"/>
    <w:lvl w:ilvl="0">
      <w:start w:val="1"/>
      <w:numFmt w:val="decimal"/>
      <w:lvlText w:val="%1."/>
      <w:lvlJc w:val="left"/>
      <w:pPr>
        <w:tabs>
          <w:tab w:val="num" w:pos="720"/>
        </w:tabs>
        <w:ind w:left="720" w:hanging="360"/>
      </w:pPr>
    </w:lvl>
  </w:abstractNum>
  <w:abstractNum w:abstractNumId="36" w15:restartNumberingAfterBreak="0">
    <w:nsid w:val="45895885"/>
    <w:multiLevelType w:val="hybridMultilevel"/>
    <w:tmpl w:val="3FC612CC"/>
    <w:lvl w:ilvl="0" w:tplc="81AC4622">
      <w:start w:val="1"/>
      <w:numFmt w:val="bullet"/>
      <w:lvlText w:val=""/>
      <w:lvlJc w:val="left"/>
      <w:pPr>
        <w:ind w:left="720" w:hanging="360"/>
      </w:pPr>
      <w:rPr>
        <w:rFonts w:ascii="Symbol" w:hAnsi="Symbol" w:hint="default"/>
      </w:rPr>
    </w:lvl>
    <w:lvl w:ilvl="1" w:tplc="E2B271A6" w:tentative="1">
      <w:start w:val="1"/>
      <w:numFmt w:val="bullet"/>
      <w:lvlText w:val="o"/>
      <w:lvlJc w:val="left"/>
      <w:pPr>
        <w:ind w:left="1440" w:hanging="360"/>
      </w:pPr>
      <w:rPr>
        <w:rFonts w:ascii="Courier New" w:hAnsi="Courier New" w:cs="Courier New" w:hint="default"/>
      </w:rPr>
    </w:lvl>
    <w:lvl w:ilvl="2" w:tplc="52501F12" w:tentative="1">
      <w:start w:val="1"/>
      <w:numFmt w:val="bullet"/>
      <w:lvlText w:val=""/>
      <w:lvlJc w:val="left"/>
      <w:pPr>
        <w:ind w:left="2160" w:hanging="360"/>
      </w:pPr>
      <w:rPr>
        <w:rFonts w:ascii="Wingdings" w:hAnsi="Wingdings" w:hint="default"/>
      </w:rPr>
    </w:lvl>
    <w:lvl w:ilvl="3" w:tplc="7660AF82" w:tentative="1">
      <w:start w:val="1"/>
      <w:numFmt w:val="bullet"/>
      <w:lvlText w:val=""/>
      <w:lvlJc w:val="left"/>
      <w:pPr>
        <w:ind w:left="2880" w:hanging="360"/>
      </w:pPr>
      <w:rPr>
        <w:rFonts w:ascii="Symbol" w:hAnsi="Symbol" w:hint="default"/>
      </w:rPr>
    </w:lvl>
    <w:lvl w:ilvl="4" w:tplc="A1E8F0A2" w:tentative="1">
      <w:start w:val="1"/>
      <w:numFmt w:val="bullet"/>
      <w:lvlText w:val="o"/>
      <w:lvlJc w:val="left"/>
      <w:pPr>
        <w:ind w:left="3600" w:hanging="360"/>
      </w:pPr>
      <w:rPr>
        <w:rFonts w:ascii="Courier New" w:hAnsi="Courier New" w:cs="Courier New" w:hint="default"/>
      </w:rPr>
    </w:lvl>
    <w:lvl w:ilvl="5" w:tplc="1960EF4C" w:tentative="1">
      <w:start w:val="1"/>
      <w:numFmt w:val="bullet"/>
      <w:lvlText w:val=""/>
      <w:lvlJc w:val="left"/>
      <w:pPr>
        <w:ind w:left="4320" w:hanging="360"/>
      </w:pPr>
      <w:rPr>
        <w:rFonts w:ascii="Wingdings" w:hAnsi="Wingdings" w:hint="default"/>
      </w:rPr>
    </w:lvl>
    <w:lvl w:ilvl="6" w:tplc="BBC646F8" w:tentative="1">
      <w:start w:val="1"/>
      <w:numFmt w:val="bullet"/>
      <w:lvlText w:val=""/>
      <w:lvlJc w:val="left"/>
      <w:pPr>
        <w:ind w:left="5040" w:hanging="360"/>
      </w:pPr>
      <w:rPr>
        <w:rFonts w:ascii="Symbol" w:hAnsi="Symbol" w:hint="default"/>
      </w:rPr>
    </w:lvl>
    <w:lvl w:ilvl="7" w:tplc="2F064702" w:tentative="1">
      <w:start w:val="1"/>
      <w:numFmt w:val="bullet"/>
      <w:lvlText w:val="o"/>
      <w:lvlJc w:val="left"/>
      <w:pPr>
        <w:ind w:left="5760" w:hanging="360"/>
      </w:pPr>
      <w:rPr>
        <w:rFonts w:ascii="Courier New" w:hAnsi="Courier New" w:cs="Courier New" w:hint="default"/>
      </w:rPr>
    </w:lvl>
    <w:lvl w:ilvl="8" w:tplc="AB461892" w:tentative="1">
      <w:start w:val="1"/>
      <w:numFmt w:val="bullet"/>
      <w:lvlText w:val=""/>
      <w:lvlJc w:val="left"/>
      <w:pPr>
        <w:ind w:left="6480" w:hanging="360"/>
      </w:pPr>
      <w:rPr>
        <w:rFonts w:ascii="Wingdings" w:hAnsi="Wingdings" w:hint="default"/>
      </w:rPr>
    </w:lvl>
  </w:abstractNum>
  <w:abstractNum w:abstractNumId="37" w15:restartNumberingAfterBreak="0">
    <w:nsid w:val="470E210E"/>
    <w:multiLevelType w:val="hybridMultilevel"/>
    <w:tmpl w:val="A71EC6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9A501B9"/>
    <w:multiLevelType w:val="hybridMultilevel"/>
    <w:tmpl w:val="8C00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E06931"/>
    <w:multiLevelType w:val="singleLevel"/>
    <w:tmpl w:val="4366EF18"/>
    <w:name w:val="ChartTableFootnoteAlpha"/>
    <w:lvl w:ilvl="0">
      <w:start w:val="1"/>
      <w:numFmt w:val="lowerLetter"/>
      <w:lvlText w:val="(%1)"/>
      <w:lvlJc w:val="left"/>
      <w:pPr>
        <w:tabs>
          <w:tab w:val="num" w:pos="283"/>
        </w:tabs>
        <w:ind w:left="283" w:hanging="283"/>
      </w:pPr>
      <w:rPr>
        <w:rFonts w:ascii="Arial" w:hAnsi="Arial" w:cs="Arial" w:hint="default"/>
        <w:b w:val="0"/>
        <w:i w:val="0"/>
        <w:sz w:val="16"/>
      </w:rPr>
    </w:lvl>
  </w:abstractNum>
  <w:abstractNum w:abstractNumId="40" w15:restartNumberingAfterBreak="0">
    <w:nsid w:val="4EA025F7"/>
    <w:multiLevelType w:val="hybridMultilevel"/>
    <w:tmpl w:val="4ECC36D2"/>
    <w:lvl w:ilvl="0" w:tplc="64AC9808">
      <w:start w:val="1"/>
      <w:numFmt w:val="decimal"/>
      <w:lvlText w:val="%1."/>
      <w:lvlJc w:val="left"/>
      <w:pPr>
        <w:ind w:left="1020" w:hanging="360"/>
      </w:pPr>
    </w:lvl>
    <w:lvl w:ilvl="1" w:tplc="ECBC7916">
      <w:start w:val="1"/>
      <w:numFmt w:val="decimal"/>
      <w:lvlText w:val="%2."/>
      <w:lvlJc w:val="left"/>
      <w:pPr>
        <w:ind w:left="1020" w:hanging="360"/>
      </w:pPr>
    </w:lvl>
    <w:lvl w:ilvl="2" w:tplc="A70C1B38">
      <w:start w:val="1"/>
      <w:numFmt w:val="decimal"/>
      <w:lvlText w:val="%3."/>
      <w:lvlJc w:val="left"/>
      <w:pPr>
        <w:ind w:left="1020" w:hanging="360"/>
      </w:pPr>
    </w:lvl>
    <w:lvl w:ilvl="3" w:tplc="A1CA5578">
      <w:start w:val="1"/>
      <w:numFmt w:val="decimal"/>
      <w:lvlText w:val="%4."/>
      <w:lvlJc w:val="left"/>
      <w:pPr>
        <w:ind w:left="1020" w:hanging="360"/>
      </w:pPr>
    </w:lvl>
    <w:lvl w:ilvl="4" w:tplc="6A5E189C">
      <w:start w:val="1"/>
      <w:numFmt w:val="decimal"/>
      <w:lvlText w:val="%5."/>
      <w:lvlJc w:val="left"/>
      <w:pPr>
        <w:ind w:left="1020" w:hanging="360"/>
      </w:pPr>
    </w:lvl>
    <w:lvl w:ilvl="5" w:tplc="A0E649B2">
      <w:start w:val="1"/>
      <w:numFmt w:val="decimal"/>
      <w:lvlText w:val="%6."/>
      <w:lvlJc w:val="left"/>
      <w:pPr>
        <w:ind w:left="1020" w:hanging="360"/>
      </w:pPr>
    </w:lvl>
    <w:lvl w:ilvl="6" w:tplc="C0BA511A">
      <w:start w:val="1"/>
      <w:numFmt w:val="decimal"/>
      <w:lvlText w:val="%7."/>
      <w:lvlJc w:val="left"/>
      <w:pPr>
        <w:ind w:left="1020" w:hanging="360"/>
      </w:pPr>
    </w:lvl>
    <w:lvl w:ilvl="7" w:tplc="BC86D592">
      <w:start w:val="1"/>
      <w:numFmt w:val="decimal"/>
      <w:lvlText w:val="%8."/>
      <w:lvlJc w:val="left"/>
      <w:pPr>
        <w:ind w:left="1020" w:hanging="360"/>
      </w:pPr>
    </w:lvl>
    <w:lvl w:ilvl="8" w:tplc="F6FCA8F8">
      <w:start w:val="1"/>
      <w:numFmt w:val="decimal"/>
      <w:lvlText w:val="%9."/>
      <w:lvlJc w:val="left"/>
      <w:pPr>
        <w:ind w:left="1020" w:hanging="360"/>
      </w:pPr>
    </w:lvl>
  </w:abstractNum>
  <w:abstractNum w:abstractNumId="41" w15:restartNumberingAfterBreak="0">
    <w:nsid w:val="4F071285"/>
    <w:multiLevelType w:val="multilevel"/>
    <w:tmpl w:val="72F8140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35357C1"/>
    <w:multiLevelType w:val="singleLevel"/>
    <w:tmpl w:val="0C09000F"/>
    <w:lvl w:ilvl="0">
      <w:start w:val="1"/>
      <w:numFmt w:val="decimal"/>
      <w:lvlText w:val="%1."/>
      <w:lvlJc w:val="left"/>
      <w:pPr>
        <w:tabs>
          <w:tab w:val="num" w:pos="720"/>
        </w:tabs>
        <w:ind w:left="720" w:hanging="360"/>
      </w:pPr>
    </w:lvl>
  </w:abstractNum>
  <w:abstractNum w:abstractNumId="43" w15:restartNumberingAfterBreak="0">
    <w:nsid w:val="5421322E"/>
    <w:multiLevelType w:val="hybridMultilevel"/>
    <w:tmpl w:val="941C74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559A4BDC"/>
    <w:multiLevelType w:val="multilevel"/>
    <w:tmpl w:val="8FA67E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6C20CEE"/>
    <w:multiLevelType w:val="multilevel"/>
    <w:tmpl w:val="8904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70E7387"/>
    <w:multiLevelType w:val="hybridMultilevel"/>
    <w:tmpl w:val="A1C0AB8A"/>
    <w:lvl w:ilvl="0" w:tplc="54106F76">
      <w:start w:val="1"/>
      <w:numFmt w:val="bullet"/>
      <w:lvlText w:val=""/>
      <w:lvlJc w:val="left"/>
      <w:pPr>
        <w:ind w:left="720" w:hanging="360"/>
      </w:pPr>
      <w:rPr>
        <w:rFonts w:ascii="Symbol" w:hAnsi="Symbol"/>
      </w:rPr>
    </w:lvl>
    <w:lvl w:ilvl="1" w:tplc="75666B4C">
      <w:start w:val="1"/>
      <w:numFmt w:val="bullet"/>
      <w:lvlText w:val=""/>
      <w:lvlJc w:val="left"/>
      <w:pPr>
        <w:ind w:left="720" w:hanging="360"/>
      </w:pPr>
      <w:rPr>
        <w:rFonts w:ascii="Symbol" w:hAnsi="Symbol"/>
      </w:rPr>
    </w:lvl>
    <w:lvl w:ilvl="2" w:tplc="A4EED9B0">
      <w:start w:val="1"/>
      <w:numFmt w:val="bullet"/>
      <w:lvlText w:val=""/>
      <w:lvlJc w:val="left"/>
      <w:pPr>
        <w:ind w:left="720" w:hanging="360"/>
      </w:pPr>
      <w:rPr>
        <w:rFonts w:ascii="Symbol" w:hAnsi="Symbol"/>
      </w:rPr>
    </w:lvl>
    <w:lvl w:ilvl="3" w:tplc="F760E774">
      <w:start w:val="1"/>
      <w:numFmt w:val="bullet"/>
      <w:lvlText w:val=""/>
      <w:lvlJc w:val="left"/>
      <w:pPr>
        <w:ind w:left="720" w:hanging="360"/>
      </w:pPr>
      <w:rPr>
        <w:rFonts w:ascii="Symbol" w:hAnsi="Symbol"/>
      </w:rPr>
    </w:lvl>
    <w:lvl w:ilvl="4" w:tplc="FF3C5A1A">
      <w:start w:val="1"/>
      <w:numFmt w:val="bullet"/>
      <w:lvlText w:val=""/>
      <w:lvlJc w:val="left"/>
      <w:pPr>
        <w:ind w:left="720" w:hanging="360"/>
      </w:pPr>
      <w:rPr>
        <w:rFonts w:ascii="Symbol" w:hAnsi="Symbol"/>
      </w:rPr>
    </w:lvl>
    <w:lvl w:ilvl="5" w:tplc="EB76966C">
      <w:start w:val="1"/>
      <w:numFmt w:val="bullet"/>
      <w:lvlText w:val=""/>
      <w:lvlJc w:val="left"/>
      <w:pPr>
        <w:ind w:left="720" w:hanging="360"/>
      </w:pPr>
      <w:rPr>
        <w:rFonts w:ascii="Symbol" w:hAnsi="Symbol"/>
      </w:rPr>
    </w:lvl>
    <w:lvl w:ilvl="6" w:tplc="2A1003B8">
      <w:start w:val="1"/>
      <w:numFmt w:val="bullet"/>
      <w:lvlText w:val=""/>
      <w:lvlJc w:val="left"/>
      <w:pPr>
        <w:ind w:left="720" w:hanging="360"/>
      </w:pPr>
      <w:rPr>
        <w:rFonts w:ascii="Symbol" w:hAnsi="Symbol"/>
      </w:rPr>
    </w:lvl>
    <w:lvl w:ilvl="7" w:tplc="1F60ECD2">
      <w:start w:val="1"/>
      <w:numFmt w:val="bullet"/>
      <w:lvlText w:val=""/>
      <w:lvlJc w:val="left"/>
      <w:pPr>
        <w:ind w:left="720" w:hanging="360"/>
      </w:pPr>
      <w:rPr>
        <w:rFonts w:ascii="Symbol" w:hAnsi="Symbol"/>
      </w:rPr>
    </w:lvl>
    <w:lvl w:ilvl="8" w:tplc="C0EA7164">
      <w:start w:val="1"/>
      <w:numFmt w:val="bullet"/>
      <w:lvlText w:val=""/>
      <w:lvlJc w:val="left"/>
      <w:pPr>
        <w:ind w:left="720" w:hanging="360"/>
      </w:pPr>
      <w:rPr>
        <w:rFonts w:ascii="Symbol" w:hAnsi="Symbol"/>
      </w:rPr>
    </w:lvl>
  </w:abstractNum>
  <w:abstractNum w:abstractNumId="47" w15:restartNumberingAfterBreak="0">
    <w:nsid w:val="578C686A"/>
    <w:multiLevelType w:val="hybridMultilevel"/>
    <w:tmpl w:val="97A041D4"/>
    <w:lvl w:ilvl="0" w:tplc="57F817D0">
      <w:start w:val="1"/>
      <w:numFmt w:val="lowerLetter"/>
      <w:lvlText w:val="(%1)"/>
      <w:lvlJc w:val="left"/>
      <w:pPr>
        <w:ind w:left="360" w:hanging="360"/>
      </w:pPr>
      <w:rPr>
        <w:rFonts w:ascii="Calibri" w:hAnsi="Calibri" w:hint="default"/>
        <w:b w:val="0"/>
        <w:i w:val="0"/>
        <w:sz w:val="18"/>
      </w:rPr>
    </w:lvl>
    <w:lvl w:ilvl="1" w:tplc="D70EC61C" w:tentative="1">
      <w:start w:val="1"/>
      <w:numFmt w:val="lowerLetter"/>
      <w:lvlText w:val="%2."/>
      <w:lvlJc w:val="left"/>
      <w:pPr>
        <w:ind w:left="1440" w:hanging="360"/>
      </w:pPr>
    </w:lvl>
    <w:lvl w:ilvl="2" w:tplc="B6C2E3C0" w:tentative="1">
      <w:start w:val="1"/>
      <w:numFmt w:val="lowerRoman"/>
      <w:lvlText w:val="%3."/>
      <w:lvlJc w:val="right"/>
      <w:pPr>
        <w:ind w:left="2160" w:hanging="180"/>
      </w:pPr>
    </w:lvl>
    <w:lvl w:ilvl="3" w:tplc="E64A4D98" w:tentative="1">
      <w:start w:val="1"/>
      <w:numFmt w:val="decimal"/>
      <w:lvlText w:val="%4."/>
      <w:lvlJc w:val="left"/>
      <w:pPr>
        <w:ind w:left="2880" w:hanging="360"/>
      </w:pPr>
    </w:lvl>
    <w:lvl w:ilvl="4" w:tplc="54887326" w:tentative="1">
      <w:start w:val="1"/>
      <w:numFmt w:val="lowerLetter"/>
      <w:lvlText w:val="%5."/>
      <w:lvlJc w:val="left"/>
      <w:pPr>
        <w:ind w:left="3600" w:hanging="360"/>
      </w:pPr>
    </w:lvl>
    <w:lvl w:ilvl="5" w:tplc="1788FF74" w:tentative="1">
      <w:start w:val="1"/>
      <w:numFmt w:val="lowerRoman"/>
      <w:lvlText w:val="%6."/>
      <w:lvlJc w:val="right"/>
      <w:pPr>
        <w:ind w:left="4320" w:hanging="180"/>
      </w:pPr>
    </w:lvl>
    <w:lvl w:ilvl="6" w:tplc="8B34B6D4" w:tentative="1">
      <w:start w:val="1"/>
      <w:numFmt w:val="decimal"/>
      <w:lvlText w:val="%7."/>
      <w:lvlJc w:val="left"/>
      <w:pPr>
        <w:ind w:left="5040" w:hanging="360"/>
      </w:pPr>
    </w:lvl>
    <w:lvl w:ilvl="7" w:tplc="57D4DE4C" w:tentative="1">
      <w:start w:val="1"/>
      <w:numFmt w:val="lowerLetter"/>
      <w:lvlText w:val="%8."/>
      <w:lvlJc w:val="left"/>
      <w:pPr>
        <w:ind w:left="5760" w:hanging="360"/>
      </w:pPr>
    </w:lvl>
    <w:lvl w:ilvl="8" w:tplc="B6985262" w:tentative="1">
      <w:start w:val="1"/>
      <w:numFmt w:val="lowerRoman"/>
      <w:lvlText w:val="%9."/>
      <w:lvlJc w:val="right"/>
      <w:pPr>
        <w:ind w:left="6480" w:hanging="180"/>
      </w:pPr>
    </w:lvl>
  </w:abstractNum>
  <w:abstractNum w:abstractNumId="48" w15:restartNumberingAfterBreak="0">
    <w:nsid w:val="58101827"/>
    <w:multiLevelType w:val="multilevel"/>
    <w:tmpl w:val="072C6E52"/>
    <w:name w:val="BoxBulletedList"/>
    <w:lvl w:ilvl="0">
      <w:start w:val="1"/>
      <w:numFmt w:val="bullet"/>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9" w15:restartNumberingAfterBreak="0">
    <w:nsid w:val="5E0A6F8D"/>
    <w:multiLevelType w:val="multilevel"/>
    <w:tmpl w:val="51941ED6"/>
    <w:name w:val="RecommendationBulletedList"/>
    <w:lvl w:ilvl="0">
      <w:start w:val="1"/>
      <w:numFmt w:val="bullet"/>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0" w15:restartNumberingAfterBreak="0">
    <w:nsid w:val="5E18098C"/>
    <w:multiLevelType w:val="multilevel"/>
    <w:tmpl w:val="CD12E174"/>
    <w:lvl w:ilvl="0">
      <w:start w:val="1"/>
      <w:numFmt w:val="decimal"/>
      <w:pStyle w:val="Heading1"/>
      <w:lvlText w:val="%1."/>
      <w:lvlJc w:val="left"/>
      <w:pPr>
        <w:ind w:left="360" w:hanging="360"/>
      </w:pPr>
      <w:rPr>
        <w:rFonts w:hint="default"/>
      </w:rPr>
    </w:lvl>
    <w:lvl w:ilvl="1">
      <w:start w:val="1"/>
      <w:numFmt w:val="decimal"/>
      <w:pStyle w:val="NumberedPara"/>
      <w:lvlText w:val="%1.%2"/>
      <w:lvlJc w:val="left"/>
      <w:pPr>
        <w:ind w:left="927"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611B0387"/>
    <w:multiLevelType w:val="multilevel"/>
    <w:tmpl w:val="196C9C80"/>
    <w:name w:val="StandardBulletedList"/>
    <w:lvl w:ilvl="0">
      <w:start w:val="1"/>
      <w:numFmt w:val="bullet"/>
      <w:pStyle w:val="Bulletparagraph"/>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5FB0D17"/>
    <w:multiLevelType w:val="singleLevel"/>
    <w:tmpl w:val="0C09000F"/>
    <w:lvl w:ilvl="0">
      <w:start w:val="1"/>
      <w:numFmt w:val="decimal"/>
      <w:lvlText w:val="%1."/>
      <w:lvlJc w:val="left"/>
      <w:pPr>
        <w:tabs>
          <w:tab w:val="num" w:pos="720"/>
        </w:tabs>
        <w:ind w:left="720" w:hanging="360"/>
      </w:pPr>
    </w:lvl>
  </w:abstractNum>
  <w:abstractNum w:abstractNumId="53" w15:restartNumberingAfterBreak="0">
    <w:nsid w:val="73A5438F"/>
    <w:multiLevelType w:val="hybridMultilevel"/>
    <w:tmpl w:val="1354DA7C"/>
    <w:lvl w:ilvl="0" w:tplc="851E4764">
      <w:start w:val="1"/>
      <w:numFmt w:val="decimal"/>
      <w:lvlText w:val="%1."/>
      <w:lvlJc w:val="left"/>
      <w:pPr>
        <w:ind w:left="1020" w:hanging="360"/>
      </w:pPr>
    </w:lvl>
    <w:lvl w:ilvl="1" w:tplc="57280A36">
      <w:start w:val="1"/>
      <w:numFmt w:val="decimal"/>
      <w:lvlText w:val="%2."/>
      <w:lvlJc w:val="left"/>
      <w:pPr>
        <w:ind w:left="1020" w:hanging="360"/>
      </w:pPr>
    </w:lvl>
    <w:lvl w:ilvl="2" w:tplc="1ED07122">
      <w:start w:val="1"/>
      <w:numFmt w:val="decimal"/>
      <w:lvlText w:val="%3."/>
      <w:lvlJc w:val="left"/>
      <w:pPr>
        <w:ind w:left="1020" w:hanging="360"/>
      </w:pPr>
    </w:lvl>
    <w:lvl w:ilvl="3" w:tplc="8234A700">
      <w:start w:val="1"/>
      <w:numFmt w:val="decimal"/>
      <w:lvlText w:val="%4."/>
      <w:lvlJc w:val="left"/>
      <w:pPr>
        <w:ind w:left="1020" w:hanging="360"/>
      </w:pPr>
    </w:lvl>
    <w:lvl w:ilvl="4" w:tplc="37203984">
      <w:start w:val="1"/>
      <w:numFmt w:val="decimal"/>
      <w:lvlText w:val="%5."/>
      <w:lvlJc w:val="left"/>
      <w:pPr>
        <w:ind w:left="1020" w:hanging="360"/>
      </w:pPr>
    </w:lvl>
    <w:lvl w:ilvl="5" w:tplc="FAD8EEFC">
      <w:start w:val="1"/>
      <w:numFmt w:val="decimal"/>
      <w:lvlText w:val="%6."/>
      <w:lvlJc w:val="left"/>
      <w:pPr>
        <w:ind w:left="1020" w:hanging="360"/>
      </w:pPr>
    </w:lvl>
    <w:lvl w:ilvl="6" w:tplc="F5C06F52">
      <w:start w:val="1"/>
      <w:numFmt w:val="decimal"/>
      <w:lvlText w:val="%7."/>
      <w:lvlJc w:val="left"/>
      <w:pPr>
        <w:ind w:left="1020" w:hanging="360"/>
      </w:pPr>
    </w:lvl>
    <w:lvl w:ilvl="7" w:tplc="38CE9624">
      <w:start w:val="1"/>
      <w:numFmt w:val="decimal"/>
      <w:lvlText w:val="%8."/>
      <w:lvlJc w:val="left"/>
      <w:pPr>
        <w:ind w:left="1020" w:hanging="360"/>
      </w:pPr>
    </w:lvl>
    <w:lvl w:ilvl="8" w:tplc="6BCE18C0">
      <w:start w:val="1"/>
      <w:numFmt w:val="decimal"/>
      <w:lvlText w:val="%9."/>
      <w:lvlJc w:val="left"/>
      <w:pPr>
        <w:ind w:left="1020" w:hanging="360"/>
      </w:pPr>
    </w:lvl>
  </w:abstractNum>
  <w:abstractNum w:abstractNumId="54" w15:restartNumberingAfterBreak="0">
    <w:nsid w:val="75F45A75"/>
    <w:multiLevelType w:val="multilevel"/>
    <w:tmpl w:val="20C6D62C"/>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8163090"/>
    <w:multiLevelType w:val="multilevel"/>
    <w:tmpl w:val="72F8140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79EB03F6"/>
    <w:multiLevelType w:val="multilevel"/>
    <w:tmpl w:val="43846F94"/>
    <w:lvl w:ilvl="0">
      <w:start w:val="1"/>
      <w:numFmt w:val="bullet"/>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58" w15:restartNumberingAfterBreak="0">
    <w:nsid w:val="7D6B5224"/>
    <w:multiLevelType w:val="multilevel"/>
    <w:tmpl w:val="57000EF8"/>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E5305A2"/>
    <w:multiLevelType w:val="multilevel"/>
    <w:tmpl w:val="D8E09C32"/>
    <w:lvl w:ilvl="0">
      <w:start w:val="1"/>
      <w:numFmt w:val="bullet"/>
      <w:lvlText w:val=""/>
      <w:lvlJc w:val="left"/>
      <w:pPr>
        <w:tabs>
          <w:tab w:val="num" w:pos="473"/>
        </w:tabs>
        <w:ind w:left="473" w:hanging="520"/>
      </w:pPr>
      <w:rPr>
        <w:rFonts w:ascii="Symbol" w:hAnsi="Symbol" w:hint="default"/>
      </w:rPr>
    </w:lvl>
    <w:lvl w:ilvl="1">
      <w:start w:val="1"/>
      <w:numFmt w:val="bullet"/>
      <w:lvlText w:val="–"/>
      <w:lvlJc w:val="left"/>
      <w:pPr>
        <w:tabs>
          <w:tab w:val="num" w:pos="993"/>
        </w:tabs>
        <w:ind w:left="993" w:hanging="520"/>
      </w:pPr>
      <w:rPr>
        <w:rFonts w:ascii="Times New Roman" w:hAnsi="Times New Roman" w:cs="Times New Roman"/>
      </w:rPr>
    </w:lvl>
    <w:lvl w:ilvl="2">
      <w:start w:val="1"/>
      <w:numFmt w:val="bullet"/>
      <w:lvlText w:val=":"/>
      <w:lvlJc w:val="left"/>
      <w:pPr>
        <w:tabs>
          <w:tab w:val="num" w:pos="1513"/>
        </w:tabs>
        <w:ind w:left="1513" w:hanging="520"/>
      </w:pPr>
      <w:rPr>
        <w:rFonts w:ascii="Times New Roman" w:hAnsi="Times New Roman" w:cs="Times New Roman"/>
      </w:rPr>
    </w:lvl>
    <w:lvl w:ilvl="3">
      <w:start w:val="1"/>
      <w:numFmt w:val="decimal"/>
      <w:lvlText w:val="(%4)"/>
      <w:lvlJc w:val="left"/>
      <w:pPr>
        <w:ind w:left="1913" w:hanging="360"/>
      </w:pPr>
    </w:lvl>
    <w:lvl w:ilvl="4">
      <w:start w:val="1"/>
      <w:numFmt w:val="lowerLetter"/>
      <w:lvlText w:val="(%5)"/>
      <w:lvlJc w:val="left"/>
      <w:pPr>
        <w:ind w:left="2273" w:hanging="360"/>
      </w:pPr>
    </w:lvl>
    <w:lvl w:ilvl="5">
      <w:start w:val="1"/>
      <w:numFmt w:val="lowerRoman"/>
      <w:lvlText w:val="(%6)"/>
      <w:lvlJc w:val="left"/>
      <w:pPr>
        <w:ind w:left="2633" w:hanging="360"/>
      </w:pPr>
    </w:lvl>
    <w:lvl w:ilvl="6">
      <w:start w:val="1"/>
      <w:numFmt w:val="decimal"/>
      <w:lvlText w:val="%7."/>
      <w:lvlJc w:val="left"/>
      <w:pPr>
        <w:ind w:left="2993" w:hanging="360"/>
      </w:pPr>
    </w:lvl>
    <w:lvl w:ilvl="7">
      <w:start w:val="1"/>
      <w:numFmt w:val="lowerLetter"/>
      <w:lvlText w:val="%8."/>
      <w:lvlJc w:val="left"/>
      <w:pPr>
        <w:ind w:left="3353" w:hanging="360"/>
      </w:pPr>
    </w:lvl>
    <w:lvl w:ilvl="8">
      <w:start w:val="1"/>
      <w:numFmt w:val="lowerRoman"/>
      <w:lvlText w:val="%9."/>
      <w:lvlJc w:val="left"/>
      <w:pPr>
        <w:ind w:left="3713" w:hanging="360"/>
      </w:pPr>
    </w:lvl>
  </w:abstractNum>
  <w:num w:numId="1" w16cid:durableId="277182033">
    <w:abstractNumId w:val="24"/>
  </w:num>
  <w:num w:numId="2" w16cid:durableId="1099106148">
    <w:abstractNumId w:val="22"/>
  </w:num>
  <w:num w:numId="3" w16cid:durableId="875429901">
    <w:abstractNumId w:val="28"/>
  </w:num>
  <w:num w:numId="4" w16cid:durableId="718668840">
    <w:abstractNumId w:val="39"/>
  </w:num>
  <w:num w:numId="5" w16cid:durableId="1055154064">
    <w:abstractNumId w:val="21"/>
  </w:num>
  <w:num w:numId="6" w16cid:durableId="1561985146">
    <w:abstractNumId w:val="21"/>
  </w:num>
  <w:num w:numId="7" w16cid:durableId="1416319573">
    <w:abstractNumId w:val="21"/>
  </w:num>
  <w:num w:numId="8" w16cid:durableId="1934164001">
    <w:abstractNumId w:val="56"/>
  </w:num>
  <w:num w:numId="9" w16cid:durableId="2139956188">
    <w:abstractNumId w:val="48"/>
  </w:num>
  <w:num w:numId="10" w16cid:durableId="423260885">
    <w:abstractNumId w:val="19"/>
  </w:num>
  <w:num w:numId="11" w16cid:durableId="1693611656">
    <w:abstractNumId w:val="49"/>
  </w:num>
  <w:num w:numId="12" w16cid:durableId="391583002">
    <w:abstractNumId w:val="9"/>
  </w:num>
  <w:num w:numId="13" w16cid:durableId="81488293">
    <w:abstractNumId w:val="7"/>
  </w:num>
  <w:num w:numId="14" w16cid:durableId="246692411">
    <w:abstractNumId w:val="6"/>
  </w:num>
  <w:num w:numId="15" w16cid:durableId="1399589791">
    <w:abstractNumId w:val="5"/>
  </w:num>
  <w:num w:numId="16" w16cid:durableId="1063061583">
    <w:abstractNumId w:val="4"/>
  </w:num>
  <w:num w:numId="17" w16cid:durableId="1130905875">
    <w:abstractNumId w:val="8"/>
  </w:num>
  <w:num w:numId="18" w16cid:durableId="1261336580">
    <w:abstractNumId w:val="3"/>
  </w:num>
  <w:num w:numId="19" w16cid:durableId="161050508">
    <w:abstractNumId w:val="2"/>
  </w:num>
  <w:num w:numId="20" w16cid:durableId="1307781708">
    <w:abstractNumId w:val="1"/>
  </w:num>
  <w:num w:numId="21" w16cid:durableId="854269786">
    <w:abstractNumId w:val="0"/>
  </w:num>
  <w:num w:numId="22" w16cid:durableId="930894216">
    <w:abstractNumId w:val="28"/>
  </w:num>
  <w:num w:numId="23" w16cid:durableId="916942937">
    <w:abstractNumId w:val="51"/>
  </w:num>
  <w:num w:numId="24" w16cid:durableId="21055181">
    <w:abstractNumId w:val="29"/>
  </w:num>
  <w:num w:numId="25" w16cid:durableId="2022122891">
    <w:abstractNumId w:val="15"/>
  </w:num>
  <w:num w:numId="26" w16cid:durableId="1838186279">
    <w:abstractNumId w:val="47"/>
  </w:num>
  <w:num w:numId="27" w16cid:durableId="1762676829">
    <w:abstractNumId w:val="25"/>
  </w:num>
  <w:num w:numId="28" w16cid:durableId="1167943257">
    <w:abstractNumId w:val="5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41264924">
    <w:abstractNumId w:val="57"/>
  </w:num>
  <w:num w:numId="30" w16cid:durableId="1409687985">
    <w:abstractNumId w:val="20"/>
  </w:num>
  <w:num w:numId="31" w16cid:durableId="2039575743">
    <w:abstractNumId w:val="54"/>
  </w:num>
  <w:num w:numId="32" w16cid:durableId="2096397233">
    <w:abstractNumId w:val="16"/>
  </w:num>
  <w:num w:numId="33" w16cid:durableId="69041479">
    <w:abstractNumId w:val="30"/>
  </w:num>
  <w:num w:numId="34" w16cid:durableId="1524516301">
    <w:abstractNumId w:val="41"/>
  </w:num>
  <w:num w:numId="35" w16cid:durableId="1835342129">
    <w:abstractNumId w:val="36"/>
  </w:num>
  <w:num w:numId="36" w16cid:durableId="1614938437">
    <w:abstractNumId w:val="37"/>
  </w:num>
  <w:num w:numId="37" w16cid:durableId="76023118">
    <w:abstractNumId w:val="12"/>
  </w:num>
  <w:num w:numId="38" w16cid:durableId="1240094682">
    <w:abstractNumId w:val="13"/>
  </w:num>
  <w:num w:numId="39" w16cid:durableId="1219778357">
    <w:abstractNumId w:val="59"/>
  </w:num>
  <w:num w:numId="40" w16cid:durableId="2018724488">
    <w:abstractNumId w:val="10"/>
  </w:num>
  <w:num w:numId="41" w16cid:durableId="1124426862">
    <w:abstractNumId w:val="17"/>
  </w:num>
  <w:num w:numId="42" w16cid:durableId="927739072">
    <w:abstractNumId w:val="43"/>
  </w:num>
  <w:num w:numId="43" w16cid:durableId="131679792">
    <w:abstractNumId w:val="44"/>
  </w:num>
  <w:num w:numId="44" w16cid:durableId="1312564155">
    <w:abstractNumId w:val="11"/>
  </w:num>
  <w:num w:numId="45" w16cid:durableId="48500175">
    <w:abstractNumId w:val="50"/>
  </w:num>
  <w:num w:numId="46" w16cid:durableId="1781752518">
    <w:abstractNumId w:val="14"/>
  </w:num>
  <w:num w:numId="47" w16cid:durableId="803351423">
    <w:abstractNumId w:val="45"/>
  </w:num>
  <w:num w:numId="48" w16cid:durableId="1062410709">
    <w:abstractNumId w:val="34"/>
  </w:num>
  <w:num w:numId="49" w16cid:durableId="821313048">
    <w:abstractNumId w:val="46"/>
  </w:num>
  <w:num w:numId="50" w16cid:durableId="698243992">
    <w:abstractNumId w:val="23"/>
  </w:num>
  <w:num w:numId="51" w16cid:durableId="1704283192">
    <w:abstractNumId w:val="38"/>
  </w:num>
  <w:num w:numId="52" w16cid:durableId="1731145804">
    <w:abstractNumId w:val="22"/>
  </w:num>
  <w:num w:numId="53" w16cid:durableId="1371997739">
    <w:abstractNumId w:val="40"/>
  </w:num>
  <w:num w:numId="54" w16cid:durableId="615063945">
    <w:abstractNumId w:val="18"/>
  </w:num>
  <w:num w:numId="55" w16cid:durableId="1771391393">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81B"/>
    <w:rsid w:val="000001D0"/>
    <w:rsid w:val="00000200"/>
    <w:rsid w:val="00000229"/>
    <w:rsid w:val="00000443"/>
    <w:rsid w:val="000004DB"/>
    <w:rsid w:val="00000514"/>
    <w:rsid w:val="000005AF"/>
    <w:rsid w:val="00000648"/>
    <w:rsid w:val="00000887"/>
    <w:rsid w:val="0000089C"/>
    <w:rsid w:val="00000A22"/>
    <w:rsid w:val="00000AA6"/>
    <w:rsid w:val="00000EB1"/>
    <w:rsid w:val="00001383"/>
    <w:rsid w:val="0000139F"/>
    <w:rsid w:val="00001434"/>
    <w:rsid w:val="000014F7"/>
    <w:rsid w:val="000015B9"/>
    <w:rsid w:val="00001678"/>
    <w:rsid w:val="00001921"/>
    <w:rsid w:val="00001AF1"/>
    <w:rsid w:val="00001E71"/>
    <w:rsid w:val="00001FC8"/>
    <w:rsid w:val="0000237E"/>
    <w:rsid w:val="00002400"/>
    <w:rsid w:val="00002468"/>
    <w:rsid w:val="000025D8"/>
    <w:rsid w:val="00002C34"/>
    <w:rsid w:val="00002FD4"/>
    <w:rsid w:val="000036AC"/>
    <w:rsid w:val="000038BD"/>
    <w:rsid w:val="00003B05"/>
    <w:rsid w:val="00003C08"/>
    <w:rsid w:val="00003C2A"/>
    <w:rsid w:val="00003F46"/>
    <w:rsid w:val="0000403B"/>
    <w:rsid w:val="0000434F"/>
    <w:rsid w:val="000043F5"/>
    <w:rsid w:val="00004569"/>
    <w:rsid w:val="00004838"/>
    <w:rsid w:val="000048AA"/>
    <w:rsid w:val="00004BC9"/>
    <w:rsid w:val="00004C58"/>
    <w:rsid w:val="00004CC4"/>
    <w:rsid w:val="00005047"/>
    <w:rsid w:val="000052FA"/>
    <w:rsid w:val="00005342"/>
    <w:rsid w:val="0000544A"/>
    <w:rsid w:val="0000583A"/>
    <w:rsid w:val="0000593A"/>
    <w:rsid w:val="000059B1"/>
    <w:rsid w:val="00005C05"/>
    <w:rsid w:val="00005DE4"/>
    <w:rsid w:val="00005FFD"/>
    <w:rsid w:val="000060B0"/>
    <w:rsid w:val="000062A2"/>
    <w:rsid w:val="000063B1"/>
    <w:rsid w:val="0000650D"/>
    <w:rsid w:val="0000662C"/>
    <w:rsid w:val="00006718"/>
    <w:rsid w:val="000067B2"/>
    <w:rsid w:val="000067BD"/>
    <w:rsid w:val="00006A11"/>
    <w:rsid w:val="00006A54"/>
    <w:rsid w:val="00006AEF"/>
    <w:rsid w:val="00006D35"/>
    <w:rsid w:val="00006D96"/>
    <w:rsid w:val="00006DF4"/>
    <w:rsid w:val="00007033"/>
    <w:rsid w:val="00007428"/>
    <w:rsid w:val="000078FE"/>
    <w:rsid w:val="00007A38"/>
    <w:rsid w:val="00007AAC"/>
    <w:rsid w:val="00007B29"/>
    <w:rsid w:val="00007DC6"/>
    <w:rsid w:val="00007DEF"/>
    <w:rsid w:val="00010112"/>
    <w:rsid w:val="00010152"/>
    <w:rsid w:val="00010157"/>
    <w:rsid w:val="000103CE"/>
    <w:rsid w:val="00010406"/>
    <w:rsid w:val="00010422"/>
    <w:rsid w:val="00010546"/>
    <w:rsid w:val="00010A5D"/>
    <w:rsid w:val="00010A82"/>
    <w:rsid w:val="00010AA2"/>
    <w:rsid w:val="00010C29"/>
    <w:rsid w:val="00010C61"/>
    <w:rsid w:val="00010D44"/>
    <w:rsid w:val="00010ED3"/>
    <w:rsid w:val="000110D0"/>
    <w:rsid w:val="000111A0"/>
    <w:rsid w:val="00011563"/>
    <w:rsid w:val="0001169D"/>
    <w:rsid w:val="00011794"/>
    <w:rsid w:val="00011C1D"/>
    <w:rsid w:val="00012021"/>
    <w:rsid w:val="0001219D"/>
    <w:rsid w:val="000125C7"/>
    <w:rsid w:val="000125E4"/>
    <w:rsid w:val="00012CAB"/>
    <w:rsid w:val="00012D89"/>
    <w:rsid w:val="00012DE5"/>
    <w:rsid w:val="00013268"/>
    <w:rsid w:val="00013493"/>
    <w:rsid w:val="000136AE"/>
    <w:rsid w:val="000137DD"/>
    <w:rsid w:val="000137EC"/>
    <w:rsid w:val="00013D7D"/>
    <w:rsid w:val="00013D8A"/>
    <w:rsid w:val="00013EE3"/>
    <w:rsid w:val="00014429"/>
    <w:rsid w:val="000144AA"/>
    <w:rsid w:val="000144B6"/>
    <w:rsid w:val="00014529"/>
    <w:rsid w:val="0001472E"/>
    <w:rsid w:val="00014805"/>
    <w:rsid w:val="00014953"/>
    <w:rsid w:val="00014C0C"/>
    <w:rsid w:val="00014C6A"/>
    <w:rsid w:val="00014D0C"/>
    <w:rsid w:val="00014E21"/>
    <w:rsid w:val="00014EFD"/>
    <w:rsid w:val="0001506C"/>
    <w:rsid w:val="00015252"/>
    <w:rsid w:val="0001526F"/>
    <w:rsid w:val="000152EF"/>
    <w:rsid w:val="00015555"/>
    <w:rsid w:val="000156CF"/>
    <w:rsid w:val="0001571A"/>
    <w:rsid w:val="000157B8"/>
    <w:rsid w:val="0001586B"/>
    <w:rsid w:val="0001597E"/>
    <w:rsid w:val="00015A38"/>
    <w:rsid w:val="00015B4D"/>
    <w:rsid w:val="00015C6C"/>
    <w:rsid w:val="00015CB5"/>
    <w:rsid w:val="00015DD9"/>
    <w:rsid w:val="000161F9"/>
    <w:rsid w:val="0001640F"/>
    <w:rsid w:val="0001666C"/>
    <w:rsid w:val="00016AAD"/>
    <w:rsid w:val="00016BE0"/>
    <w:rsid w:val="00016C4D"/>
    <w:rsid w:val="00016E9E"/>
    <w:rsid w:val="00016FAD"/>
    <w:rsid w:val="00016FBF"/>
    <w:rsid w:val="00016FC2"/>
    <w:rsid w:val="0001718A"/>
    <w:rsid w:val="00017193"/>
    <w:rsid w:val="0001741A"/>
    <w:rsid w:val="000177C5"/>
    <w:rsid w:val="000179FF"/>
    <w:rsid w:val="00017DA8"/>
    <w:rsid w:val="00017F07"/>
    <w:rsid w:val="00017F46"/>
    <w:rsid w:val="00017F75"/>
    <w:rsid w:val="00020219"/>
    <w:rsid w:val="00020546"/>
    <w:rsid w:val="00020B83"/>
    <w:rsid w:val="00020C89"/>
    <w:rsid w:val="00020DCE"/>
    <w:rsid w:val="00020E4F"/>
    <w:rsid w:val="00020FC8"/>
    <w:rsid w:val="00021530"/>
    <w:rsid w:val="00021800"/>
    <w:rsid w:val="0002182B"/>
    <w:rsid w:val="00021C86"/>
    <w:rsid w:val="00022131"/>
    <w:rsid w:val="00022259"/>
    <w:rsid w:val="00022642"/>
    <w:rsid w:val="00022B38"/>
    <w:rsid w:val="000231D6"/>
    <w:rsid w:val="000234B7"/>
    <w:rsid w:val="000234D6"/>
    <w:rsid w:val="0002351C"/>
    <w:rsid w:val="000235B0"/>
    <w:rsid w:val="0002370B"/>
    <w:rsid w:val="0002371C"/>
    <w:rsid w:val="000237B6"/>
    <w:rsid w:val="000238C9"/>
    <w:rsid w:val="00023A90"/>
    <w:rsid w:val="00023BC0"/>
    <w:rsid w:val="00023BDE"/>
    <w:rsid w:val="00023D16"/>
    <w:rsid w:val="00023D23"/>
    <w:rsid w:val="00023E0B"/>
    <w:rsid w:val="000241C0"/>
    <w:rsid w:val="0002444D"/>
    <w:rsid w:val="0002485B"/>
    <w:rsid w:val="000248F3"/>
    <w:rsid w:val="00024B63"/>
    <w:rsid w:val="00024B8D"/>
    <w:rsid w:val="00024DEF"/>
    <w:rsid w:val="00025003"/>
    <w:rsid w:val="000252E3"/>
    <w:rsid w:val="00025600"/>
    <w:rsid w:val="00025B49"/>
    <w:rsid w:val="00025D59"/>
    <w:rsid w:val="00025DF1"/>
    <w:rsid w:val="0002617F"/>
    <w:rsid w:val="000264A3"/>
    <w:rsid w:val="0002652A"/>
    <w:rsid w:val="00026B28"/>
    <w:rsid w:val="00026CDA"/>
    <w:rsid w:val="00026DA8"/>
    <w:rsid w:val="00026FF1"/>
    <w:rsid w:val="00027150"/>
    <w:rsid w:val="0002716B"/>
    <w:rsid w:val="00027394"/>
    <w:rsid w:val="000273DA"/>
    <w:rsid w:val="00027439"/>
    <w:rsid w:val="0002762A"/>
    <w:rsid w:val="0002769F"/>
    <w:rsid w:val="000276D0"/>
    <w:rsid w:val="00027C5B"/>
    <w:rsid w:val="00027CAA"/>
    <w:rsid w:val="00027F0F"/>
    <w:rsid w:val="000301F4"/>
    <w:rsid w:val="00030245"/>
    <w:rsid w:val="00030271"/>
    <w:rsid w:val="000306AE"/>
    <w:rsid w:val="000306B2"/>
    <w:rsid w:val="00030B2A"/>
    <w:rsid w:val="00030C9E"/>
    <w:rsid w:val="00030E30"/>
    <w:rsid w:val="00030E5B"/>
    <w:rsid w:val="00030FFF"/>
    <w:rsid w:val="0003131C"/>
    <w:rsid w:val="00031983"/>
    <w:rsid w:val="00031A3D"/>
    <w:rsid w:val="00031A46"/>
    <w:rsid w:val="00031A83"/>
    <w:rsid w:val="00031C70"/>
    <w:rsid w:val="00031CCC"/>
    <w:rsid w:val="00031E37"/>
    <w:rsid w:val="000323AB"/>
    <w:rsid w:val="000324C1"/>
    <w:rsid w:val="000325B9"/>
    <w:rsid w:val="000325BA"/>
    <w:rsid w:val="00032880"/>
    <w:rsid w:val="00032A4D"/>
    <w:rsid w:val="00032DC2"/>
    <w:rsid w:val="00032E11"/>
    <w:rsid w:val="00032EC0"/>
    <w:rsid w:val="0003313E"/>
    <w:rsid w:val="0003322A"/>
    <w:rsid w:val="00033260"/>
    <w:rsid w:val="0003328E"/>
    <w:rsid w:val="00033388"/>
    <w:rsid w:val="0003355E"/>
    <w:rsid w:val="00033798"/>
    <w:rsid w:val="000337FA"/>
    <w:rsid w:val="00033870"/>
    <w:rsid w:val="00033D15"/>
    <w:rsid w:val="00033EC2"/>
    <w:rsid w:val="00033FF6"/>
    <w:rsid w:val="00034267"/>
    <w:rsid w:val="000342C9"/>
    <w:rsid w:val="0003449D"/>
    <w:rsid w:val="000345AE"/>
    <w:rsid w:val="000345E2"/>
    <w:rsid w:val="000347D8"/>
    <w:rsid w:val="00034916"/>
    <w:rsid w:val="00034A16"/>
    <w:rsid w:val="00034B80"/>
    <w:rsid w:val="00034D87"/>
    <w:rsid w:val="00034DB4"/>
    <w:rsid w:val="00034DB8"/>
    <w:rsid w:val="000350CD"/>
    <w:rsid w:val="00035214"/>
    <w:rsid w:val="0003533C"/>
    <w:rsid w:val="000358F2"/>
    <w:rsid w:val="00035A9D"/>
    <w:rsid w:val="00035AED"/>
    <w:rsid w:val="00035BC1"/>
    <w:rsid w:val="00035D8B"/>
    <w:rsid w:val="0003605B"/>
    <w:rsid w:val="00036063"/>
    <w:rsid w:val="000360FD"/>
    <w:rsid w:val="000361E6"/>
    <w:rsid w:val="00036663"/>
    <w:rsid w:val="0003679C"/>
    <w:rsid w:val="000367BB"/>
    <w:rsid w:val="00036A01"/>
    <w:rsid w:val="00036CAF"/>
    <w:rsid w:val="00036CE8"/>
    <w:rsid w:val="0003709B"/>
    <w:rsid w:val="00037193"/>
    <w:rsid w:val="000371B3"/>
    <w:rsid w:val="000373B3"/>
    <w:rsid w:val="0003774C"/>
    <w:rsid w:val="000378D2"/>
    <w:rsid w:val="00037969"/>
    <w:rsid w:val="00037D1C"/>
    <w:rsid w:val="00037FA0"/>
    <w:rsid w:val="0004009D"/>
    <w:rsid w:val="000400B9"/>
    <w:rsid w:val="000401FE"/>
    <w:rsid w:val="0004047E"/>
    <w:rsid w:val="00040829"/>
    <w:rsid w:val="0004082C"/>
    <w:rsid w:val="0004084E"/>
    <w:rsid w:val="0004097B"/>
    <w:rsid w:val="00040AFF"/>
    <w:rsid w:val="00040B5D"/>
    <w:rsid w:val="00040DCB"/>
    <w:rsid w:val="00040E11"/>
    <w:rsid w:val="00041685"/>
    <w:rsid w:val="000416C0"/>
    <w:rsid w:val="00041701"/>
    <w:rsid w:val="0004178C"/>
    <w:rsid w:val="000417D9"/>
    <w:rsid w:val="00041870"/>
    <w:rsid w:val="00041B4D"/>
    <w:rsid w:val="00041DE2"/>
    <w:rsid w:val="00041F33"/>
    <w:rsid w:val="00041F66"/>
    <w:rsid w:val="00042093"/>
    <w:rsid w:val="000420C7"/>
    <w:rsid w:val="000422F7"/>
    <w:rsid w:val="0004241D"/>
    <w:rsid w:val="000428CE"/>
    <w:rsid w:val="00042CB6"/>
    <w:rsid w:val="00042D79"/>
    <w:rsid w:val="00042DFE"/>
    <w:rsid w:val="00042E6C"/>
    <w:rsid w:val="00042FA6"/>
    <w:rsid w:val="0004342B"/>
    <w:rsid w:val="00043727"/>
    <w:rsid w:val="00043880"/>
    <w:rsid w:val="00043B78"/>
    <w:rsid w:val="00043CE0"/>
    <w:rsid w:val="00043CE3"/>
    <w:rsid w:val="00044496"/>
    <w:rsid w:val="00044630"/>
    <w:rsid w:val="0004466E"/>
    <w:rsid w:val="000446B5"/>
    <w:rsid w:val="00044C11"/>
    <w:rsid w:val="00044C53"/>
    <w:rsid w:val="00044FFA"/>
    <w:rsid w:val="000450D0"/>
    <w:rsid w:val="0004522C"/>
    <w:rsid w:val="000452A1"/>
    <w:rsid w:val="00045343"/>
    <w:rsid w:val="00045367"/>
    <w:rsid w:val="00045504"/>
    <w:rsid w:val="000456B7"/>
    <w:rsid w:val="000457F8"/>
    <w:rsid w:val="000458DB"/>
    <w:rsid w:val="00045A2D"/>
    <w:rsid w:val="00045AD8"/>
    <w:rsid w:val="00045E5D"/>
    <w:rsid w:val="00046033"/>
    <w:rsid w:val="00046131"/>
    <w:rsid w:val="0004625F"/>
    <w:rsid w:val="00046B2B"/>
    <w:rsid w:val="00046E2D"/>
    <w:rsid w:val="00046F42"/>
    <w:rsid w:val="000470FE"/>
    <w:rsid w:val="00047238"/>
    <w:rsid w:val="00047359"/>
    <w:rsid w:val="000475E1"/>
    <w:rsid w:val="00047705"/>
    <w:rsid w:val="000479E7"/>
    <w:rsid w:val="00047B70"/>
    <w:rsid w:val="00047C95"/>
    <w:rsid w:val="00047EE6"/>
    <w:rsid w:val="00047F27"/>
    <w:rsid w:val="00047FEC"/>
    <w:rsid w:val="000501CF"/>
    <w:rsid w:val="0005021D"/>
    <w:rsid w:val="000503AD"/>
    <w:rsid w:val="000503F2"/>
    <w:rsid w:val="000504BD"/>
    <w:rsid w:val="0005090E"/>
    <w:rsid w:val="00050913"/>
    <w:rsid w:val="00050995"/>
    <w:rsid w:val="00050A19"/>
    <w:rsid w:val="00050A33"/>
    <w:rsid w:val="00050C67"/>
    <w:rsid w:val="00050D2B"/>
    <w:rsid w:val="00050D60"/>
    <w:rsid w:val="00050ECE"/>
    <w:rsid w:val="00050EDE"/>
    <w:rsid w:val="00050F6D"/>
    <w:rsid w:val="0005112F"/>
    <w:rsid w:val="000511B3"/>
    <w:rsid w:val="00051802"/>
    <w:rsid w:val="0005196F"/>
    <w:rsid w:val="00051BEF"/>
    <w:rsid w:val="00051CA9"/>
    <w:rsid w:val="00051EB1"/>
    <w:rsid w:val="00051F61"/>
    <w:rsid w:val="00052187"/>
    <w:rsid w:val="000526BA"/>
    <w:rsid w:val="000526C9"/>
    <w:rsid w:val="00052849"/>
    <w:rsid w:val="0005297A"/>
    <w:rsid w:val="000529CE"/>
    <w:rsid w:val="00052BB4"/>
    <w:rsid w:val="00052DDB"/>
    <w:rsid w:val="00053054"/>
    <w:rsid w:val="000531B7"/>
    <w:rsid w:val="000533F2"/>
    <w:rsid w:val="0005350B"/>
    <w:rsid w:val="00053559"/>
    <w:rsid w:val="0005363F"/>
    <w:rsid w:val="00053A5A"/>
    <w:rsid w:val="00053B8B"/>
    <w:rsid w:val="00053CC4"/>
    <w:rsid w:val="00053FD2"/>
    <w:rsid w:val="0005401F"/>
    <w:rsid w:val="000541F7"/>
    <w:rsid w:val="00054253"/>
    <w:rsid w:val="0005425E"/>
    <w:rsid w:val="0005426C"/>
    <w:rsid w:val="0005433F"/>
    <w:rsid w:val="000544FC"/>
    <w:rsid w:val="000546C6"/>
    <w:rsid w:val="0005476C"/>
    <w:rsid w:val="00054BBD"/>
    <w:rsid w:val="00054DB4"/>
    <w:rsid w:val="00054EEF"/>
    <w:rsid w:val="00054F24"/>
    <w:rsid w:val="00054F65"/>
    <w:rsid w:val="00055197"/>
    <w:rsid w:val="000553A8"/>
    <w:rsid w:val="00055624"/>
    <w:rsid w:val="00055679"/>
    <w:rsid w:val="0005576C"/>
    <w:rsid w:val="00055BD1"/>
    <w:rsid w:val="00055BE2"/>
    <w:rsid w:val="00055CE0"/>
    <w:rsid w:val="00055D1A"/>
    <w:rsid w:val="00055D40"/>
    <w:rsid w:val="00055D7B"/>
    <w:rsid w:val="00055DED"/>
    <w:rsid w:val="00055DF5"/>
    <w:rsid w:val="00055F0A"/>
    <w:rsid w:val="000561D8"/>
    <w:rsid w:val="000565B5"/>
    <w:rsid w:val="00056618"/>
    <w:rsid w:val="00056791"/>
    <w:rsid w:val="000568C2"/>
    <w:rsid w:val="00056994"/>
    <w:rsid w:val="000569BB"/>
    <w:rsid w:val="00056A99"/>
    <w:rsid w:val="00056AA4"/>
    <w:rsid w:val="00056BD6"/>
    <w:rsid w:val="00056C48"/>
    <w:rsid w:val="00056C70"/>
    <w:rsid w:val="00057039"/>
    <w:rsid w:val="00057265"/>
    <w:rsid w:val="00057393"/>
    <w:rsid w:val="000573A8"/>
    <w:rsid w:val="000573FA"/>
    <w:rsid w:val="000574D2"/>
    <w:rsid w:val="000574DE"/>
    <w:rsid w:val="000574FF"/>
    <w:rsid w:val="0005772B"/>
    <w:rsid w:val="00057B53"/>
    <w:rsid w:val="00057D98"/>
    <w:rsid w:val="00057E4E"/>
    <w:rsid w:val="0006008B"/>
    <w:rsid w:val="0006013A"/>
    <w:rsid w:val="000603D8"/>
    <w:rsid w:val="00060524"/>
    <w:rsid w:val="00060646"/>
    <w:rsid w:val="00060BB3"/>
    <w:rsid w:val="00060D58"/>
    <w:rsid w:val="00060E03"/>
    <w:rsid w:val="0006119C"/>
    <w:rsid w:val="000612F6"/>
    <w:rsid w:val="0006134A"/>
    <w:rsid w:val="0006145E"/>
    <w:rsid w:val="000617E2"/>
    <w:rsid w:val="00061A31"/>
    <w:rsid w:val="00061D52"/>
    <w:rsid w:val="00061EA8"/>
    <w:rsid w:val="00062085"/>
    <w:rsid w:val="00062272"/>
    <w:rsid w:val="00062279"/>
    <w:rsid w:val="0006246B"/>
    <w:rsid w:val="0006255E"/>
    <w:rsid w:val="000628EE"/>
    <w:rsid w:val="00062927"/>
    <w:rsid w:val="00062952"/>
    <w:rsid w:val="00062A68"/>
    <w:rsid w:val="00062AA6"/>
    <w:rsid w:val="00062B65"/>
    <w:rsid w:val="00062BB8"/>
    <w:rsid w:val="00062D19"/>
    <w:rsid w:val="00062D53"/>
    <w:rsid w:val="0006323E"/>
    <w:rsid w:val="000632F2"/>
    <w:rsid w:val="00063362"/>
    <w:rsid w:val="00063625"/>
    <w:rsid w:val="00063810"/>
    <w:rsid w:val="000638B9"/>
    <w:rsid w:val="000639FA"/>
    <w:rsid w:val="00063B2A"/>
    <w:rsid w:val="000640A2"/>
    <w:rsid w:val="00064192"/>
    <w:rsid w:val="0006422F"/>
    <w:rsid w:val="000645B6"/>
    <w:rsid w:val="00064697"/>
    <w:rsid w:val="00064732"/>
    <w:rsid w:val="000647B2"/>
    <w:rsid w:val="00065063"/>
    <w:rsid w:val="000652F5"/>
    <w:rsid w:val="00065313"/>
    <w:rsid w:val="00065478"/>
    <w:rsid w:val="000654E2"/>
    <w:rsid w:val="000656BF"/>
    <w:rsid w:val="00065722"/>
    <w:rsid w:val="000657BD"/>
    <w:rsid w:val="00065987"/>
    <w:rsid w:val="00065A8B"/>
    <w:rsid w:val="00065D4F"/>
    <w:rsid w:val="00065D9E"/>
    <w:rsid w:val="00065ED5"/>
    <w:rsid w:val="000661DB"/>
    <w:rsid w:val="0006643A"/>
    <w:rsid w:val="0006658E"/>
    <w:rsid w:val="0006690F"/>
    <w:rsid w:val="00066B5E"/>
    <w:rsid w:val="00066DAC"/>
    <w:rsid w:val="00066E41"/>
    <w:rsid w:val="0006736B"/>
    <w:rsid w:val="000673B0"/>
    <w:rsid w:val="0006765D"/>
    <w:rsid w:val="000676EB"/>
    <w:rsid w:val="0006793E"/>
    <w:rsid w:val="00067AA8"/>
    <w:rsid w:val="00067DE3"/>
    <w:rsid w:val="00067F5D"/>
    <w:rsid w:val="0007017B"/>
    <w:rsid w:val="00070203"/>
    <w:rsid w:val="000702DA"/>
    <w:rsid w:val="000703FA"/>
    <w:rsid w:val="00070463"/>
    <w:rsid w:val="00070600"/>
    <w:rsid w:val="000706C7"/>
    <w:rsid w:val="0007070C"/>
    <w:rsid w:val="00070936"/>
    <w:rsid w:val="00070BFE"/>
    <w:rsid w:val="00070D12"/>
    <w:rsid w:val="00070FAA"/>
    <w:rsid w:val="000713DE"/>
    <w:rsid w:val="00071590"/>
    <w:rsid w:val="0007168E"/>
    <w:rsid w:val="000717B7"/>
    <w:rsid w:val="00071987"/>
    <w:rsid w:val="00071A30"/>
    <w:rsid w:val="00071C6A"/>
    <w:rsid w:val="00071CCA"/>
    <w:rsid w:val="00071D3D"/>
    <w:rsid w:val="00071D41"/>
    <w:rsid w:val="00071ED2"/>
    <w:rsid w:val="00072749"/>
    <w:rsid w:val="0007278E"/>
    <w:rsid w:val="00072A97"/>
    <w:rsid w:val="00072CC4"/>
    <w:rsid w:val="00072D3A"/>
    <w:rsid w:val="00072D61"/>
    <w:rsid w:val="00072F2A"/>
    <w:rsid w:val="00072F2B"/>
    <w:rsid w:val="00072F7E"/>
    <w:rsid w:val="000731BD"/>
    <w:rsid w:val="00073780"/>
    <w:rsid w:val="00073863"/>
    <w:rsid w:val="000738C8"/>
    <w:rsid w:val="00073C9A"/>
    <w:rsid w:val="00073CEE"/>
    <w:rsid w:val="000741F2"/>
    <w:rsid w:val="00074392"/>
    <w:rsid w:val="0007446D"/>
    <w:rsid w:val="00074491"/>
    <w:rsid w:val="00074780"/>
    <w:rsid w:val="00074845"/>
    <w:rsid w:val="00074879"/>
    <w:rsid w:val="0007496A"/>
    <w:rsid w:val="000749AF"/>
    <w:rsid w:val="00074DB7"/>
    <w:rsid w:val="00074E63"/>
    <w:rsid w:val="00075249"/>
    <w:rsid w:val="000752DB"/>
    <w:rsid w:val="00075328"/>
    <w:rsid w:val="00075BD4"/>
    <w:rsid w:val="00075C75"/>
    <w:rsid w:val="00076322"/>
    <w:rsid w:val="0007674E"/>
    <w:rsid w:val="00076968"/>
    <w:rsid w:val="00076BC5"/>
    <w:rsid w:val="00076E0E"/>
    <w:rsid w:val="00077184"/>
    <w:rsid w:val="0007777B"/>
    <w:rsid w:val="000777C9"/>
    <w:rsid w:val="000777F7"/>
    <w:rsid w:val="00077936"/>
    <w:rsid w:val="00077BFA"/>
    <w:rsid w:val="00077EA3"/>
    <w:rsid w:val="00077F62"/>
    <w:rsid w:val="00077F65"/>
    <w:rsid w:val="00077FB7"/>
    <w:rsid w:val="000804D5"/>
    <w:rsid w:val="00080630"/>
    <w:rsid w:val="00080807"/>
    <w:rsid w:val="000809D5"/>
    <w:rsid w:val="000809F7"/>
    <w:rsid w:val="00080A3D"/>
    <w:rsid w:val="00080C06"/>
    <w:rsid w:val="00080F10"/>
    <w:rsid w:val="00081777"/>
    <w:rsid w:val="00081AB5"/>
    <w:rsid w:val="00081AD6"/>
    <w:rsid w:val="00081AE9"/>
    <w:rsid w:val="00081D94"/>
    <w:rsid w:val="00081DD0"/>
    <w:rsid w:val="0008207D"/>
    <w:rsid w:val="0008218D"/>
    <w:rsid w:val="000821AB"/>
    <w:rsid w:val="000822D1"/>
    <w:rsid w:val="000822DC"/>
    <w:rsid w:val="000822EB"/>
    <w:rsid w:val="0008245A"/>
    <w:rsid w:val="00082490"/>
    <w:rsid w:val="0008260F"/>
    <w:rsid w:val="00082810"/>
    <w:rsid w:val="00082A53"/>
    <w:rsid w:val="00082C44"/>
    <w:rsid w:val="00083095"/>
    <w:rsid w:val="00083516"/>
    <w:rsid w:val="00083A64"/>
    <w:rsid w:val="00083B7E"/>
    <w:rsid w:val="00083BC2"/>
    <w:rsid w:val="00083D95"/>
    <w:rsid w:val="00083E3C"/>
    <w:rsid w:val="00083EC2"/>
    <w:rsid w:val="00083F5C"/>
    <w:rsid w:val="000840D9"/>
    <w:rsid w:val="0008419B"/>
    <w:rsid w:val="00084385"/>
    <w:rsid w:val="000844CA"/>
    <w:rsid w:val="000845B7"/>
    <w:rsid w:val="000845C6"/>
    <w:rsid w:val="00084651"/>
    <w:rsid w:val="0008465E"/>
    <w:rsid w:val="0008473E"/>
    <w:rsid w:val="00084A82"/>
    <w:rsid w:val="00084AF3"/>
    <w:rsid w:val="00084B6C"/>
    <w:rsid w:val="00084B6D"/>
    <w:rsid w:val="00084C00"/>
    <w:rsid w:val="00084DEA"/>
    <w:rsid w:val="00084DEE"/>
    <w:rsid w:val="00084E41"/>
    <w:rsid w:val="000852E8"/>
    <w:rsid w:val="000853AB"/>
    <w:rsid w:val="000856A2"/>
    <w:rsid w:val="000856D2"/>
    <w:rsid w:val="00085827"/>
    <w:rsid w:val="00085879"/>
    <w:rsid w:val="000858B8"/>
    <w:rsid w:val="00085ADC"/>
    <w:rsid w:val="00085F60"/>
    <w:rsid w:val="0008608B"/>
    <w:rsid w:val="0008636A"/>
    <w:rsid w:val="000863EE"/>
    <w:rsid w:val="0008640F"/>
    <w:rsid w:val="0008662A"/>
    <w:rsid w:val="0008682C"/>
    <w:rsid w:val="00086849"/>
    <w:rsid w:val="000869F4"/>
    <w:rsid w:val="000869F7"/>
    <w:rsid w:val="00086C16"/>
    <w:rsid w:val="00086CB5"/>
    <w:rsid w:val="0008700B"/>
    <w:rsid w:val="0008700C"/>
    <w:rsid w:val="0008747C"/>
    <w:rsid w:val="00087500"/>
    <w:rsid w:val="00087583"/>
    <w:rsid w:val="00087B96"/>
    <w:rsid w:val="00087BD9"/>
    <w:rsid w:val="000900F4"/>
    <w:rsid w:val="0009048D"/>
    <w:rsid w:val="000904CC"/>
    <w:rsid w:val="00090979"/>
    <w:rsid w:val="00090D2F"/>
    <w:rsid w:val="00090EC6"/>
    <w:rsid w:val="00090F36"/>
    <w:rsid w:val="000916EE"/>
    <w:rsid w:val="0009193A"/>
    <w:rsid w:val="00091A30"/>
    <w:rsid w:val="00091B3E"/>
    <w:rsid w:val="00091B52"/>
    <w:rsid w:val="00091C91"/>
    <w:rsid w:val="00091D22"/>
    <w:rsid w:val="00091F4A"/>
    <w:rsid w:val="00091FB1"/>
    <w:rsid w:val="00091FF8"/>
    <w:rsid w:val="00092127"/>
    <w:rsid w:val="00092A49"/>
    <w:rsid w:val="00092B1E"/>
    <w:rsid w:val="00092B9B"/>
    <w:rsid w:val="00092DD2"/>
    <w:rsid w:val="00092F07"/>
    <w:rsid w:val="0009303A"/>
    <w:rsid w:val="00093346"/>
    <w:rsid w:val="000937A1"/>
    <w:rsid w:val="000937E1"/>
    <w:rsid w:val="00093928"/>
    <w:rsid w:val="00093B42"/>
    <w:rsid w:val="00093C24"/>
    <w:rsid w:val="00093C7C"/>
    <w:rsid w:val="00093F71"/>
    <w:rsid w:val="0009422B"/>
    <w:rsid w:val="00094312"/>
    <w:rsid w:val="0009454D"/>
    <w:rsid w:val="000945B1"/>
    <w:rsid w:val="000945BA"/>
    <w:rsid w:val="00094690"/>
    <w:rsid w:val="000946EE"/>
    <w:rsid w:val="0009471D"/>
    <w:rsid w:val="000948D7"/>
    <w:rsid w:val="0009495F"/>
    <w:rsid w:val="00094A5A"/>
    <w:rsid w:val="00094E70"/>
    <w:rsid w:val="00094EAA"/>
    <w:rsid w:val="00095075"/>
    <w:rsid w:val="000950FC"/>
    <w:rsid w:val="000952CD"/>
    <w:rsid w:val="00095512"/>
    <w:rsid w:val="000959C7"/>
    <w:rsid w:val="00095A0F"/>
    <w:rsid w:val="00095A18"/>
    <w:rsid w:val="00095BD9"/>
    <w:rsid w:val="00095D06"/>
    <w:rsid w:val="00096304"/>
    <w:rsid w:val="0009636D"/>
    <w:rsid w:val="000963D8"/>
    <w:rsid w:val="000965EC"/>
    <w:rsid w:val="0009689C"/>
    <w:rsid w:val="00096B0C"/>
    <w:rsid w:val="00096D97"/>
    <w:rsid w:val="00096F5C"/>
    <w:rsid w:val="000975E6"/>
    <w:rsid w:val="000979F5"/>
    <w:rsid w:val="00097AA8"/>
    <w:rsid w:val="00097B37"/>
    <w:rsid w:val="00097C96"/>
    <w:rsid w:val="00097D6D"/>
    <w:rsid w:val="000A072B"/>
    <w:rsid w:val="000A075D"/>
    <w:rsid w:val="000A0AB1"/>
    <w:rsid w:val="000A0B6E"/>
    <w:rsid w:val="000A0D61"/>
    <w:rsid w:val="000A0DA5"/>
    <w:rsid w:val="000A0DC0"/>
    <w:rsid w:val="000A0E7D"/>
    <w:rsid w:val="000A10F5"/>
    <w:rsid w:val="000A1136"/>
    <w:rsid w:val="000A1308"/>
    <w:rsid w:val="000A133F"/>
    <w:rsid w:val="000A13D2"/>
    <w:rsid w:val="000A1812"/>
    <w:rsid w:val="000A1D07"/>
    <w:rsid w:val="000A1E12"/>
    <w:rsid w:val="000A208A"/>
    <w:rsid w:val="000A2302"/>
    <w:rsid w:val="000A2628"/>
    <w:rsid w:val="000A2738"/>
    <w:rsid w:val="000A2743"/>
    <w:rsid w:val="000A27BF"/>
    <w:rsid w:val="000A29E8"/>
    <w:rsid w:val="000A2A64"/>
    <w:rsid w:val="000A2B31"/>
    <w:rsid w:val="000A2F46"/>
    <w:rsid w:val="000A2F80"/>
    <w:rsid w:val="000A303E"/>
    <w:rsid w:val="000A32A5"/>
    <w:rsid w:val="000A32B7"/>
    <w:rsid w:val="000A33DD"/>
    <w:rsid w:val="000A33E3"/>
    <w:rsid w:val="000A371B"/>
    <w:rsid w:val="000A3A08"/>
    <w:rsid w:val="000A3DA6"/>
    <w:rsid w:val="000A3E88"/>
    <w:rsid w:val="000A413B"/>
    <w:rsid w:val="000A447D"/>
    <w:rsid w:val="000A488B"/>
    <w:rsid w:val="000A489C"/>
    <w:rsid w:val="000A495F"/>
    <w:rsid w:val="000A4963"/>
    <w:rsid w:val="000A4983"/>
    <w:rsid w:val="000A4A9A"/>
    <w:rsid w:val="000A4B95"/>
    <w:rsid w:val="000A4E94"/>
    <w:rsid w:val="000A4F47"/>
    <w:rsid w:val="000A5026"/>
    <w:rsid w:val="000A50FC"/>
    <w:rsid w:val="000A55D0"/>
    <w:rsid w:val="000A592D"/>
    <w:rsid w:val="000A5A6D"/>
    <w:rsid w:val="000A5E67"/>
    <w:rsid w:val="000A5EB1"/>
    <w:rsid w:val="000A5FC8"/>
    <w:rsid w:val="000A5FDE"/>
    <w:rsid w:val="000A6102"/>
    <w:rsid w:val="000A623E"/>
    <w:rsid w:val="000A6252"/>
    <w:rsid w:val="000A65F9"/>
    <w:rsid w:val="000A6826"/>
    <w:rsid w:val="000A69C6"/>
    <w:rsid w:val="000A6D9E"/>
    <w:rsid w:val="000A6EE4"/>
    <w:rsid w:val="000A6FD0"/>
    <w:rsid w:val="000A7000"/>
    <w:rsid w:val="000A720F"/>
    <w:rsid w:val="000A72E0"/>
    <w:rsid w:val="000A7337"/>
    <w:rsid w:val="000A73CE"/>
    <w:rsid w:val="000A7460"/>
    <w:rsid w:val="000A7538"/>
    <w:rsid w:val="000A75CB"/>
    <w:rsid w:val="000A75DF"/>
    <w:rsid w:val="000A7611"/>
    <w:rsid w:val="000A76AB"/>
    <w:rsid w:val="000A76C7"/>
    <w:rsid w:val="000A797B"/>
    <w:rsid w:val="000A7E8C"/>
    <w:rsid w:val="000A7EAB"/>
    <w:rsid w:val="000A7EC2"/>
    <w:rsid w:val="000A7EC5"/>
    <w:rsid w:val="000A7ECB"/>
    <w:rsid w:val="000A7ED9"/>
    <w:rsid w:val="000A7F39"/>
    <w:rsid w:val="000A7F44"/>
    <w:rsid w:val="000A7FEC"/>
    <w:rsid w:val="000B03AF"/>
    <w:rsid w:val="000B057A"/>
    <w:rsid w:val="000B0ADC"/>
    <w:rsid w:val="000B0B9B"/>
    <w:rsid w:val="000B0C64"/>
    <w:rsid w:val="000B0CFD"/>
    <w:rsid w:val="000B0D03"/>
    <w:rsid w:val="000B0E8B"/>
    <w:rsid w:val="000B10AC"/>
    <w:rsid w:val="000B13FA"/>
    <w:rsid w:val="000B1538"/>
    <w:rsid w:val="000B1600"/>
    <w:rsid w:val="000B1614"/>
    <w:rsid w:val="000B18B6"/>
    <w:rsid w:val="000B1A6F"/>
    <w:rsid w:val="000B1C1C"/>
    <w:rsid w:val="000B1C20"/>
    <w:rsid w:val="000B1F3F"/>
    <w:rsid w:val="000B2258"/>
    <w:rsid w:val="000B243F"/>
    <w:rsid w:val="000B2534"/>
    <w:rsid w:val="000B2564"/>
    <w:rsid w:val="000B2777"/>
    <w:rsid w:val="000B2823"/>
    <w:rsid w:val="000B282A"/>
    <w:rsid w:val="000B2D20"/>
    <w:rsid w:val="000B2D43"/>
    <w:rsid w:val="000B2F18"/>
    <w:rsid w:val="000B2F53"/>
    <w:rsid w:val="000B3410"/>
    <w:rsid w:val="000B39EF"/>
    <w:rsid w:val="000B3DCE"/>
    <w:rsid w:val="000B4099"/>
    <w:rsid w:val="000B41C9"/>
    <w:rsid w:val="000B43A8"/>
    <w:rsid w:val="000B453F"/>
    <w:rsid w:val="000B467A"/>
    <w:rsid w:val="000B46BA"/>
    <w:rsid w:val="000B4A86"/>
    <w:rsid w:val="000B4A87"/>
    <w:rsid w:val="000B4C2F"/>
    <w:rsid w:val="000B4CBC"/>
    <w:rsid w:val="000B4D04"/>
    <w:rsid w:val="000B4DE1"/>
    <w:rsid w:val="000B4E2D"/>
    <w:rsid w:val="000B50ED"/>
    <w:rsid w:val="000B5106"/>
    <w:rsid w:val="000B52E7"/>
    <w:rsid w:val="000B579F"/>
    <w:rsid w:val="000B5B78"/>
    <w:rsid w:val="000B5BF4"/>
    <w:rsid w:val="000B5C7B"/>
    <w:rsid w:val="000B5DF2"/>
    <w:rsid w:val="000B5E02"/>
    <w:rsid w:val="000B5FB9"/>
    <w:rsid w:val="000B6339"/>
    <w:rsid w:val="000B6526"/>
    <w:rsid w:val="000B674C"/>
    <w:rsid w:val="000B692A"/>
    <w:rsid w:val="000B73C4"/>
    <w:rsid w:val="000B74C5"/>
    <w:rsid w:val="000B7529"/>
    <w:rsid w:val="000B75DF"/>
    <w:rsid w:val="000B7C3E"/>
    <w:rsid w:val="000B7CD8"/>
    <w:rsid w:val="000B7CF7"/>
    <w:rsid w:val="000B7E2F"/>
    <w:rsid w:val="000B7F6B"/>
    <w:rsid w:val="000B7F85"/>
    <w:rsid w:val="000B7FA6"/>
    <w:rsid w:val="000C0122"/>
    <w:rsid w:val="000C012D"/>
    <w:rsid w:val="000C0130"/>
    <w:rsid w:val="000C0289"/>
    <w:rsid w:val="000C0555"/>
    <w:rsid w:val="000C0648"/>
    <w:rsid w:val="000C0867"/>
    <w:rsid w:val="000C0BAB"/>
    <w:rsid w:val="000C0C4F"/>
    <w:rsid w:val="000C0D1E"/>
    <w:rsid w:val="000C0FF7"/>
    <w:rsid w:val="000C1069"/>
    <w:rsid w:val="000C12FC"/>
    <w:rsid w:val="000C1354"/>
    <w:rsid w:val="000C1619"/>
    <w:rsid w:val="000C1736"/>
    <w:rsid w:val="000C17A8"/>
    <w:rsid w:val="000C17C7"/>
    <w:rsid w:val="000C1827"/>
    <w:rsid w:val="000C18BA"/>
    <w:rsid w:val="000C1965"/>
    <w:rsid w:val="000C19C8"/>
    <w:rsid w:val="000C1A23"/>
    <w:rsid w:val="000C2057"/>
    <w:rsid w:val="000C226D"/>
    <w:rsid w:val="000C252D"/>
    <w:rsid w:val="000C282D"/>
    <w:rsid w:val="000C2844"/>
    <w:rsid w:val="000C29B9"/>
    <w:rsid w:val="000C2A09"/>
    <w:rsid w:val="000C2BE1"/>
    <w:rsid w:val="000C2CCC"/>
    <w:rsid w:val="000C2E6A"/>
    <w:rsid w:val="000C30F0"/>
    <w:rsid w:val="000C3116"/>
    <w:rsid w:val="000C31D2"/>
    <w:rsid w:val="000C34E7"/>
    <w:rsid w:val="000C3668"/>
    <w:rsid w:val="000C3997"/>
    <w:rsid w:val="000C3B14"/>
    <w:rsid w:val="000C3E1C"/>
    <w:rsid w:val="000C3EE8"/>
    <w:rsid w:val="000C3F0E"/>
    <w:rsid w:val="000C42E8"/>
    <w:rsid w:val="000C45F5"/>
    <w:rsid w:val="000C46E7"/>
    <w:rsid w:val="000C482C"/>
    <w:rsid w:val="000C4865"/>
    <w:rsid w:val="000C4892"/>
    <w:rsid w:val="000C4997"/>
    <w:rsid w:val="000C4A04"/>
    <w:rsid w:val="000C5040"/>
    <w:rsid w:val="000C50CA"/>
    <w:rsid w:val="000C54CF"/>
    <w:rsid w:val="000C5592"/>
    <w:rsid w:val="000C5ADC"/>
    <w:rsid w:val="000C5B79"/>
    <w:rsid w:val="000C5CA6"/>
    <w:rsid w:val="000C5E92"/>
    <w:rsid w:val="000C6368"/>
    <w:rsid w:val="000C6405"/>
    <w:rsid w:val="000C649F"/>
    <w:rsid w:val="000C653D"/>
    <w:rsid w:val="000C65D2"/>
    <w:rsid w:val="000C68C2"/>
    <w:rsid w:val="000C6A17"/>
    <w:rsid w:val="000C6B2F"/>
    <w:rsid w:val="000C6D18"/>
    <w:rsid w:val="000C6E8A"/>
    <w:rsid w:val="000C6FE0"/>
    <w:rsid w:val="000C71A4"/>
    <w:rsid w:val="000C71CD"/>
    <w:rsid w:val="000C74BF"/>
    <w:rsid w:val="000C7507"/>
    <w:rsid w:val="000C7536"/>
    <w:rsid w:val="000C7544"/>
    <w:rsid w:val="000C75A3"/>
    <w:rsid w:val="000C7744"/>
    <w:rsid w:val="000C7806"/>
    <w:rsid w:val="000C7881"/>
    <w:rsid w:val="000C7898"/>
    <w:rsid w:val="000C799B"/>
    <w:rsid w:val="000C7AFC"/>
    <w:rsid w:val="000C7B1F"/>
    <w:rsid w:val="000C7D5C"/>
    <w:rsid w:val="000D00AF"/>
    <w:rsid w:val="000D01CA"/>
    <w:rsid w:val="000D0460"/>
    <w:rsid w:val="000D0470"/>
    <w:rsid w:val="000D0551"/>
    <w:rsid w:val="000D08BE"/>
    <w:rsid w:val="000D0941"/>
    <w:rsid w:val="000D0A17"/>
    <w:rsid w:val="000D0CD3"/>
    <w:rsid w:val="000D0D7A"/>
    <w:rsid w:val="000D0D9D"/>
    <w:rsid w:val="000D11C3"/>
    <w:rsid w:val="000D142D"/>
    <w:rsid w:val="000D1517"/>
    <w:rsid w:val="000D1587"/>
    <w:rsid w:val="000D1948"/>
    <w:rsid w:val="000D1ACB"/>
    <w:rsid w:val="000D1BA5"/>
    <w:rsid w:val="000D1C56"/>
    <w:rsid w:val="000D1FC6"/>
    <w:rsid w:val="000D2347"/>
    <w:rsid w:val="000D249D"/>
    <w:rsid w:val="000D24FE"/>
    <w:rsid w:val="000D25A2"/>
    <w:rsid w:val="000D27C5"/>
    <w:rsid w:val="000D28F4"/>
    <w:rsid w:val="000D292A"/>
    <w:rsid w:val="000D2A30"/>
    <w:rsid w:val="000D2B61"/>
    <w:rsid w:val="000D2C0D"/>
    <w:rsid w:val="000D2E08"/>
    <w:rsid w:val="000D31C9"/>
    <w:rsid w:val="000D3206"/>
    <w:rsid w:val="000D3233"/>
    <w:rsid w:val="000D3323"/>
    <w:rsid w:val="000D3632"/>
    <w:rsid w:val="000D3703"/>
    <w:rsid w:val="000D3796"/>
    <w:rsid w:val="000D37A7"/>
    <w:rsid w:val="000D391A"/>
    <w:rsid w:val="000D3B5F"/>
    <w:rsid w:val="000D3D9D"/>
    <w:rsid w:val="000D3DF1"/>
    <w:rsid w:val="000D3ECD"/>
    <w:rsid w:val="000D3EDB"/>
    <w:rsid w:val="000D3F0D"/>
    <w:rsid w:val="000D4014"/>
    <w:rsid w:val="000D451F"/>
    <w:rsid w:val="000D467D"/>
    <w:rsid w:val="000D48A9"/>
    <w:rsid w:val="000D499C"/>
    <w:rsid w:val="000D4A5F"/>
    <w:rsid w:val="000D4B6F"/>
    <w:rsid w:val="000D4C56"/>
    <w:rsid w:val="000D4F8E"/>
    <w:rsid w:val="000D51BE"/>
    <w:rsid w:val="000D583E"/>
    <w:rsid w:val="000D58AC"/>
    <w:rsid w:val="000D5982"/>
    <w:rsid w:val="000D5993"/>
    <w:rsid w:val="000D5A25"/>
    <w:rsid w:val="000D60BD"/>
    <w:rsid w:val="000D63F0"/>
    <w:rsid w:val="000D655F"/>
    <w:rsid w:val="000D6602"/>
    <w:rsid w:val="000D6695"/>
    <w:rsid w:val="000D6746"/>
    <w:rsid w:val="000D6915"/>
    <w:rsid w:val="000D6D00"/>
    <w:rsid w:val="000D6D8F"/>
    <w:rsid w:val="000D703A"/>
    <w:rsid w:val="000D7189"/>
    <w:rsid w:val="000D725A"/>
    <w:rsid w:val="000D73CC"/>
    <w:rsid w:val="000D74C2"/>
    <w:rsid w:val="000D78C6"/>
    <w:rsid w:val="000D7942"/>
    <w:rsid w:val="000D795F"/>
    <w:rsid w:val="000D7BE1"/>
    <w:rsid w:val="000D7D64"/>
    <w:rsid w:val="000D7DF9"/>
    <w:rsid w:val="000D7E2C"/>
    <w:rsid w:val="000E00DE"/>
    <w:rsid w:val="000E00F6"/>
    <w:rsid w:val="000E0100"/>
    <w:rsid w:val="000E0144"/>
    <w:rsid w:val="000E01B2"/>
    <w:rsid w:val="000E0627"/>
    <w:rsid w:val="000E0789"/>
    <w:rsid w:val="000E07B6"/>
    <w:rsid w:val="000E0A7F"/>
    <w:rsid w:val="000E0F6A"/>
    <w:rsid w:val="000E1107"/>
    <w:rsid w:val="000E12BA"/>
    <w:rsid w:val="000E1EF6"/>
    <w:rsid w:val="000E1F7D"/>
    <w:rsid w:val="000E1FA0"/>
    <w:rsid w:val="000E1FE6"/>
    <w:rsid w:val="000E2301"/>
    <w:rsid w:val="000E23A8"/>
    <w:rsid w:val="000E2471"/>
    <w:rsid w:val="000E2506"/>
    <w:rsid w:val="000E25AE"/>
    <w:rsid w:val="000E25F9"/>
    <w:rsid w:val="000E2935"/>
    <w:rsid w:val="000E2DA1"/>
    <w:rsid w:val="000E312E"/>
    <w:rsid w:val="000E3257"/>
    <w:rsid w:val="000E3435"/>
    <w:rsid w:val="000E3565"/>
    <w:rsid w:val="000E357D"/>
    <w:rsid w:val="000E35A6"/>
    <w:rsid w:val="000E373C"/>
    <w:rsid w:val="000E37EE"/>
    <w:rsid w:val="000E3CA9"/>
    <w:rsid w:val="000E4190"/>
    <w:rsid w:val="000E43DA"/>
    <w:rsid w:val="000E4561"/>
    <w:rsid w:val="000E4D75"/>
    <w:rsid w:val="000E5009"/>
    <w:rsid w:val="000E5181"/>
    <w:rsid w:val="000E535A"/>
    <w:rsid w:val="000E53B1"/>
    <w:rsid w:val="000E5480"/>
    <w:rsid w:val="000E56B3"/>
    <w:rsid w:val="000E5C8F"/>
    <w:rsid w:val="000E5DD9"/>
    <w:rsid w:val="000E5F4E"/>
    <w:rsid w:val="000E683F"/>
    <w:rsid w:val="000E6B30"/>
    <w:rsid w:val="000E6E06"/>
    <w:rsid w:val="000E6E6D"/>
    <w:rsid w:val="000E7167"/>
    <w:rsid w:val="000E716D"/>
    <w:rsid w:val="000E719F"/>
    <w:rsid w:val="000E71AE"/>
    <w:rsid w:val="000E7206"/>
    <w:rsid w:val="000E731C"/>
    <w:rsid w:val="000E7363"/>
    <w:rsid w:val="000E73A0"/>
    <w:rsid w:val="000E745B"/>
    <w:rsid w:val="000E757E"/>
    <w:rsid w:val="000E75D6"/>
    <w:rsid w:val="000E7787"/>
    <w:rsid w:val="000E7951"/>
    <w:rsid w:val="000E79E6"/>
    <w:rsid w:val="000E7D85"/>
    <w:rsid w:val="000E7EF9"/>
    <w:rsid w:val="000F0071"/>
    <w:rsid w:val="000F017E"/>
    <w:rsid w:val="000F02FD"/>
    <w:rsid w:val="000F05A0"/>
    <w:rsid w:val="000F0658"/>
    <w:rsid w:val="000F0688"/>
    <w:rsid w:val="000F0816"/>
    <w:rsid w:val="000F0998"/>
    <w:rsid w:val="000F09ED"/>
    <w:rsid w:val="000F0BE5"/>
    <w:rsid w:val="000F0C38"/>
    <w:rsid w:val="000F0C3B"/>
    <w:rsid w:val="000F0C3D"/>
    <w:rsid w:val="000F0D0E"/>
    <w:rsid w:val="000F0FDC"/>
    <w:rsid w:val="000F102E"/>
    <w:rsid w:val="000F110F"/>
    <w:rsid w:val="000F1133"/>
    <w:rsid w:val="000F114B"/>
    <w:rsid w:val="000F11EC"/>
    <w:rsid w:val="000F144B"/>
    <w:rsid w:val="000F16AB"/>
    <w:rsid w:val="000F174B"/>
    <w:rsid w:val="000F182F"/>
    <w:rsid w:val="000F1A9F"/>
    <w:rsid w:val="000F1C7F"/>
    <w:rsid w:val="000F1CC0"/>
    <w:rsid w:val="000F2033"/>
    <w:rsid w:val="000F2070"/>
    <w:rsid w:val="000F2240"/>
    <w:rsid w:val="000F28EB"/>
    <w:rsid w:val="000F2DBC"/>
    <w:rsid w:val="000F2E04"/>
    <w:rsid w:val="000F2E14"/>
    <w:rsid w:val="000F2E60"/>
    <w:rsid w:val="000F2F1A"/>
    <w:rsid w:val="000F2F61"/>
    <w:rsid w:val="000F30A3"/>
    <w:rsid w:val="000F32AE"/>
    <w:rsid w:val="000F344F"/>
    <w:rsid w:val="000F403F"/>
    <w:rsid w:val="000F406E"/>
    <w:rsid w:val="000F434A"/>
    <w:rsid w:val="000F4354"/>
    <w:rsid w:val="000F452B"/>
    <w:rsid w:val="000F455B"/>
    <w:rsid w:val="000F4991"/>
    <w:rsid w:val="000F49B2"/>
    <w:rsid w:val="000F4B85"/>
    <w:rsid w:val="000F4BA2"/>
    <w:rsid w:val="000F4C5C"/>
    <w:rsid w:val="000F5234"/>
    <w:rsid w:val="000F53CE"/>
    <w:rsid w:val="000F53EC"/>
    <w:rsid w:val="000F5439"/>
    <w:rsid w:val="000F5527"/>
    <w:rsid w:val="000F5665"/>
    <w:rsid w:val="000F59B8"/>
    <w:rsid w:val="000F5C2D"/>
    <w:rsid w:val="000F5CEF"/>
    <w:rsid w:val="000F5E1C"/>
    <w:rsid w:val="000F5E65"/>
    <w:rsid w:val="000F5EF4"/>
    <w:rsid w:val="000F609D"/>
    <w:rsid w:val="000F60DF"/>
    <w:rsid w:val="000F6122"/>
    <w:rsid w:val="000F63CB"/>
    <w:rsid w:val="000F647F"/>
    <w:rsid w:val="000F67FA"/>
    <w:rsid w:val="000F6869"/>
    <w:rsid w:val="000F6A5A"/>
    <w:rsid w:val="000F6B82"/>
    <w:rsid w:val="000F6D7A"/>
    <w:rsid w:val="000F6E89"/>
    <w:rsid w:val="000F7027"/>
    <w:rsid w:val="000F725D"/>
    <w:rsid w:val="000F72AF"/>
    <w:rsid w:val="000F740D"/>
    <w:rsid w:val="000F74CA"/>
    <w:rsid w:val="000F7680"/>
    <w:rsid w:val="000F7A0B"/>
    <w:rsid w:val="000F7A41"/>
    <w:rsid w:val="000F7D63"/>
    <w:rsid w:val="000F7EB5"/>
    <w:rsid w:val="001000AA"/>
    <w:rsid w:val="0010022D"/>
    <w:rsid w:val="00100295"/>
    <w:rsid w:val="001002A3"/>
    <w:rsid w:val="001002CA"/>
    <w:rsid w:val="001005A1"/>
    <w:rsid w:val="00100725"/>
    <w:rsid w:val="0010083F"/>
    <w:rsid w:val="00100985"/>
    <w:rsid w:val="00100B99"/>
    <w:rsid w:val="001011F0"/>
    <w:rsid w:val="001011F4"/>
    <w:rsid w:val="0010147E"/>
    <w:rsid w:val="001014DA"/>
    <w:rsid w:val="00101996"/>
    <w:rsid w:val="00101C60"/>
    <w:rsid w:val="00101CC3"/>
    <w:rsid w:val="00101D36"/>
    <w:rsid w:val="00101D4C"/>
    <w:rsid w:val="00101D8A"/>
    <w:rsid w:val="00101D90"/>
    <w:rsid w:val="00101DA3"/>
    <w:rsid w:val="00101EE7"/>
    <w:rsid w:val="0010207B"/>
    <w:rsid w:val="0010217E"/>
    <w:rsid w:val="001025F5"/>
    <w:rsid w:val="00102691"/>
    <w:rsid w:val="001026C8"/>
    <w:rsid w:val="00102A6B"/>
    <w:rsid w:val="00102B9A"/>
    <w:rsid w:val="00102C2B"/>
    <w:rsid w:val="001031BE"/>
    <w:rsid w:val="00103294"/>
    <w:rsid w:val="00103314"/>
    <w:rsid w:val="00103430"/>
    <w:rsid w:val="0010344C"/>
    <w:rsid w:val="001035FA"/>
    <w:rsid w:val="00103663"/>
    <w:rsid w:val="00103670"/>
    <w:rsid w:val="00103739"/>
    <w:rsid w:val="0010377F"/>
    <w:rsid w:val="00103895"/>
    <w:rsid w:val="00103AFF"/>
    <w:rsid w:val="00103B59"/>
    <w:rsid w:val="00103D98"/>
    <w:rsid w:val="00103F42"/>
    <w:rsid w:val="001040A2"/>
    <w:rsid w:val="001042AC"/>
    <w:rsid w:val="00104667"/>
    <w:rsid w:val="0010475E"/>
    <w:rsid w:val="0010499D"/>
    <w:rsid w:val="00104A93"/>
    <w:rsid w:val="00104BD5"/>
    <w:rsid w:val="00104C7B"/>
    <w:rsid w:val="00104DA8"/>
    <w:rsid w:val="0010503E"/>
    <w:rsid w:val="001050AA"/>
    <w:rsid w:val="001052A3"/>
    <w:rsid w:val="0010553E"/>
    <w:rsid w:val="00105631"/>
    <w:rsid w:val="001057C0"/>
    <w:rsid w:val="00105906"/>
    <w:rsid w:val="00105AFC"/>
    <w:rsid w:val="00105BC0"/>
    <w:rsid w:val="00105CEF"/>
    <w:rsid w:val="00105E01"/>
    <w:rsid w:val="00105E28"/>
    <w:rsid w:val="001060EE"/>
    <w:rsid w:val="00106431"/>
    <w:rsid w:val="00106459"/>
    <w:rsid w:val="001067AD"/>
    <w:rsid w:val="00106C2B"/>
    <w:rsid w:val="00106C9B"/>
    <w:rsid w:val="00106CCC"/>
    <w:rsid w:val="00106D64"/>
    <w:rsid w:val="00106DF4"/>
    <w:rsid w:val="00106E52"/>
    <w:rsid w:val="00106F8B"/>
    <w:rsid w:val="00107159"/>
    <w:rsid w:val="001071CD"/>
    <w:rsid w:val="001074E8"/>
    <w:rsid w:val="00107705"/>
    <w:rsid w:val="00107720"/>
    <w:rsid w:val="00107722"/>
    <w:rsid w:val="001077C1"/>
    <w:rsid w:val="001078A1"/>
    <w:rsid w:val="001078B9"/>
    <w:rsid w:val="00107906"/>
    <w:rsid w:val="001079FD"/>
    <w:rsid w:val="00107AA5"/>
    <w:rsid w:val="00107B1B"/>
    <w:rsid w:val="001106F3"/>
    <w:rsid w:val="001109DC"/>
    <w:rsid w:val="001109FF"/>
    <w:rsid w:val="00110ADE"/>
    <w:rsid w:val="00110CE3"/>
    <w:rsid w:val="00110F2B"/>
    <w:rsid w:val="0011108E"/>
    <w:rsid w:val="00111097"/>
    <w:rsid w:val="001110F9"/>
    <w:rsid w:val="001113D8"/>
    <w:rsid w:val="001113EB"/>
    <w:rsid w:val="001114F0"/>
    <w:rsid w:val="001115EF"/>
    <w:rsid w:val="001117F3"/>
    <w:rsid w:val="001118D6"/>
    <w:rsid w:val="00111962"/>
    <w:rsid w:val="00111A6E"/>
    <w:rsid w:val="00111E02"/>
    <w:rsid w:val="00112024"/>
    <w:rsid w:val="001122F3"/>
    <w:rsid w:val="00112455"/>
    <w:rsid w:val="001127D6"/>
    <w:rsid w:val="00112BCF"/>
    <w:rsid w:val="00112C3F"/>
    <w:rsid w:val="00112CCD"/>
    <w:rsid w:val="001130A6"/>
    <w:rsid w:val="0011329F"/>
    <w:rsid w:val="001132A6"/>
    <w:rsid w:val="0011335D"/>
    <w:rsid w:val="0011376A"/>
    <w:rsid w:val="00113BF2"/>
    <w:rsid w:val="00113C66"/>
    <w:rsid w:val="00113CEA"/>
    <w:rsid w:val="00113FB7"/>
    <w:rsid w:val="001148CD"/>
    <w:rsid w:val="00114B4E"/>
    <w:rsid w:val="00114B57"/>
    <w:rsid w:val="00114CF5"/>
    <w:rsid w:val="00114D1A"/>
    <w:rsid w:val="00114E16"/>
    <w:rsid w:val="00114F06"/>
    <w:rsid w:val="00114FA3"/>
    <w:rsid w:val="00114FD1"/>
    <w:rsid w:val="00115035"/>
    <w:rsid w:val="0011517C"/>
    <w:rsid w:val="0011527E"/>
    <w:rsid w:val="001152F6"/>
    <w:rsid w:val="001153BC"/>
    <w:rsid w:val="00115485"/>
    <w:rsid w:val="00115494"/>
    <w:rsid w:val="001156D9"/>
    <w:rsid w:val="0011577D"/>
    <w:rsid w:val="00115815"/>
    <w:rsid w:val="00115977"/>
    <w:rsid w:val="00115C72"/>
    <w:rsid w:val="001160F2"/>
    <w:rsid w:val="001164F1"/>
    <w:rsid w:val="001166DA"/>
    <w:rsid w:val="0011692D"/>
    <w:rsid w:val="00116C1F"/>
    <w:rsid w:val="00116C84"/>
    <w:rsid w:val="00116F47"/>
    <w:rsid w:val="001171A9"/>
    <w:rsid w:val="0011722C"/>
    <w:rsid w:val="001174D4"/>
    <w:rsid w:val="00117844"/>
    <w:rsid w:val="00117A26"/>
    <w:rsid w:val="00117A3F"/>
    <w:rsid w:val="00117A4F"/>
    <w:rsid w:val="00117AE0"/>
    <w:rsid w:val="00117C44"/>
    <w:rsid w:val="00117D32"/>
    <w:rsid w:val="001201A5"/>
    <w:rsid w:val="001202F2"/>
    <w:rsid w:val="001203DD"/>
    <w:rsid w:val="0012052F"/>
    <w:rsid w:val="00120C1D"/>
    <w:rsid w:val="00120DAD"/>
    <w:rsid w:val="00120E1A"/>
    <w:rsid w:val="001210EE"/>
    <w:rsid w:val="0012134E"/>
    <w:rsid w:val="001216E7"/>
    <w:rsid w:val="00121906"/>
    <w:rsid w:val="00121A2A"/>
    <w:rsid w:val="00121B8E"/>
    <w:rsid w:val="00121CC6"/>
    <w:rsid w:val="00121D43"/>
    <w:rsid w:val="00121F63"/>
    <w:rsid w:val="00121FF7"/>
    <w:rsid w:val="0012265B"/>
    <w:rsid w:val="00122757"/>
    <w:rsid w:val="00122889"/>
    <w:rsid w:val="001229FA"/>
    <w:rsid w:val="00122BD4"/>
    <w:rsid w:val="00122C38"/>
    <w:rsid w:val="00122D23"/>
    <w:rsid w:val="00122F08"/>
    <w:rsid w:val="00123027"/>
    <w:rsid w:val="00123226"/>
    <w:rsid w:val="0012325B"/>
    <w:rsid w:val="00123276"/>
    <w:rsid w:val="001232C4"/>
    <w:rsid w:val="001233D3"/>
    <w:rsid w:val="001233F6"/>
    <w:rsid w:val="00123887"/>
    <w:rsid w:val="00123AF2"/>
    <w:rsid w:val="00123B81"/>
    <w:rsid w:val="00123C09"/>
    <w:rsid w:val="00123C77"/>
    <w:rsid w:val="00123CB4"/>
    <w:rsid w:val="00123DF5"/>
    <w:rsid w:val="00123E41"/>
    <w:rsid w:val="00124029"/>
    <w:rsid w:val="00124364"/>
    <w:rsid w:val="001245C0"/>
    <w:rsid w:val="001246D4"/>
    <w:rsid w:val="001248B4"/>
    <w:rsid w:val="001249D1"/>
    <w:rsid w:val="001249D7"/>
    <w:rsid w:val="00124A41"/>
    <w:rsid w:val="00124DF3"/>
    <w:rsid w:val="00124E29"/>
    <w:rsid w:val="00124EAA"/>
    <w:rsid w:val="001250F5"/>
    <w:rsid w:val="00125128"/>
    <w:rsid w:val="0012519F"/>
    <w:rsid w:val="001255D6"/>
    <w:rsid w:val="00125692"/>
    <w:rsid w:val="00125CF6"/>
    <w:rsid w:val="001260F0"/>
    <w:rsid w:val="0012685A"/>
    <w:rsid w:val="0012696D"/>
    <w:rsid w:val="00126DB7"/>
    <w:rsid w:val="00126EBB"/>
    <w:rsid w:val="001273AA"/>
    <w:rsid w:val="0012762D"/>
    <w:rsid w:val="0012773E"/>
    <w:rsid w:val="00127825"/>
    <w:rsid w:val="001279EB"/>
    <w:rsid w:val="00127BCA"/>
    <w:rsid w:val="00127BDD"/>
    <w:rsid w:val="00127EFE"/>
    <w:rsid w:val="00130167"/>
    <w:rsid w:val="001307DC"/>
    <w:rsid w:val="00130868"/>
    <w:rsid w:val="0013095A"/>
    <w:rsid w:val="00130D34"/>
    <w:rsid w:val="00130E6B"/>
    <w:rsid w:val="00130EEB"/>
    <w:rsid w:val="001310EF"/>
    <w:rsid w:val="0013113B"/>
    <w:rsid w:val="0013125B"/>
    <w:rsid w:val="001315F2"/>
    <w:rsid w:val="001316BF"/>
    <w:rsid w:val="0013172D"/>
    <w:rsid w:val="001318EA"/>
    <w:rsid w:val="001319A6"/>
    <w:rsid w:val="001319EC"/>
    <w:rsid w:val="00131A19"/>
    <w:rsid w:val="00131D92"/>
    <w:rsid w:val="00131E7E"/>
    <w:rsid w:val="00131FFE"/>
    <w:rsid w:val="00132003"/>
    <w:rsid w:val="001322E2"/>
    <w:rsid w:val="001322FB"/>
    <w:rsid w:val="00132308"/>
    <w:rsid w:val="00132597"/>
    <w:rsid w:val="0013264A"/>
    <w:rsid w:val="001326CF"/>
    <w:rsid w:val="00132829"/>
    <w:rsid w:val="0013285E"/>
    <w:rsid w:val="00132A82"/>
    <w:rsid w:val="00132F6D"/>
    <w:rsid w:val="00133176"/>
    <w:rsid w:val="0013318C"/>
    <w:rsid w:val="001335E1"/>
    <w:rsid w:val="0013362C"/>
    <w:rsid w:val="00133720"/>
    <w:rsid w:val="00133C7E"/>
    <w:rsid w:val="00133F45"/>
    <w:rsid w:val="00133F9B"/>
    <w:rsid w:val="0013417C"/>
    <w:rsid w:val="001341F9"/>
    <w:rsid w:val="0013430E"/>
    <w:rsid w:val="00134318"/>
    <w:rsid w:val="001345ED"/>
    <w:rsid w:val="0013478C"/>
    <w:rsid w:val="00134ABD"/>
    <w:rsid w:val="00134C96"/>
    <w:rsid w:val="00134DA8"/>
    <w:rsid w:val="00134F19"/>
    <w:rsid w:val="00134F28"/>
    <w:rsid w:val="00135070"/>
    <w:rsid w:val="00135406"/>
    <w:rsid w:val="001354EC"/>
    <w:rsid w:val="0013556B"/>
    <w:rsid w:val="0013560F"/>
    <w:rsid w:val="001356AF"/>
    <w:rsid w:val="001356C3"/>
    <w:rsid w:val="001356DB"/>
    <w:rsid w:val="001358C8"/>
    <w:rsid w:val="001359C6"/>
    <w:rsid w:val="00135C61"/>
    <w:rsid w:val="00135C7B"/>
    <w:rsid w:val="00135CB1"/>
    <w:rsid w:val="00135CC3"/>
    <w:rsid w:val="001360F0"/>
    <w:rsid w:val="0013619D"/>
    <w:rsid w:val="0013625A"/>
    <w:rsid w:val="00136297"/>
    <w:rsid w:val="0013637F"/>
    <w:rsid w:val="0013665F"/>
    <w:rsid w:val="0013683E"/>
    <w:rsid w:val="001368E0"/>
    <w:rsid w:val="001368E1"/>
    <w:rsid w:val="00136AB9"/>
    <w:rsid w:val="00136D21"/>
    <w:rsid w:val="00136E20"/>
    <w:rsid w:val="00136F19"/>
    <w:rsid w:val="00137232"/>
    <w:rsid w:val="0013724F"/>
    <w:rsid w:val="00137303"/>
    <w:rsid w:val="00137585"/>
    <w:rsid w:val="0013776F"/>
    <w:rsid w:val="00137BAE"/>
    <w:rsid w:val="0014001A"/>
    <w:rsid w:val="00140112"/>
    <w:rsid w:val="001401F0"/>
    <w:rsid w:val="0014038E"/>
    <w:rsid w:val="00140416"/>
    <w:rsid w:val="0014045F"/>
    <w:rsid w:val="00141413"/>
    <w:rsid w:val="00141497"/>
    <w:rsid w:val="001417FB"/>
    <w:rsid w:val="001419A4"/>
    <w:rsid w:val="00141D4D"/>
    <w:rsid w:val="00141DB6"/>
    <w:rsid w:val="0014205E"/>
    <w:rsid w:val="001422DC"/>
    <w:rsid w:val="00142496"/>
    <w:rsid w:val="001424CE"/>
    <w:rsid w:val="00142761"/>
    <w:rsid w:val="0014278B"/>
    <w:rsid w:val="0014285E"/>
    <w:rsid w:val="0014292A"/>
    <w:rsid w:val="00142E21"/>
    <w:rsid w:val="00142E48"/>
    <w:rsid w:val="00142E65"/>
    <w:rsid w:val="00142FB6"/>
    <w:rsid w:val="001431F2"/>
    <w:rsid w:val="00143410"/>
    <w:rsid w:val="00143418"/>
    <w:rsid w:val="0014366E"/>
    <w:rsid w:val="00143BC7"/>
    <w:rsid w:val="00143C4E"/>
    <w:rsid w:val="00143E7B"/>
    <w:rsid w:val="00143E94"/>
    <w:rsid w:val="00143F9F"/>
    <w:rsid w:val="00143FF0"/>
    <w:rsid w:val="00144085"/>
    <w:rsid w:val="0014431A"/>
    <w:rsid w:val="00144519"/>
    <w:rsid w:val="00144542"/>
    <w:rsid w:val="00144677"/>
    <w:rsid w:val="00144709"/>
    <w:rsid w:val="00144723"/>
    <w:rsid w:val="001447A7"/>
    <w:rsid w:val="001448C6"/>
    <w:rsid w:val="00144B7C"/>
    <w:rsid w:val="00144F1D"/>
    <w:rsid w:val="00144F65"/>
    <w:rsid w:val="00145011"/>
    <w:rsid w:val="00145859"/>
    <w:rsid w:val="00145A48"/>
    <w:rsid w:val="00145CEF"/>
    <w:rsid w:val="00145D65"/>
    <w:rsid w:val="00146145"/>
    <w:rsid w:val="00146277"/>
    <w:rsid w:val="00146393"/>
    <w:rsid w:val="001463A3"/>
    <w:rsid w:val="0014640F"/>
    <w:rsid w:val="001466B5"/>
    <w:rsid w:val="0014677F"/>
    <w:rsid w:val="00146D87"/>
    <w:rsid w:val="00146DB3"/>
    <w:rsid w:val="001470B1"/>
    <w:rsid w:val="001471E0"/>
    <w:rsid w:val="001473C0"/>
    <w:rsid w:val="00147644"/>
    <w:rsid w:val="00147A08"/>
    <w:rsid w:val="00147BF3"/>
    <w:rsid w:val="00147D08"/>
    <w:rsid w:val="00147DAD"/>
    <w:rsid w:val="0015008D"/>
    <w:rsid w:val="00150256"/>
    <w:rsid w:val="001503E2"/>
    <w:rsid w:val="00150404"/>
    <w:rsid w:val="001504A7"/>
    <w:rsid w:val="00150638"/>
    <w:rsid w:val="001506D2"/>
    <w:rsid w:val="001508BE"/>
    <w:rsid w:val="00150AFC"/>
    <w:rsid w:val="00150D24"/>
    <w:rsid w:val="00150E25"/>
    <w:rsid w:val="0015101F"/>
    <w:rsid w:val="001510B1"/>
    <w:rsid w:val="00151135"/>
    <w:rsid w:val="001515A2"/>
    <w:rsid w:val="001516B7"/>
    <w:rsid w:val="001516BE"/>
    <w:rsid w:val="00151805"/>
    <w:rsid w:val="00151B7D"/>
    <w:rsid w:val="00151E20"/>
    <w:rsid w:val="00151E6D"/>
    <w:rsid w:val="00151F06"/>
    <w:rsid w:val="00151F16"/>
    <w:rsid w:val="0015211A"/>
    <w:rsid w:val="0015214F"/>
    <w:rsid w:val="00152462"/>
    <w:rsid w:val="00152514"/>
    <w:rsid w:val="00152581"/>
    <w:rsid w:val="001525A5"/>
    <w:rsid w:val="0015286B"/>
    <w:rsid w:val="001528A5"/>
    <w:rsid w:val="001528AC"/>
    <w:rsid w:val="00152C6F"/>
    <w:rsid w:val="00152E7A"/>
    <w:rsid w:val="00153231"/>
    <w:rsid w:val="00153465"/>
    <w:rsid w:val="001536D0"/>
    <w:rsid w:val="00153732"/>
    <w:rsid w:val="00153740"/>
    <w:rsid w:val="001537B3"/>
    <w:rsid w:val="00153C13"/>
    <w:rsid w:val="00153D20"/>
    <w:rsid w:val="00153D38"/>
    <w:rsid w:val="00153D52"/>
    <w:rsid w:val="00154036"/>
    <w:rsid w:val="00154078"/>
    <w:rsid w:val="0015424A"/>
    <w:rsid w:val="00154262"/>
    <w:rsid w:val="0015435D"/>
    <w:rsid w:val="001543AA"/>
    <w:rsid w:val="00154436"/>
    <w:rsid w:val="001544D4"/>
    <w:rsid w:val="00154537"/>
    <w:rsid w:val="00154623"/>
    <w:rsid w:val="001547E1"/>
    <w:rsid w:val="00154B90"/>
    <w:rsid w:val="00154C33"/>
    <w:rsid w:val="00154F2D"/>
    <w:rsid w:val="00155498"/>
    <w:rsid w:val="0015553D"/>
    <w:rsid w:val="0015567B"/>
    <w:rsid w:val="00155751"/>
    <w:rsid w:val="00155A3A"/>
    <w:rsid w:val="00155B52"/>
    <w:rsid w:val="00155C80"/>
    <w:rsid w:val="00155D94"/>
    <w:rsid w:val="00155E8B"/>
    <w:rsid w:val="00155FF1"/>
    <w:rsid w:val="00156047"/>
    <w:rsid w:val="00156181"/>
    <w:rsid w:val="00156265"/>
    <w:rsid w:val="001563D3"/>
    <w:rsid w:val="001566B8"/>
    <w:rsid w:val="00156B0F"/>
    <w:rsid w:val="00156CE1"/>
    <w:rsid w:val="00157150"/>
    <w:rsid w:val="001571FE"/>
    <w:rsid w:val="00157486"/>
    <w:rsid w:val="0015774E"/>
    <w:rsid w:val="00157977"/>
    <w:rsid w:val="00157BD9"/>
    <w:rsid w:val="00157E81"/>
    <w:rsid w:val="00160026"/>
    <w:rsid w:val="00160042"/>
    <w:rsid w:val="001602A9"/>
    <w:rsid w:val="00160342"/>
    <w:rsid w:val="00160458"/>
    <w:rsid w:val="0016065F"/>
    <w:rsid w:val="001607EB"/>
    <w:rsid w:val="00160886"/>
    <w:rsid w:val="00160AD0"/>
    <w:rsid w:val="00160D18"/>
    <w:rsid w:val="00160EB3"/>
    <w:rsid w:val="00161546"/>
    <w:rsid w:val="001616F5"/>
    <w:rsid w:val="00161881"/>
    <w:rsid w:val="001618B8"/>
    <w:rsid w:val="00161A74"/>
    <w:rsid w:val="00161AF2"/>
    <w:rsid w:val="0016208E"/>
    <w:rsid w:val="001622E1"/>
    <w:rsid w:val="001622FB"/>
    <w:rsid w:val="00162389"/>
    <w:rsid w:val="001623C7"/>
    <w:rsid w:val="00162519"/>
    <w:rsid w:val="0016251D"/>
    <w:rsid w:val="001625ED"/>
    <w:rsid w:val="0016262E"/>
    <w:rsid w:val="00162844"/>
    <w:rsid w:val="00162A62"/>
    <w:rsid w:val="00162B12"/>
    <w:rsid w:val="00162DAB"/>
    <w:rsid w:val="00162E78"/>
    <w:rsid w:val="00162E91"/>
    <w:rsid w:val="00162EB0"/>
    <w:rsid w:val="00162F4C"/>
    <w:rsid w:val="00162FD8"/>
    <w:rsid w:val="00163114"/>
    <w:rsid w:val="0016312B"/>
    <w:rsid w:val="0016371B"/>
    <w:rsid w:val="0016374F"/>
    <w:rsid w:val="00163792"/>
    <w:rsid w:val="00163828"/>
    <w:rsid w:val="00163889"/>
    <w:rsid w:val="00163F8E"/>
    <w:rsid w:val="0016426E"/>
    <w:rsid w:val="00164270"/>
    <w:rsid w:val="00164331"/>
    <w:rsid w:val="00164425"/>
    <w:rsid w:val="001645DA"/>
    <w:rsid w:val="00164841"/>
    <w:rsid w:val="00164963"/>
    <w:rsid w:val="00164980"/>
    <w:rsid w:val="00164A6C"/>
    <w:rsid w:val="00164A97"/>
    <w:rsid w:val="00164C57"/>
    <w:rsid w:val="00164E33"/>
    <w:rsid w:val="0016524A"/>
    <w:rsid w:val="0016544E"/>
    <w:rsid w:val="001655F6"/>
    <w:rsid w:val="001657D4"/>
    <w:rsid w:val="00165908"/>
    <w:rsid w:val="00165AA2"/>
    <w:rsid w:val="00165CCA"/>
    <w:rsid w:val="00165E6B"/>
    <w:rsid w:val="00165EC0"/>
    <w:rsid w:val="00166049"/>
    <w:rsid w:val="001660BA"/>
    <w:rsid w:val="001664B5"/>
    <w:rsid w:val="0016654E"/>
    <w:rsid w:val="001665A6"/>
    <w:rsid w:val="001665B9"/>
    <w:rsid w:val="0016687D"/>
    <w:rsid w:val="00166975"/>
    <w:rsid w:val="00166B3B"/>
    <w:rsid w:val="00166C15"/>
    <w:rsid w:val="00166C6A"/>
    <w:rsid w:val="00166EEF"/>
    <w:rsid w:val="00167077"/>
    <w:rsid w:val="00167275"/>
    <w:rsid w:val="001674FE"/>
    <w:rsid w:val="00167940"/>
    <w:rsid w:val="001679C0"/>
    <w:rsid w:val="00167B12"/>
    <w:rsid w:val="00167B16"/>
    <w:rsid w:val="00167D0B"/>
    <w:rsid w:val="00167FFB"/>
    <w:rsid w:val="0017024F"/>
    <w:rsid w:val="001704F1"/>
    <w:rsid w:val="001706C2"/>
    <w:rsid w:val="0017093B"/>
    <w:rsid w:val="00170DC4"/>
    <w:rsid w:val="00170E22"/>
    <w:rsid w:val="00170EF5"/>
    <w:rsid w:val="00170F08"/>
    <w:rsid w:val="00170F24"/>
    <w:rsid w:val="001711B9"/>
    <w:rsid w:val="001711CE"/>
    <w:rsid w:val="00171231"/>
    <w:rsid w:val="00171253"/>
    <w:rsid w:val="001714B7"/>
    <w:rsid w:val="00171610"/>
    <w:rsid w:val="00171640"/>
    <w:rsid w:val="001718CC"/>
    <w:rsid w:val="00171B80"/>
    <w:rsid w:val="00171FB4"/>
    <w:rsid w:val="0017202D"/>
    <w:rsid w:val="00172415"/>
    <w:rsid w:val="001729B0"/>
    <w:rsid w:val="001729DA"/>
    <w:rsid w:val="00172CCD"/>
    <w:rsid w:val="00172D7E"/>
    <w:rsid w:val="00173149"/>
    <w:rsid w:val="001731F7"/>
    <w:rsid w:val="0017320C"/>
    <w:rsid w:val="001739A6"/>
    <w:rsid w:val="00173A4E"/>
    <w:rsid w:val="00173CAA"/>
    <w:rsid w:val="00173CF4"/>
    <w:rsid w:val="0017404F"/>
    <w:rsid w:val="00174152"/>
    <w:rsid w:val="001742FC"/>
    <w:rsid w:val="00174447"/>
    <w:rsid w:val="001746AB"/>
    <w:rsid w:val="001746EF"/>
    <w:rsid w:val="00174C8B"/>
    <w:rsid w:val="00174EB8"/>
    <w:rsid w:val="00175080"/>
    <w:rsid w:val="0017517E"/>
    <w:rsid w:val="0017546B"/>
    <w:rsid w:val="0017589F"/>
    <w:rsid w:val="00175A0A"/>
    <w:rsid w:val="00175BE9"/>
    <w:rsid w:val="00175D12"/>
    <w:rsid w:val="00175D3D"/>
    <w:rsid w:val="00176132"/>
    <w:rsid w:val="001764E0"/>
    <w:rsid w:val="001766E5"/>
    <w:rsid w:val="001769DE"/>
    <w:rsid w:val="00176C6D"/>
    <w:rsid w:val="001774B3"/>
    <w:rsid w:val="00177604"/>
    <w:rsid w:val="00177781"/>
    <w:rsid w:val="001779A1"/>
    <w:rsid w:val="00177A4C"/>
    <w:rsid w:val="00177B98"/>
    <w:rsid w:val="00177E24"/>
    <w:rsid w:val="00177E75"/>
    <w:rsid w:val="00177F30"/>
    <w:rsid w:val="001802D2"/>
    <w:rsid w:val="0018048B"/>
    <w:rsid w:val="00180570"/>
    <w:rsid w:val="001806E4"/>
    <w:rsid w:val="00180717"/>
    <w:rsid w:val="001807FE"/>
    <w:rsid w:val="001808ED"/>
    <w:rsid w:val="001809F0"/>
    <w:rsid w:val="00180B2B"/>
    <w:rsid w:val="00180D7A"/>
    <w:rsid w:val="00180F00"/>
    <w:rsid w:val="00180FA5"/>
    <w:rsid w:val="00180FF5"/>
    <w:rsid w:val="001811D2"/>
    <w:rsid w:val="001811F8"/>
    <w:rsid w:val="00181281"/>
    <w:rsid w:val="001812CB"/>
    <w:rsid w:val="0018179C"/>
    <w:rsid w:val="001818F1"/>
    <w:rsid w:val="00181963"/>
    <w:rsid w:val="00181A1C"/>
    <w:rsid w:val="00181B75"/>
    <w:rsid w:val="00181D9D"/>
    <w:rsid w:val="00181EC6"/>
    <w:rsid w:val="00181F0C"/>
    <w:rsid w:val="001821B5"/>
    <w:rsid w:val="001822F8"/>
    <w:rsid w:val="0018241A"/>
    <w:rsid w:val="00182498"/>
    <w:rsid w:val="0018249D"/>
    <w:rsid w:val="001827E2"/>
    <w:rsid w:val="00182921"/>
    <w:rsid w:val="00182AC1"/>
    <w:rsid w:val="00182BC5"/>
    <w:rsid w:val="00182CFD"/>
    <w:rsid w:val="00182EB6"/>
    <w:rsid w:val="00182EF9"/>
    <w:rsid w:val="00182F4F"/>
    <w:rsid w:val="001834F4"/>
    <w:rsid w:val="001838BA"/>
    <w:rsid w:val="00183D25"/>
    <w:rsid w:val="00183DED"/>
    <w:rsid w:val="001840A3"/>
    <w:rsid w:val="0018418F"/>
    <w:rsid w:val="001841EB"/>
    <w:rsid w:val="001842A5"/>
    <w:rsid w:val="00184405"/>
    <w:rsid w:val="00184761"/>
    <w:rsid w:val="001848A4"/>
    <w:rsid w:val="00184B1A"/>
    <w:rsid w:val="00184C69"/>
    <w:rsid w:val="00184CDC"/>
    <w:rsid w:val="00184CEF"/>
    <w:rsid w:val="00184F6C"/>
    <w:rsid w:val="001853A9"/>
    <w:rsid w:val="001853DB"/>
    <w:rsid w:val="00185545"/>
    <w:rsid w:val="001856F4"/>
    <w:rsid w:val="00185888"/>
    <w:rsid w:val="00185CB9"/>
    <w:rsid w:val="00185E5D"/>
    <w:rsid w:val="00185E83"/>
    <w:rsid w:val="00185EBB"/>
    <w:rsid w:val="00185EFF"/>
    <w:rsid w:val="0018605E"/>
    <w:rsid w:val="0018609E"/>
    <w:rsid w:val="00186108"/>
    <w:rsid w:val="00186156"/>
    <w:rsid w:val="001861E0"/>
    <w:rsid w:val="0018630D"/>
    <w:rsid w:val="0018631A"/>
    <w:rsid w:val="0018673F"/>
    <w:rsid w:val="00186805"/>
    <w:rsid w:val="00186838"/>
    <w:rsid w:val="001868DB"/>
    <w:rsid w:val="00186A4A"/>
    <w:rsid w:val="00186BB7"/>
    <w:rsid w:val="00186C15"/>
    <w:rsid w:val="00186EE7"/>
    <w:rsid w:val="001873CF"/>
    <w:rsid w:val="001873D2"/>
    <w:rsid w:val="0018754D"/>
    <w:rsid w:val="0018770C"/>
    <w:rsid w:val="00187882"/>
    <w:rsid w:val="001878BE"/>
    <w:rsid w:val="00190137"/>
    <w:rsid w:val="0019014F"/>
    <w:rsid w:val="0019065D"/>
    <w:rsid w:val="00190897"/>
    <w:rsid w:val="0019098E"/>
    <w:rsid w:val="001909B5"/>
    <w:rsid w:val="00190A0C"/>
    <w:rsid w:val="00190A33"/>
    <w:rsid w:val="00190AE0"/>
    <w:rsid w:val="00190C65"/>
    <w:rsid w:val="00190C8D"/>
    <w:rsid w:val="00190DFD"/>
    <w:rsid w:val="0019100A"/>
    <w:rsid w:val="00191016"/>
    <w:rsid w:val="001916A6"/>
    <w:rsid w:val="00191AC2"/>
    <w:rsid w:val="00191C22"/>
    <w:rsid w:val="00191C8C"/>
    <w:rsid w:val="00191E06"/>
    <w:rsid w:val="00192140"/>
    <w:rsid w:val="001921A8"/>
    <w:rsid w:val="0019228A"/>
    <w:rsid w:val="0019238C"/>
    <w:rsid w:val="001923DB"/>
    <w:rsid w:val="001924F4"/>
    <w:rsid w:val="00192513"/>
    <w:rsid w:val="001928AC"/>
    <w:rsid w:val="00192936"/>
    <w:rsid w:val="00192A1D"/>
    <w:rsid w:val="00192A46"/>
    <w:rsid w:val="00192A59"/>
    <w:rsid w:val="00192D8D"/>
    <w:rsid w:val="00192DA8"/>
    <w:rsid w:val="00192E08"/>
    <w:rsid w:val="00192E61"/>
    <w:rsid w:val="00193306"/>
    <w:rsid w:val="001934BD"/>
    <w:rsid w:val="00193507"/>
    <w:rsid w:val="001935CC"/>
    <w:rsid w:val="00193644"/>
    <w:rsid w:val="00193752"/>
    <w:rsid w:val="001937D3"/>
    <w:rsid w:val="00193961"/>
    <w:rsid w:val="00193A76"/>
    <w:rsid w:val="00193A88"/>
    <w:rsid w:val="00193C27"/>
    <w:rsid w:val="001940B7"/>
    <w:rsid w:val="0019425F"/>
    <w:rsid w:val="001944E6"/>
    <w:rsid w:val="0019452E"/>
    <w:rsid w:val="00194755"/>
    <w:rsid w:val="0019476B"/>
    <w:rsid w:val="001948E2"/>
    <w:rsid w:val="0019499C"/>
    <w:rsid w:val="001949F3"/>
    <w:rsid w:val="00194A28"/>
    <w:rsid w:val="00194BB5"/>
    <w:rsid w:val="00194F84"/>
    <w:rsid w:val="001952E7"/>
    <w:rsid w:val="0019544F"/>
    <w:rsid w:val="001954A1"/>
    <w:rsid w:val="0019562B"/>
    <w:rsid w:val="00195BAF"/>
    <w:rsid w:val="00195E04"/>
    <w:rsid w:val="00195EB9"/>
    <w:rsid w:val="0019613E"/>
    <w:rsid w:val="00196157"/>
    <w:rsid w:val="001961A9"/>
    <w:rsid w:val="001962D8"/>
    <w:rsid w:val="00196556"/>
    <w:rsid w:val="00196787"/>
    <w:rsid w:val="001968AA"/>
    <w:rsid w:val="00196AC9"/>
    <w:rsid w:val="00196B32"/>
    <w:rsid w:val="00197069"/>
    <w:rsid w:val="00197193"/>
    <w:rsid w:val="001971C6"/>
    <w:rsid w:val="00197327"/>
    <w:rsid w:val="0019748C"/>
    <w:rsid w:val="00197517"/>
    <w:rsid w:val="001976FB"/>
    <w:rsid w:val="00197701"/>
    <w:rsid w:val="00197707"/>
    <w:rsid w:val="00197924"/>
    <w:rsid w:val="00197F52"/>
    <w:rsid w:val="001A0150"/>
    <w:rsid w:val="001A0338"/>
    <w:rsid w:val="001A080E"/>
    <w:rsid w:val="001A08D3"/>
    <w:rsid w:val="001A09DF"/>
    <w:rsid w:val="001A0AD5"/>
    <w:rsid w:val="001A0B0F"/>
    <w:rsid w:val="001A0B87"/>
    <w:rsid w:val="001A1183"/>
    <w:rsid w:val="001A129B"/>
    <w:rsid w:val="001A13CC"/>
    <w:rsid w:val="001A1419"/>
    <w:rsid w:val="001A146E"/>
    <w:rsid w:val="001A154D"/>
    <w:rsid w:val="001A1692"/>
    <w:rsid w:val="001A17B0"/>
    <w:rsid w:val="001A183E"/>
    <w:rsid w:val="001A196C"/>
    <w:rsid w:val="001A1B5A"/>
    <w:rsid w:val="001A1F0E"/>
    <w:rsid w:val="001A2022"/>
    <w:rsid w:val="001A240E"/>
    <w:rsid w:val="001A286E"/>
    <w:rsid w:val="001A2A57"/>
    <w:rsid w:val="001A2DD0"/>
    <w:rsid w:val="001A2E1E"/>
    <w:rsid w:val="001A308F"/>
    <w:rsid w:val="001A35B1"/>
    <w:rsid w:val="001A37AC"/>
    <w:rsid w:val="001A3C00"/>
    <w:rsid w:val="001A3D2B"/>
    <w:rsid w:val="001A3D5E"/>
    <w:rsid w:val="001A3E06"/>
    <w:rsid w:val="001A3FA3"/>
    <w:rsid w:val="001A4373"/>
    <w:rsid w:val="001A4A1E"/>
    <w:rsid w:val="001A4A47"/>
    <w:rsid w:val="001A4DF6"/>
    <w:rsid w:val="001A4FD1"/>
    <w:rsid w:val="001A510C"/>
    <w:rsid w:val="001A5124"/>
    <w:rsid w:val="001A574D"/>
    <w:rsid w:val="001A58CA"/>
    <w:rsid w:val="001A5A8C"/>
    <w:rsid w:val="001A5B7F"/>
    <w:rsid w:val="001A5C83"/>
    <w:rsid w:val="001A5CED"/>
    <w:rsid w:val="001A6232"/>
    <w:rsid w:val="001A630B"/>
    <w:rsid w:val="001A6388"/>
    <w:rsid w:val="001A672E"/>
    <w:rsid w:val="001A6AFA"/>
    <w:rsid w:val="001A6C83"/>
    <w:rsid w:val="001A6DD5"/>
    <w:rsid w:val="001A6F1B"/>
    <w:rsid w:val="001A6F49"/>
    <w:rsid w:val="001A7071"/>
    <w:rsid w:val="001A7155"/>
    <w:rsid w:val="001A71AA"/>
    <w:rsid w:val="001A729F"/>
    <w:rsid w:val="001A74D0"/>
    <w:rsid w:val="001A74EE"/>
    <w:rsid w:val="001A7553"/>
    <w:rsid w:val="001A75D9"/>
    <w:rsid w:val="001A782E"/>
    <w:rsid w:val="001A795A"/>
    <w:rsid w:val="001A7A66"/>
    <w:rsid w:val="001A7BCF"/>
    <w:rsid w:val="001A7BD6"/>
    <w:rsid w:val="001A7CFF"/>
    <w:rsid w:val="001A7DCB"/>
    <w:rsid w:val="001A7DFD"/>
    <w:rsid w:val="001A7ED8"/>
    <w:rsid w:val="001A7FA9"/>
    <w:rsid w:val="001A7FEE"/>
    <w:rsid w:val="001B016E"/>
    <w:rsid w:val="001B023A"/>
    <w:rsid w:val="001B0543"/>
    <w:rsid w:val="001B0602"/>
    <w:rsid w:val="001B0757"/>
    <w:rsid w:val="001B0B24"/>
    <w:rsid w:val="001B0B5F"/>
    <w:rsid w:val="001B0BF8"/>
    <w:rsid w:val="001B0CF6"/>
    <w:rsid w:val="001B0D20"/>
    <w:rsid w:val="001B0D8E"/>
    <w:rsid w:val="001B111A"/>
    <w:rsid w:val="001B1425"/>
    <w:rsid w:val="001B142C"/>
    <w:rsid w:val="001B175C"/>
    <w:rsid w:val="001B1837"/>
    <w:rsid w:val="001B1E59"/>
    <w:rsid w:val="001B1F47"/>
    <w:rsid w:val="001B202A"/>
    <w:rsid w:val="001B2216"/>
    <w:rsid w:val="001B2493"/>
    <w:rsid w:val="001B24C4"/>
    <w:rsid w:val="001B29AA"/>
    <w:rsid w:val="001B2A3D"/>
    <w:rsid w:val="001B2F05"/>
    <w:rsid w:val="001B30E2"/>
    <w:rsid w:val="001B30F9"/>
    <w:rsid w:val="001B33C1"/>
    <w:rsid w:val="001B3419"/>
    <w:rsid w:val="001B3465"/>
    <w:rsid w:val="001B3485"/>
    <w:rsid w:val="001B34C2"/>
    <w:rsid w:val="001B351B"/>
    <w:rsid w:val="001B3CC4"/>
    <w:rsid w:val="001B3E67"/>
    <w:rsid w:val="001B3FF6"/>
    <w:rsid w:val="001B41B8"/>
    <w:rsid w:val="001B435D"/>
    <w:rsid w:val="001B448C"/>
    <w:rsid w:val="001B4677"/>
    <w:rsid w:val="001B4689"/>
    <w:rsid w:val="001B47C2"/>
    <w:rsid w:val="001B4D1E"/>
    <w:rsid w:val="001B4FBF"/>
    <w:rsid w:val="001B51C9"/>
    <w:rsid w:val="001B52E1"/>
    <w:rsid w:val="001B547C"/>
    <w:rsid w:val="001B54E0"/>
    <w:rsid w:val="001B59A1"/>
    <w:rsid w:val="001B5A38"/>
    <w:rsid w:val="001B5AE5"/>
    <w:rsid w:val="001B5AE9"/>
    <w:rsid w:val="001B5B3F"/>
    <w:rsid w:val="001B5DE0"/>
    <w:rsid w:val="001B5F21"/>
    <w:rsid w:val="001B5F5D"/>
    <w:rsid w:val="001B6354"/>
    <w:rsid w:val="001B6697"/>
    <w:rsid w:val="001B6758"/>
    <w:rsid w:val="001B677B"/>
    <w:rsid w:val="001B6C76"/>
    <w:rsid w:val="001B6C8E"/>
    <w:rsid w:val="001B6D57"/>
    <w:rsid w:val="001B6E4C"/>
    <w:rsid w:val="001B71A7"/>
    <w:rsid w:val="001B72E1"/>
    <w:rsid w:val="001B768A"/>
    <w:rsid w:val="001B7814"/>
    <w:rsid w:val="001B7830"/>
    <w:rsid w:val="001B796B"/>
    <w:rsid w:val="001B7A42"/>
    <w:rsid w:val="001B7B58"/>
    <w:rsid w:val="001B7BDE"/>
    <w:rsid w:val="001B7F64"/>
    <w:rsid w:val="001B7FDF"/>
    <w:rsid w:val="001C00EE"/>
    <w:rsid w:val="001C025B"/>
    <w:rsid w:val="001C02B7"/>
    <w:rsid w:val="001C049C"/>
    <w:rsid w:val="001C0590"/>
    <w:rsid w:val="001C082D"/>
    <w:rsid w:val="001C0958"/>
    <w:rsid w:val="001C0980"/>
    <w:rsid w:val="001C0A85"/>
    <w:rsid w:val="001C1018"/>
    <w:rsid w:val="001C1122"/>
    <w:rsid w:val="001C1153"/>
    <w:rsid w:val="001C11AA"/>
    <w:rsid w:val="001C1551"/>
    <w:rsid w:val="001C1660"/>
    <w:rsid w:val="001C1858"/>
    <w:rsid w:val="001C1A7B"/>
    <w:rsid w:val="001C1C36"/>
    <w:rsid w:val="001C1CD7"/>
    <w:rsid w:val="001C1CEC"/>
    <w:rsid w:val="001C1CF6"/>
    <w:rsid w:val="001C1F0B"/>
    <w:rsid w:val="001C2077"/>
    <w:rsid w:val="001C20D1"/>
    <w:rsid w:val="001C271B"/>
    <w:rsid w:val="001C2781"/>
    <w:rsid w:val="001C2927"/>
    <w:rsid w:val="001C297D"/>
    <w:rsid w:val="001C2981"/>
    <w:rsid w:val="001C2BAE"/>
    <w:rsid w:val="001C2E26"/>
    <w:rsid w:val="001C2F44"/>
    <w:rsid w:val="001C32B7"/>
    <w:rsid w:val="001C3739"/>
    <w:rsid w:val="001C3790"/>
    <w:rsid w:val="001C391D"/>
    <w:rsid w:val="001C3CBD"/>
    <w:rsid w:val="001C3EA4"/>
    <w:rsid w:val="001C3F29"/>
    <w:rsid w:val="001C3F7B"/>
    <w:rsid w:val="001C4288"/>
    <w:rsid w:val="001C4301"/>
    <w:rsid w:val="001C4485"/>
    <w:rsid w:val="001C4640"/>
    <w:rsid w:val="001C4691"/>
    <w:rsid w:val="001C48A0"/>
    <w:rsid w:val="001C4B1C"/>
    <w:rsid w:val="001C4B65"/>
    <w:rsid w:val="001C4C8A"/>
    <w:rsid w:val="001C519B"/>
    <w:rsid w:val="001C540A"/>
    <w:rsid w:val="001C54D4"/>
    <w:rsid w:val="001C56E6"/>
    <w:rsid w:val="001C57A2"/>
    <w:rsid w:val="001C583F"/>
    <w:rsid w:val="001C5A1C"/>
    <w:rsid w:val="001C5FC6"/>
    <w:rsid w:val="001C61E3"/>
    <w:rsid w:val="001C6379"/>
    <w:rsid w:val="001C68AD"/>
    <w:rsid w:val="001C68C5"/>
    <w:rsid w:val="001C68CF"/>
    <w:rsid w:val="001C6928"/>
    <w:rsid w:val="001C69A6"/>
    <w:rsid w:val="001C6CE6"/>
    <w:rsid w:val="001C6E3B"/>
    <w:rsid w:val="001C6FF7"/>
    <w:rsid w:val="001C709F"/>
    <w:rsid w:val="001C749D"/>
    <w:rsid w:val="001C795D"/>
    <w:rsid w:val="001C7C0A"/>
    <w:rsid w:val="001C7CFA"/>
    <w:rsid w:val="001D00F2"/>
    <w:rsid w:val="001D03B6"/>
    <w:rsid w:val="001D04C4"/>
    <w:rsid w:val="001D062B"/>
    <w:rsid w:val="001D069A"/>
    <w:rsid w:val="001D0CC3"/>
    <w:rsid w:val="001D0EBC"/>
    <w:rsid w:val="001D0F77"/>
    <w:rsid w:val="001D1123"/>
    <w:rsid w:val="001D113C"/>
    <w:rsid w:val="001D15CE"/>
    <w:rsid w:val="001D176C"/>
    <w:rsid w:val="001D17D1"/>
    <w:rsid w:val="001D1A25"/>
    <w:rsid w:val="001D1A52"/>
    <w:rsid w:val="001D1AD7"/>
    <w:rsid w:val="001D1B69"/>
    <w:rsid w:val="001D1DB2"/>
    <w:rsid w:val="001D1E3B"/>
    <w:rsid w:val="001D2072"/>
    <w:rsid w:val="001D230D"/>
    <w:rsid w:val="001D2325"/>
    <w:rsid w:val="001D23DB"/>
    <w:rsid w:val="001D241A"/>
    <w:rsid w:val="001D249E"/>
    <w:rsid w:val="001D2821"/>
    <w:rsid w:val="001D2916"/>
    <w:rsid w:val="001D2AB6"/>
    <w:rsid w:val="001D2B96"/>
    <w:rsid w:val="001D2CFE"/>
    <w:rsid w:val="001D2DB8"/>
    <w:rsid w:val="001D2E2D"/>
    <w:rsid w:val="001D2EB9"/>
    <w:rsid w:val="001D31C1"/>
    <w:rsid w:val="001D33F5"/>
    <w:rsid w:val="001D3455"/>
    <w:rsid w:val="001D3A6B"/>
    <w:rsid w:val="001D3AAF"/>
    <w:rsid w:val="001D3E10"/>
    <w:rsid w:val="001D3F8C"/>
    <w:rsid w:val="001D430A"/>
    <w:rsid w:val="001D43AD"/>
    <w:rsid w:val="001D4B1A"/>
    <w:rsid w:val="001D5208"/>
    <w:rsid w:val="001D5215"/>
    <w:rsid w:val="001D5314"/>
    <w:rsid w:val="001D5340"/>
    <w:rsid w:val="001D5357"/>
    <w:rsid w:val="001D53F1"/>
    <w:rsid w:val="001D54AA"/>
    <w:rsid w:val="001D5621"/>
    <w:rsid w:val="001D5707"/>
    <w:rsid w:val="001D5ED2"/>
    <w:rsid w:val="001D603A"/>
    <w:rsid w:val="001D6041"/>
    <w:rsid w:val="001D6399"/>
    <w:rsid w:val="001D6453"/>
    <w:rsid w:val="001D64BC"/>
    <w:rsid w:val="001D6514"/>
    <w:rsid w:val="001D6557"/>
    <w:rsid w:val="001D66E5"/>
    <w:rsid w:val="001D66F0"/>
    <w:rsid w:val="001D6C6A"/>
    <w:rsid w:val="001D6E0F"/>
    <w:rsid w:val="001D6F26"/>
    <w:rsid w:val="001D7633"/>
    <w:rsid w:val="001D77FE"/>
    <w:rsid w:val="001D7853"/>
    <w:rsid w:val="001D785E"/>
    <w:rsid w:val="001D7945"/>
    <w:rsid w:val="001D7B5D"/>
    <w:rsid w:val="001E0008"/>
    <w:rsid w:val="001E01AD"/>
    <w:rsid w:val="001E029C"/>
    <w:rsid w:val="001E02CB"/>
    <w:rsid w:val="001E0405"/>
    <w:rsid w:val="001E0445"/>
    <w:rsid w:val="001E0477"/>
    <w:rsid w:val="001E0642"/>
    <w:rsid w:val="001E0668"/>
    <w:rsid w:val="001E0A06"/>
    <w:rsid w:val="001E0BA7"/>
    <w:rsid w:val="001E0BFD"/>
    <w:rsid w:val="001E0D59"/>
    <w:rsid w:val="001E0E1B"/>
    <w:rsid w:val="001E10A2"/>
    <w:rsid w:val="001E111D"/>
    <w:rsid w:val="001E1535"/>
    <w:rsid w:val="001E1932"/>
    <w:rsid w:val="001E1A4C"/>
    <w:rsid w:val="001E1BB0"/>
    <w:rsid w:val="001E1C43"/>
    <w:rsid w:val="001E1D45"/>
    <w:rsid w:val="001E1D95"/>
    <w:rsid w:val="001E1E22"/>
    <w:rsid w:val="001E1E26"/>
    <w:rsid w:val="001E2176"/>
    <w:rsid w:val="001E219D"/>
    <w:rsid w:val="001E21CA"/>
    <w:rsid w:val="001E23CB"/>
    <w:rsid w:val="001E25D4"/>
    <w:rsid w:val="001E2A33"/>
    <w:rsid w:val="001E2C88"/>
    <w:rsid w:val="001E2D71"/>
    <w:rsid w:val="001E2DB5"/>
    <w:rsid w:val="001E31E9"/>
    <w:rsid w:val="001E31EC"/>
    <w:rsid w:val="001E32E5"/>
    <w:rsid w:val="001E3308"/>
    <w:rsid w:val="001E35A1"/>
    <w:rsid w:val="001E36A0"/>
    <w:rsid w:val="001E36D1"/>
    <w:rsid w:val="001E3940"/>
    <w:rsid w:val="001E3950"/>
    <w:rsid w:val="001E3A9B"/>
    <w:rsid w:val="001E3BFC"/>
    <w:rsid w:val="001E3C74"/>
    <w:rsid w:val="001E3CF5"/>
    <w:rsid w:val="001E3DD8"/>
    <w:rsid w:val="001E3E48"/>
    <w:rsid w:val="001E40B4"/>
    <w:rsid w:val="001E41BF"/>
    <w:rsid w:val="001E4410"/>
    <w:rsid w:val="001E4458"/>
    <w:rsid w:val="001E49FF"/>
    <w:rsid w:val="001E4AAB"/>
    <w:rsid w:val="001E4B00"/>
    <w:rsid w:val="001E4F64"/>
    <w:rsid w:val="001E4FF8"/>
    <w:rsid w:val="001E504F"/>
    <w:rsid w:val="001E510F"/>
    <w:rsid w:val="001E5559"/>
    <w:rsid w:val="001E55D3"/>
    <w:rsid w:val="001E560D"/>
    <w:rsid w:val="001E5734"/>
    <w:rsid w:val="001E594E"/>
    <w:rsid w:val="001E5A9E"/>
    <w:rsid w:val="001E5C71"/>
    <w:rsid w:val="001E5FBB"/>
    <w:rsid w:val="001E6178"/>
    <w:rsid w:val="001E62EF"/>
    <w:rsid w:val="001E6582"/>
    <w:rsid w:val="001E6603"/>
    <w:rsid w:val="001E674F"/>
    <w:rsid w:val="001E6808"/>
    <w:rsid w:val="001E68BD"/>
    <w:rsid w:val="001E697C"/>
    <w:rsid w:val="001E6992"/>
    <w:rsid w:val="001E6BDF"/>
    <w:rsid w:val="001E6DCB"/>
    <w:rsid w:val="001E70F2"/>
    <w:rsid w:val="001E7378"/>
    <w:rsid w:val="001E7711"/>
    <w:rsid w:val="001E7888"/>
    <w:rsid w:val="001E794A"/>
    <w:rsid w:val="001E7AD1"/>
    <w:rsid w:val="001E7BB6"/>
    <w:rsid w:val="001E7C21"/>
    <w:rsid w:val="001E7DA6"/>
    <w:rsid w:val="001E7E6E"/>
    <w:rsid w:val="001E7E74"/>
    <w:rsid w:val="001E7E89"/>
    <w:rsid w:val="001E7EAA"/>
    <w:rsid w:val="001E7F94"/>
    <w:rsid w:val="001F00A1"/>
    <w:rsid w:val="001F0330"/>
    <w:rsid w:val="001F0BEA"/>
    <w:rsid w:val="001F0DB6"/>
    <w:rsid w:val="001F0E76"/>
    <w:rsid w:val="001F0EB1"/>
    <w:rsid w:val="001F0F66"/>
    <w:rsid w:val="001F12AF"/>
    <w:rsid w:val="001F133E"/>
    <w:rsid w:val="001F13F7"/>
    <w:rsid w:val="001F1405"/>
    <w:rsid w:val="001F143A"/>
    <w:rsid w:val="001F188E"/>
    <w:rsid w:val="001F19E3"/>
    <w:rsid w:val="001F1A0A"/>
    <w:rsid w:val="001F1C00"/>
    <w:rsid w:val="001F1C89"/>
    <w:rsid w:val="001F1DB3"/>
    <w:rsid w:val="001F1DFA"/>
    <w:rsid w:val="001F200D"/>
    <w:rsid w:val="001F21ED"/>
    <w:rsid w:val="001F226B"/>
    <w:rsid w:val="001F2400"/>
    <w:rsid w:val="001F252A"/>
    <w:rsid w:val="001F2630"/>
    <w:rsid w:val="001F276B"/>
    <w:rsid w:val="001F2775"/>
    <w:rsid w:val="001F27D6"/>
    <w:rsid w:val="001F2834"/>
    <w:rsid w:val="001F2875"/>
    <w:rsid w:val="001F2ADE"/>
    <w:rsid w:val="001F2BF8"/>
    <w:rsid w:val="001F2EDB"/>
    <w:rsid w:val="001F2F79"/>
    <w:rsid w:val="001F30A2"/>
    <w:rsid w:val="001F30F1"/>
    <w:rsid w:val="001F3216"/>
    <w:rsid w:val="001F3378"/>
    <w:rsid w:val="001F345D"/>
    <w:rsid w:val="001F3539"/>
    <w:rsid w:val="001F37B3"/>
    <w:rsid w:val="001F3910"/>
    <w:rsid w:val="001F3C4B"/>
    <w:rsid w:val="001F3CE5"/>
    <w:rsid w:val="001F3EF5"/>
    <w:rsid w:val="001F40CF"/>
    <w:rsid w:val="001F4216"/>
    <w:rsid w:val="001F4386"/>
    <w:rsid w:val="001F44CE"/>
    <w:rsid w:val="001F46C1"/>
    <w:rsid w:val="001F4862"/>
    <w:rsid w:val="001F48CB"/>
    <w:rsid w:val="001F4966"/>
    <w:rsid w:val="001F4BDA"/>
    <w:rsid w:val="001F4D74"/>
    <w:rsid w:val="001F4E08"/>
    <w:rsid w:val="001F5140"/>
    <w:rsid w:val="001F524A"/>
    <w:rsid w:val="001F54FC"/>
    <w:rsid w:val="001F56B6"/>
    <w:rsid w:val="001F5743"/>
    <w:rsid w:val="001F5763"/>
    <w:rsid w:val="001F580E"/>
    <w:rsid w:val="001F5980"/>
    <w:rsid w:val="001F5A12"/>
    <w:rsid w:val="001F5A7F"/>
    <w:rsid w:val="001F5C25"/>
    <w:rsid w:val="001F5C92"/>
    <w:rsid w:val="001F5EAE"/>
    <w:rsid w:val="001F6030"/>
    <w:rsid w:val="001F613C"/>
    <w:rsid w:val="001F623C"/>
    <w:rsid w:val="001F6817"/>
    <w:rsid w:val="001F6DC6"/>
    <w:rsid w:val="001F6E51"/>
    <w:rsid w:val="001F7195"/>
    <w:rsid w:val="001F7396"/>
    <w:rsid w:val="001F73A7"/>
    <w:rsid w:val="001F76FB"/>
    <w:rsid w:val="001F7785"/>
    <w:rsid w:val="001F79BC"/>
    <w:rsid w:val="00200187"/>
    <w:rsid w:val="002001FC"/>
    <w:rsid w:val="00200246"/>
    <w:rsid w:val="002002C2"/>
    <w:rsid w:val="002003C2"/>
    <w:rsid w:val="002008AB"/>
    <w:rsid w:val="00200C52"/>
    <w:rsid w:val="00200C64"/>
    <w:rsid w:val="00200D8E"/>
    <w:rsid w:val="00201113"/>
    <w:rsid w:val="00201124"/>
    <w:rsid w:val="00201201"/>
    <w:rsid w:val="0020122A"/>
    <w:rsid w:val="0020125A"/>
    <w:rsid w:val="00201511"/>
    <w:rsid w:val="0020156B"/>
    <w:rsid w:val="0020167B"/>
    <w:rsid w:val="00201699"/>
    <w:rsid w:val="00201730"/>
    <w:rsid w:val="00201799"/>
    <w:rsid w:val="002018ED"/>
    <w:rsid w:val="002019DF"/>
    <w:rsid w:val="00201A21"/>
    <w:rsid w:val="00201ACD"/>
    <w:rsid w:val="00201E5E"/>
    <w:rsid w:val="0020202C"/>
    <w:rsid w:val="002021EF"/>
    <w:rsid w:val="0020237C"/>
    <w:rsid w:val="0020251B"/>
    <w:rsid w:val="00202AA0"/>
    <w:rsid w:val="00202AEF"/>
    <w:rsid w:val="00202C66"/>
    <w:rsid w:val="00202DD1"/>
    <w:rsid w:val="00203080"/>
    <w:rsid w:val="00203174"/>
    <w:rsid w:val="002031BF"/>
    <w:rsid w:val="002033A6"/>
    <w:rsid w:val="00203632"/>
    <w:rsid w:val="0020370D"/>
    <w:rsid w:val="0020382F"/>
    <w:rsid w:val="0020391A"/>
    <w:rsid w:val="00203AB4"/>
    <w:rsid w:val="00203CE0"/>
    <w:rsid w:val="00203CF6"/>
    <w:rsid w:val="00203D89"/>
    <w:rsid w:val="0020410B"/>
    <w:rsid w:val="00204122"/>
    <w:rsid w:val="0020414B"/>
    <w:rsid w:val="00204197"/>
    <w:rsid w:val="00204360"/>
    <w:rsid w:val="0020436B"/>
    <w:rsid w:val="00204495"/>
    <w:rsid w:val="002044A9"/>
    <w:rsid w:val="00204528"/>
    <w:rsid w:val="00204592"/>
    <w:rsid w:val="0020468F"/>
    <w:rsid w:val="0020476F"/>
    <w:rsid w:val="00204995"/>
    <w:rsid w:val="00204AD3"/>
    <w:rsid w:val="00204BB3"/>
    <w:rsid w:val="00204BF6"/>
    <w:rsid w:val="00204DDD"/>
    <w:rsid w:val="00205153"/>
    <w:rsid w:val="0020596C"/>
    <w:rsid w:val="00205A26"/>
    <w:rsid w:val="00205BC7"/>
    <w:rsid w:val="00205BF4"/>
    <w:rsid w:val="00205D64"/>
    <w:rsid w:val="00205DFB"/>
    <w:rsid w:val="00205E03"/>
    <w:rsid w:val="00205FDA"/>
    <w:rsid w:val="00206014"/>
    <w:rsid w:val="002060F1"/>
    <w:rsid w:val="002061F7"/>
    <w:rsid w:val="0020652C"/>
    <w:rsid w:val="002065C9"/>
    <w:rsid w:val="0020689C"/>
    <w:rsid w:val="002068CE"/>
    <w:rsid w:val="0020696F"/>
    <w:rsid w:val="00206A4A"/>
    <w:rsid w:val="00206BC0"/>
    <w:rsid w:val="00206F00"/>
    <w:rsid w:val="002070D3"/>
    <w:rsid w:val="00207361"/>
    <w:rsid w:val="00207392"/>
    <w:rsid w:val="00207918"/>
    <w:rsid w:val="00207C3E"/>
    <w:rsid w:val="00207D89"/>
    <w:rsid w:val="0021006B"/>
    <w:rsid w:val="002102F1"/>
    <w:rsid w:val="00210450"/>
    <w:rsid w:val="00210762"/>
    <w:rsid w:val="0021089B"/>
    <w:rsid w:val="00210A4D"/>
    <w:rsid w:val="00210B01"/>
    <w:rsid w:val="00210CE7"/>
    <w:rsid w:val="0021169F"/>
    <w:rsid w:val="002117CA"/>
    <w:rsid w:val="00211817"/>
    <w:rsid w:val="00211841"/>
    <w:rsid w:val="002118CD"/>
    <w:rsid w:val="00211943"/>
    <w:rsid w:val="0021195F"/>
    <w:rsid w:val="00211A09"/>
    <w:rsid w:val="00211AD9"/>
    <w:rsid w:val="00211B3D"/>
    <w:rsid w:val="00211BAA"/>
    <w:rsid w:val="00211E80"/>
    <w:rsid w:val="00211EF4"/>
    <w:rsid w:val="00211FF1"/>
    <w:rsid w:val="002127F0"/>
    <w:rsid w:val="00212885"/>
    <w:rsid w:val="00212C49"/>
    <w:rsid w:val="00212CC2"/>
    <w:rsid w:val="00212D07"/>
    <w:rsid w:val="00212D2F"/>
    <w:rsid w:val="0021308A"/>
    <w:rsid w:val="00213143"/>
    <w:rsid w:val="002131AB"/>
    <w:rsid w:val="002132B6"/>
    <w:rsid w:val="002132FE"/>
    <w:rsid w:val="00213490"/>
    <w:rsid w:val="0021354B"/>
    <w:rsid w:val="002135C6"/>
    <w:rsid w:val="002138F1"/>
    <w:rsid w:val="00213C94"/>
    <w:rsid w:val="00214074"/>
    <w:rsid w:val="00214317"/>
    <w:rsid w:val="00214415"/>
    <w:rsid w:val="002144F3"/>
    <w:rsid w:val="002145CA"/>
    <w:rsid w:val="00214612"/>
    <w:rsid w:val="00214699"/>
    <w:rsid w:val="002146E6"/>
    <w:rsid w:val="0021470A"/>
    <w:rsid w:val="00214A50"/>
    <w:rsid w:val="00214A66"/>
    <w:rsid w:val="00214A71"/>
    <w:rsid w:val="00214D90"/>
    <w:rsid w:val="00214D95"/>
    <w:rsid w:val="00214DE6"/>
    <w:rsid w:val="00214E9C"/>
    <w:rsid w:val="00214F4C"/>
    <w:rsid w:val="00214F6F"/>
    <w:rsid w:val="00214FB0"/>
    <w:rsid w:val="002151F0"/>
    <w:rsid w:val="00215298"/>
    <w:rsid w:val="002153E7"/>
    <w:rsid w:val="00215A70"/>
    <w:rsid w:val="00215AC1"/>
    <w:rsid w:val="00215AC8"/>
    <w:rsid w:val="00215CAD"/>
    <w:rsid w:val="00215CB2"/>
    <w:rsid w:val="00215DF9"/>
    <w:rsid w:val="00216102"/>
    <w:rsid w:val="002161A5"/>
    <w:rsid w:val="00216501"/>
    <w:rsid w:val="00216522"/>
    <w:rsid w:val="00216685"/>
    <w:rsid w:val="00216767"/>
    <w:rsid w:val="002167B8"/>
    <w:rsid w:val="002167EA"/>
    <w:rsid w:val="00216AF5"/>
    <w:rsid w:val="00216C39"/>
    <w:rsid w:val="00216FD8"/>
    <w:rsid w:val="0021713B"/>
    <w:rsid w:val="00217270"/>
    <w:rsid w:val="00217339"/>
    <w:rsid w:val="0021747B"/>
    <w:rsid w:val="002174C8"/>
    <w:rsid w:val="00217767"/>
    <w:rsid w:val="002177FC"/>
    <w:rsid w:val="00217821"/>
    <w:rsid w:val="0021782A"/>
    <w:rsid w:val="00217834"/>
    <w:rsid w:val="00217A10"/>
    <w:rsid w:val="00217E0A"/>
    <w:rsid w:val="00217EB5"/>
    <w:rsid w:val="002201AE"/>
    <w:rsid w:val="002201B3"/>
    <w:rsid w:val="002202A5"/>
    <w:rsid w:val="002202CD"/>
    <w:rsid w:val="002204E5"/>
    <w:rsid w:val="002205D6"/>
    <w:rsid w:val="002208F5"/>
    <w:rsid w:val="0022092F"/>
    <w:rsid w:val="00220B06"/>
    <w:rsid w:val="00220D0B"/>
    <w:rsid w:val="00220FD0"/>
    <w:rsid w:val="0022105A"/>
    <w:rsid w:val="00221127"/>
    <w:rsid w:val="0022127E"/>
    <w:rsid w:val="002213AE"/>
    <w:rsid w:val="002213B3"/>
    <w:rsid w:val="002213DB"/>
    <w:rsid w:val="00221907"/>
    <w:rsid w:val="00221A29"/>
    <w:rsid w:val="00221D5E"/>
    <w:rsid w:val="00221D85"/>
    <w:rsid w:val="00221D95"/>
    <w:rsid w:val="002222C5"/>
    <w:rsid w:val="00222580"/>
    <w:rsid w:val="002225DF"/>
    <w:rsid w:val="00222692"/>
    <w:rsid w:val="00222825"/>
    <w:rsid w:val="00222B38"/>
    <w:rsid w:val="00222B7C"/>
    <w:rsid w:val="00222C31"/>
    <w:rsid w:val="00222C64"/>
    <w:rsid w:val="00222DB1"/>
    <w:rsid w:val="00222DEA"/>
    <w:rsid w:val="00222EC1"/>
    <w:rsid w:val="00222EC4"/>
    <w:rsid w:val="00222F5F"/>
    <w:rsid w:val="0022327A"/>
    <w:rsid w:val="002236F4"/>
    <w:rsid w:val="00223874"/>
    <w:rsid w:val="002238FD"/>
    <w:rsid w:val="00223D38"/>
    <w:rsid w:val="00223E6B"/>
    <w:rsid w:val="00223E89"/>
    <w:rsid w:val="002241D2"/>
    <w:rsid w:val="00224A42"/>
    <w:rsid w:val="00224A44"/>
    <w:rsid w:val="00224A69"/>
    <w:rsid w:val="00224BF1"/>
    <w:rsid w:val="00224CD7"/>
    <w:rsid w:val="002250F4"/>
    <w:rsid w:val="002250F8"/>
    <w:rsid w:val="002251B7"/>
    <w:rsid w:val="002252D8"/>
    <w:rsid w:val="0022542B"/>
    <w:rsid w:val="00225559"/>
    <w:rsid w:val="002255F5"/>
    <w:rsid w:val="0022571E"/>
    <w:rsid w:val="002257A9"/>
    <w:rsid w:val="00225932"/>
    <w:rsid w:val="00225949"/>
    <w:rsid w:val="00225956"/>
    <w:rsid w:val="00225A95"/>
    <w:rsid w:val="00225AD4"/>
    <w:rsid w:val="00225B98"/>
    <w:rsid w:val="00225BAB"/>
    <w:rsid w:val="00225BE1"/>
    <w:rsid w:val="00225C3D"/>
    <w:rsid w:val="00225F94"/>
    <w:rsid w:val="0022601E"/>
    <w:rsid w:val="002262BF"/>
    <w:rsid w:val="002264EE"/>
    <w:rsid w:val="00226617"/>
    <w:rsid w:val="0022675B"/>
    <w:rsid w:val="002267C4"/>
    <w:rsid w:val="002269FE"/>
    <w:rsid w:val="00226BAC"/>
    <w:rsid w:val="00226D03"/>
    <w:rsid w:val="002273A8"/>
    <w:rsid w:val="00227472"/>
    <w:rsid w:val="00227A50"/>
    <w:rsid w:val="00227B34"/>
    <w:rsid w:val="00227B7A"/>
    <w:rsid w:val="00227BD3"/>
    <w:rsid w:val="00227C3F"/>
    <w:rsid w:val="00227CAA"/>
    <w:rsid w:val="00227E3C"/>
    <w:rsid w:val="002300D2"/>
    <w:rsid w:val="0023018D"/>
    <w:rsid w:val="00230241"/>
    <w:rsid w:val="002302F4"/>
    <w:rsid w:val="00230432"/>
    <w:rsid w:val="00230461"/>
    <w:rsid w:val="002307EE"/>
    <w:rsid w:val="0023099F"/>
    <w:rsid w:val="00230C33"/>
    <w:rsid w:val="00230D88"/>
    <w:rsid w:val="00230F59"/>
    <w:rsid w:val="00231255"/>
    <w:rsid w:val="00231278"/>
    <w:rsid w:val="00231300"/>
    <w:rsid w:val="002313FD"/>
    <w:rsid w:val="0023158D"/>
    <w:rsid w:val="002316A5"/>
    <w:rsid w:val="00231A12"/>
    <w:rsid w:val="00231C6B"/>
    <w:rsid w:val="00231CEA"/>
    <w:rsid w:val="00231D06"/>
    <w:rsid w:val="00231D15"/>
    <w:rsid w:val="00231DCA"/>
    <w:rsid w:val="00231E56"/>
    <w:rsid w:val="00232022"/>
    <w:rsid w:val="002321A5"/>
    <w:rsid w:val="002323CF"/>
    <w:rsid w:val="0023250C"/>
    <w:rsid w:val="002325E3"/>
    <w:rsid w:val="002326B4"/>
    <w:rsid w:val="0023277A"/>
    <w:rsid w:val="00232A2C"/>
    <w:rsid w:val="00232EEB"/>
    <w:rsid w:val="00232F22"/>
    <w:rsid w:val="00232FAF"/>
    <w:rsid w:val="00232FE0"/>
    <w:rsid w:val="002330A0"/>
    <w:rsid w:val="002331B9"/>
    <w:rsid w:val="00233201"/>
    <w:rsid w:val="00233349"/>
    <w:rsid w:val="00233548"/>
    <w:rsid w:val="00233725"/>
    <w:rsid w:val="00233870"/>
    <w:rsid w:val="00233A3B"/>
    <w:rsid w:val="00233A59"/>
    <w:rsid w:val="00233B4D"/>
    <w:rsid w:val="00233E78"/>
    <w:rsid w:val="00233EFD"/>
    <w:rsid w:val="00233F3A"/>
    <w:rsid w:val="00233F55"/>
    <w:rsid w:val="00234042"/>
    <w:rsid w:val="00234174"/>
    <w:rsid w:val="002341D6"/>
    <w:rsid w:val="00234203"/>
    <w:rsid w:val="00234A8D"/>
    <w:rsid w:val="00234BBF"/>
    <w:rsid w:val="00234D47"/>
    <w:rsid w:val="00234E65"/>
    <w:rsid w:val="002352A1"/>
    <w:rsid w:val="002353AC"/>
    <w:rsid w:val="002353D0"/>
    <w:rsid w:val="002354C6"/>
    <w:rsid w:val="002356AD"/>
    <w:rsid w:val="00235820"/>
    <w:rsid w:val="002359DC"/>
    <w:rsid w:val="00235A39"/>
    <w:rsid w:val="00235BB5"/>
    <w:rsid w:val="00235BCB"/>
    <w:rsid w:val="00235C2E"/>
    <w:rsid w:val="00235D4C"/>
    <w:rsid w:val="00235FBF"/>
    <w:rsid w:val="00236179"/>
    <w:rsid w:val="002361B4"/>
    <w:rsid w:val="00236256"/>
    <w:rsid w:val="00236406"/>
    <w:rsid w:val="00236496"/>
    <w:rsid w:val="0023668E"/>
    <w:rsid w:val="002368E4"/>
    <w:rsid w:val="00236B1F"/>
    <w:rsid w:val="00236B26"/>
    <w:rsid w:val="00236BDE"/>
    <w:rsid w:val="00236D5F"/>
    <w:rsid w:val="00236DB6"/>
    <w:rsid w:val="002370FA"/>
    <w:rsid w:val="002371DB"/>
    <w:rsid w:val="00237229"/>
    <w:rsid w:val="0023738E"/>
    <w:rsid w:val="0023739D"/>
    <w:rsid w:val="002373F8"/>
    <w:rsid w:val="00237570"/>
    <w:rsid w:val="002376FB"/>
    <w:rsid w:val="00237746"/>
    <w:rsid w:val="002377DA"/>
    <w:rsid w:val="00237955"/>
    <w:rsid w:val="00237AB1"/>
    <w:rsid w:val="00237B7B"/>
    <w:rsid w:val="00237B9D"/>
    <w:rsid w:val="00237C92"/>
    <w:rsid w:val="00237F5F"/>
    <w:rsid w:val="00240140"/>
    <w:rsid w:val="0024025C"/>
    <w:rsid w:val="00240394"/>
    <w:rsid w:val="00240468"/>
    <w:rsid w:val="002404B6"/>
    <w:rsid w:val="0024060E"/>
    <w:rsid w:val="00240870"/>
    <w:rsid w:val="002408BC"/>
    <w:rsid w:val="00240BFE"/>
    <w:rsid w:val="00240C38"/>
    <w:rsid w:val="00240E42"/>
    <w:rsid w:val="00240E8A"/>
    <w:rsid w:val="0024116C"/>
    <w:rsid w:val="00241394"/>
    <w:rsid w:val="002414C9"/>
    <w:rsid w:val="002414E9"/>
    <w:rsid w:val="00241525"/>
    <w:rsid w:val="002415EF"/>
    <w:rsid w:val="00241647"/>
    <w:rsid w:val="00241BD7"/>
    <w:rsid w:val="00241F36"/>
    <w:rsid w:val="00241FCF"/>
    <w:rsid w:val="00242003"/>
    <w:rsid w:val="00242094"/>
    <w:rsid w:val="00242127"/>
    <w:rsid w:val="002422C7"/>
    <w:rsid w:val="0024244A"/>
    <w:rsid w:val="0024249D"/>
    <w:rsid w:val="002427A1"/>
    <w:rsid w:val="0024282F"/>
    <w:rsid w:val="00242967"/>
    <w:rsid w:val="00242B16"/>
    <w:rsid w:val="00243380"/>
    <w:rsid w:val="00243389"/>
    <w:rsid w:val="00243594"/>
    <w:rsid w:val="002436BC"/>
    <w:rsid w:val="00243789"/>
    <w:rsid w:val="00243799"/>
    <w:rsid w:val="0024385C"/>
    <w:rsid w:val="00243870"/>
    <w:rsid w:val="0024388C"/>
    <w:rsid w:val="00243A37"/>
    <w:rsid w:val="00243C33"/>
    <w:rsid w:val="002440F8"/>
    <w:rsid w:val="00244394"/>
    <w:rsid w:val="002444E7"/>
    <w:rsid w:val="0024455B"/>
    <w:rsid w:val="0024460F"/>
    <w:rsid w:val="00244A09"/>
    <w:rsid w:val="00244BF7"/>
    <w:rsid w:val="00244D5F"/>
    <w:rsid w:val="00244DE7"/>
    <w:rsid w:val="00244E34"/>
    <w:rsid w:val="00244ECB"/>
    <w:rsid w:val="00245086"/>
    <w:rsid w:val="002452C3"/>
    <w:rsid w:val="002452E0"/>
    <w:rsid w:val="00245487"/>
    <w:rsid w:val="00245583"/>
    <w:rsid w:val="002455C5"/>
    <w:rsid w:val="0024570E"/>
    <w:rsid w:val="00245713"/>
    <w:rsid w:val="0024591C"/>
    <w:rsid w:val="002459BE"/>
    <w:rsid w:val="00245A70"/>
    <w:rsid w:val="00245D2D"/>
    <w:rsid w:val="00246632"/>
    <w:rsid w:val="00246AC6"/>
    <w:rsid w:val="00246C55"/>
    <w:rsid w:val="00246F43"/>
    <w:rsid w:val="002470FD"/>
    <w:rsid w:val="00247147"/>
    <w:rsid w:val="00247223"/>
    <w:rsid w:val="00247271"/>
    <w:rsid w:val="0024744C"/>
    <w:rsid w:val="002475F0"/>
    <w:rsid w:val="002476B2"/>
    <w:rsid w:val="002476E4"/>
    <w:rsid w:val="00247779"/>
    <w:rsid w:val="00247A26"/>
    <w:rsid w:val="00247C5A"/>
    <w:rsid w:val="00247CD5"/>
    <w:rsid w:val="00247EE8"/>
    <w:rsid w:val="002500D8"/>
    <w:rsid w:val="002501F2"/>
    <w:rsid w:val="0025022D"/>
    <w:rsid w:val="002502CE"/>
    <w:rsid w:val="00250335"/>
    <w:rsid w:val="0025034C"/>
    <w:rsid w:val="002505A2"/>
    <w:rsid w:val="0025089F"/>
    <w:rsid w:val="00250BE9"/>
    <w:rsid w:val="00250C5E"/>
    <w:rsid w:val="00251289"/>
    <w:rsid w:val="00251296"/>
    <w:rsid w:val="00251431"/>
    <w:rsid w:val="0025145B"/>
    <w:rsid w:val="002514C4"/>
    <w:rsid w:val="00251535"/>
    <w:rsid w:val="002519B5"/>
    <w:rsid w:val="002519C0"/>
    <w:rsid w:val="0025238A"/>
    <w:rsid w:val="0025246D"/>
    <w:rsid w:val="00252548"/>
    <w:rsid w:val="002525C4"/>
    <w:rsid w:val="002528FA"/>
    <w:rsid w:val="00252A2E"/>
    <w:rsid w:val="00252A81"/>
    <w:rsid w:val="00252C1F"/>
    <w:rsid w:val="00252C56"/>
    <w:rsid w:val="00252DAE"/>
    <w:rsid w:val="00252DCE"/>
    <w:rsid w:val="00252DE9"/>
    <w:rsid w:val="002530F1"/>
    <w:rsid w:val="00253176"/>
    <w:rsid w:val="0025373B"/>
    <w:rsid w:val="00253A9E"/>
    <w:rsid w:val="00253C2B"/>
    <w:rsid w:val="00253C4C"/>
    <w:rsid w:val="00253D3B"/>
    <w:rsid w:val="00253DCC"/>
    <w:rsid w:val="0025400C"/>
    <w:rsid w:val="002540C7"/>
    <w:rsid w:val="00254631"/>
    <w:rsid w:val="0025474D"/>
    <w:rsid w:val="0025482B"/>
    <w:rsid w:val="002548B8"/>
    <w:rsid w:val="002549EC"/>
    <w:rsid w:val="00254F59"/>
    <w:rsid w:val="00255197"/>
    <w:rsid w:val="0025539A"/>
    <w:rsid w:val="00255555"/>
    <w:rsid w:val="002556C7"/>
    <w:rsid w:val="00255CAD"/>
    <w:rsid w:val="00255CF4"/>
    <w:rsid w:val="00255D19"/>
    <w:rsid w:val="00255E45"/>
    <w:rsid w:val="00255EFD"/>
    <w:rsid w:val="002560CF"/>
    <w:rsid w:val="002560D5"/>
    <w:rsid w:val="00256127"/>
    <w:rsid w:val="0025648E"/>
    <w:rsid w:val="0025652B"/>
    <w:rsid w:val="00256589"/>
    <w:rsid w:val="00256684"/>
    <w:rsid w:val="002566D5"/>
    <w:rsid w:val="002569B8"/>
    <w:rsid w:val="00256C80"/>
    <w:rsid w:val="00256D63"/>
    <w:rsid w:val="00256D8A"/>
    <w:rsid w:val="00256F0E"/>
    <w:rsid w:val="00256F7A"/>
    <w:rsid w:val="00256F7D"/>
    <w:rsid w:val="002571AB"/>
    <w:rsid w:val="0025724E"/>
    <w:rsid w:val="002577A9"/>
    <w:rsid w:val="002578D0"/>
    <w:rsid w:val="0025791A"/>
    <w:rsid w:val="00257B3E"/>
    <w:rsid w:val="00257CDD"/>
    <w:rsid w:val="00257DEA"/>
    <w:rsid w:val="00257DEE"/>
    <w:rsid w:val="00257F3C"/>
    <w:rsid w:val="0026022C"/>
    <w:rsid w:val="0026027A"/>
    <w:rsid w:val="002603D2"/>
    <w:rsid w:val="002605DD"/>
    <w:rsid w:val="00260801"/>
    <w:rsid w:val="00260928"/>
    <w:rsid w:val="0026097F"/>
    <w:rsid w:val="00260CEE"/>
    <w:rsid w:val="00260F25"/>
    <w:rsid w:val="0026139D"/>
    <w:rsid w:val="0026156F"/>
    <w:rsid w:val="0026181F"/>
    <w:rsid w:val="002618B6"/>
    <w:rsid w:val="00261949"/>
    <w:rsid w:val="002619C5"/>
    <w:rsid w:val="002619E4"/>
    <w:rsid w:val="00261B8C"/>
    <w:rsid w:val="00261E7F"/>
    <w:rsid w:val="00261ECF"/>
    <w:rsid w:val="00261FF2"/>
    <w:rsid w:val="002620E2"/>
    <w:rsid w:val="002623E5"/>
    <w:rsid w:val="00262498"/>
    <w:rsid w:val="002626BB"/>
    <w:rsid w:val="002626CE"/>
    <w:rsid w:val="002626FF"/>
    <w:rsid w:val="00262CE3"/>
    <w:rsid w:val="00262CFE"/>
    <w:rsid w:val="00262DDD"/>
    <w:rsid w:val="00262E15"/>
    <w:rsid w:val="0026317A"/>
    <w:rsid w:val="00263351"/>
    <w:rsid w:val="002633A2"/>
    <w:rsid w:val="00263468"/>
    <w:rsid w:val="002639AE"/>
    <w:rsid w:val="00263B5B"/>
    <w:rsid w:val="00263B7E"/>
    <w:rsid w:val="00263C31"/>
    <w:rsid w:val="00263E13"/>
    <w:rsid w:val="002645DE"/>
    <w:rsid w:val="00264760"/>
    <w:rsid w:val="00264C10"/>
    <w:rsid w:val="00264F0A"/>
    <w:rsid w:val="00264F83"/>
    <w:rsid w:val="002650C9"/>
    <w:rsid w:val="00265131"/>
    <w:rsid w:val="002651A5"/>
    <w:rsid w:val="002652DE"/>
    <w:rsid w:val="0026553D"/>
    <w:rsid w:val="00265642"/>
    <w:rsid w:val="00265645"/>
    <w:rsid w:val="00265665"/>
    <w:rsid w:val="00265839"/>
    <w:rsid w:val="00265CCD"/>
    <w:rsid w:val="00265D47"/>
    <w:rsid w:val="00265E17"/>
    <w:rsid w:val="0026614D"/>
    <w:rsid w:val="00266418"/>
    <w:rsid w:val="0026653E"/>
    <w:rsid w:val="002666A4"/>
    <w:rsid w:val="002666F4"/>
    <w:rsid w:val="0026685E"/>
    <w:rsid w:val="0026686A"/>
    <w:rsid w:val="00266978"/>
    <w:rsid w:val="00266EF1"/>
    <w:rsid w:val="00266FC4"/>
    <w:rsid w:val="0026705F"/>
    <w:rsid w:val="00267303"/>
    <w:rsid w:val="0026744A"/>
    <w:rsid w:val="0026760C"/>
    <w:rsid w:val="00267946"/>
    <w:rsid w:val="00267AC7"/>
    <w:rsid w:val="00267B48"/>
    <w:rsid w:val="00267EF9"/>
    <w:rsid w:val="002701B5"/>
    <w:rsid w:val="00270223"/>
    <w:rsid w:val="002704E4"/>
    <w:rsid w:val="002705B6"/>
    <w:rsid w:val="00270647"/>
    <w:rsid w:val="002709B2"/>
    <w:rsid w:val="00270A6E"/>
    <w:rsid w:val="00270FB8"/>
    <w:rsid w:val="002710AE"/>
    <w:rsid w:val="00271315"/>
    <w:rsid w:val="002713C1"/>
    <w:rsid w:val="00271769"/>
    <w:rsid w:val="00271A3E"/>
    <w:rsid w:val="00271A51"/>
    <w:rsid w:val="00271BE4"/>
    <w:rsid w:val="00271C0E"/>
    <w:rsid w:val="00271CFE"/>
    <w:rsid w:val="002721A4"/>
    <w:rsid w:val="0027225E"/>
    <w:rsid w:val="0027256C"/>
    <w:rsid w:val="0027281F"/>
    <w:rsid w:val="00272905"/>
    <w:rsid w:val="00272AC8"/>
    <w:rsid w:val="00273149"/>
    <w:rsid w:val="00273153"/>
    <w:rsid w:val="002731C8"/>
    <w:rsid w:val="00273237"/>
    <w:rsid w:val="0027340E"/>
    <w:rsid w:val="002734F0"/>
    <w:rsid w:val="002735FF"/>
    <w:rsid w:val="002736E7"/>
    <w:rsid w:val="002738F2"/>
    <w:rsid w:val="00273940"/>
    <w:rsid w:val="00273A86"/>
    <w:rsid w:val="00273D89"/>
    <w:rsid w:val="00274041"/>
    <w:rsid w:val="0027448E"/>
    <w:rsid w:val="002744A0"/>
    <w:rsid w:val="0027453C"/>
    <w:rsid w:val="0027479D"/>
    <w:rsid w:val="00274843"/>
    <w:rsid w:val="002748F1"/>
    <w:rsid w:val="0027498E"/>
    <w:rsid w:val="002749BC"/>
    <w:rsid w:val="00274ACB"/>
    <w:rsid w:val="00274B0D"/>
    <w:rsid w:val="00274CFA"/>
    <w:rsid w:val="00275019"/>
    <w:rsid w:val="00275141"/>
    <w:rsid w:val="0027537F"/>
    <w:rsid w:val="00275432"/>
    <w:rsid w:val="00275444"/>
    <w:rsid w:val="002754BE"/>
    <w:rsid w:val="00275892"/>
    <w:rsid w:val="00275CA9"/>
    <w:rsid w:val="00275D40"/>
    <w:rsid w:val="00275F19"/>
    <w:rsid w:val="002761CD"/>
    <w:rsid w:val="0027640A"/>
    <w:rsid w:val="00276438"/>
    <w:rsid w:val="00276510"/>
    <w:rsid w:val="00276721"/>
    <w:rsid w:val="0027682C"/>
    <w:rsid w:val="002768FB"/>
    <w:rsid w:val="002769A5"/>
    <w:rsid w:val="002769E5"/>
    <w:rsid w:val="00276AB5"/>
    <w:rsid w:val="00276B60"/>
    <w:rsid w:val="00276BFA"/>
    <w:rsid w:val="002774D2"/>
    <w:rsid w:val="0027753A"/>
    <w:rsid w:val="00277548"/>
    <w:rsid w:val="00277563"/>
    <w:rsid w:val="00277566"/>
    <w:rsid w:val="002775C7"/>
    <w:rsid w:val="002775D6"/>
    <w:rsid w:val="00277749"/>
    <w:rsid w:val="002777DB"/>
    <w:rsid w:val="00277822"/>
    <w:rsid w:val="00277943"/>
    <w:rsid w:val="002779E0"/>
    <w:rsid w:val="00277A5D"/>
    <w:rsid w:val="00277B72"/>
    <w:rsid w:val="00277D2B"/>
    <w:rsid w:val="00277EEF"/>
    <w:rsid w:val="002803B6"/>
    <w:rsid w:val="00280602"/>
    <w:rsid w:val="00280770"/>
    <w:rsid w:val="00280988"/>
    <w:rsid w:val="00280A79"/>
    <w:rsid w:val="00280ACE"/>
    <w:rsid w:val="00280CA2"/>
    <w:rsid w:val="00280DDE"/>
    <w:rsid w:val="00280E22"/>
    <w:rsid w:val="00280E55"/>
    <w:rsid w:val="00280FBA"/>
    <w:rsid w:val="002814CB"/>
    <w:rsid w:val="00281577"/>
    <w:rsid w:val="002816A0"/>
    <w:rsid w:val="0028177B"/>
    <w:rsid w:val="0028186E"/>
    <w:rsid w:val="002818A8"/>
    <w:rsid w:val="00281B8A"/>
    <w:rsid w:val="00281E5A"/>
    <w:rsid w:val="002821DD"/>
    <w:rsid w:val="002821EC"/>
    <w:rsid w:val="00282275"/>
    <w:rsid w:val="00282297"/>
    <w:rsid w:val="0028229A"/>
    <w:rsid w:val="00282501"/>
    <w:rsid w:val="0028257F"/>
    <w:rsid w:val="0028278D"/>
    <w:rsid w:val="002827A0"/>
    <w:rsid w:val="0028280D"/>
    <w:rsid w:val="00282C9B"/>
    <w:rsid w:val="00282DD7"/>
    <w:rsid w:val="00282E7B"/>
    <w:rsid w:val="00283006"/>
    <w:rsid w:val="0028313F"/>
    <w:rsid w:val="0028316A"/>
    <w:rsid w:val="00283193"/>
    <w:rsid w:val="00283247"/>
    <w:rsid w:val="002832A0"/>
    <w:rsid w:val="00283303"/>
    <w:rsid w:val="002834CF"/>
    <w:rsid w:val="002834F9"/>
    <w:rsid w:val="0028364C"/>
    <w:rsid w:val="00283759"/>
    <w:rsid w:val="002838F9"/>
    <w:rsid w:val="00283B7E"/>
    <w:rsid w:val="00283D0F"/>
    <w:rsid w:val="00283F1E"/>
    <w:rsid w:val="0028407A"/>
    <w:rsid w:val="00284116"/>
    <w:rsid w:val="00284176"/>
    <w:rsid w:val="0028471A"/>
    <w:rsid w:val="00284805"/>
    <w:rsid w:val="00284937"/>
    <w:rsid w:val="002849A9"/>
    <w:rsid w:val="00284A1F"/>
    <w:rsid w:val="00284CC1"/>
    <w:rsid w:val="00284D8E"/>
    <w:rsid w:val="00284E82"/>
    <w:rsid w:val="00285076"/>
    <w:rsid w:val="002852B7"/>
    <w:rsid w:val="00285389"/>
    <w:rsid w:val="002856B5"/>
    <w:rsid w:val="00285ACC"/>
    <w:rsid w:val="00285C5C"/>
    <w:rsid w:val="00285D35"/>
    <w:rsid w:val="00285D6D"/>
    <w:rsid w:val="00285E27"/>
    <w:rsid w:val="00286600"/>
    <w:rsid w:val="00286670"/>
    <w:rsid w:val="002867DF"/>
    <w:rsid w:val="002869D2"/>
    <w:rsid w:val="00286BD8"/>
    <w:rsid w:val="00287044"/>
    <w:rsid w:val="002870FB"/>
    <w:rsid w:val="0028710C"/>
    <w:rsid w:val="00287202"/>
    <w:rsid w:val="0028741C"/>
    <w:rsid w:val="002876BF"/>
    <w:rsid w:val="002877EB"/>
    <w:rsid w:val="002877FC"/>
    <w:rsid w:val="002878AB"/>
    <w:rsid w:val="00287905"/>
    <w:rsid w:val="00287A17"/>
    <w:rsid w:val="00287A4E"/>
    <w:rsid w:val="00287A8D"/>
    <w:rsid w:val="00287B5C"/>
    <w:rsid w:val="00287C35"/>
    <w:rsid w:val="00287C85"/>
    <w:rsid w:val="00287E7F"/>
    <w:rsid w:val="00287EBA"/>
    <w:rsid w:val="00287FB4"/>
    <w:rsid w:val="00287FB5"/>
    <w:rsid w:val="002900E0"/>
    <w:rsid w:val="00290483"/>
    <w:rsid w:val="002904C9"/>
    <w:rsid w:val="00290715"/>
    <w:rsid w:val="00290B2B"/>
    <w:rsid w:val="00290CA1"/>
    <w:rsid w:val="00290CD1"/>
    <w:rsid w:val="00290E87"/>
    <w:rsid w:val="00290FA1"/>
    <w:rsid w:val="002910FF"/>
    <w:rsid w:val="00291164"/>
    <w:rsid w:val="00291638"/>
    <w:rsid w:val="00291658"/>
    <w:rsid w:val="00291A51"/>
    <w:rsid w:val="00291A75"/>
    <w:rsid w:val="00291B5B"/>
    <w:rsid w:val="00291D59"/>
    <w:rsid w:val="00291E73"/>
    <w:rsid w:val="00291F1A"/>
    <w:rsid w:val="0029248F"/>
    <w:rsid w:val="0029250A"/>
    <w:rsid w:val="0029252A"/>
    <w:rsid w:val="002926EA"/>
    <w:rsid w:val="00292768"/>
    <w:rsid w:val="00292846"/>
    <w:rsid w:val="002928EB"/>
    <w:rsid w:val="00292972"/>
    <w:rsid w:val="0029298B"/>
    <w:rsid w:val="00292A45"/>
    <w:rsid w:val="00292A6E"/>
    <w:rsid w:val="00292B8F"/>
    <w:rsid w:val="00292CBD"/>
    <w:rsid w:val="00292D07"/>
    <w:rsid w:val="00292D2C"/>
    <w:rsid w:val="0029304B"/>
    <w:rsid w:val="00293050"/>
    <w:rsid w:val="00293079"/>
    <w:rsid w:val="002931A0"/>
    <w:rsid w:val="002931E7"/>
    <w:rsid w:val="002933A6"/>
    <w:rsid w:val="00293489"/>
    <w:rsid w:val="00293904"/>
    <w:rsid w:val="00293BBC"/>
    <w:rsid w:val="00293D18"/>
    <w:rsid w:val="00294000"/>
    <w:rsid w:val="002940A2"/>
    <w:rsid w:val="002941B2"/>
    <w:rsid w:val="0029433E"/>
    <w:rsid w:val="002946EB"/>
    <w:rsid w:val="002947E5"/>
    <w:rsid w:val="002949F7"/>
    <w:rsid w:val="00294A40"/>
    <w:rsid w:val="0029524E"/>
    <w:rsid w:val="0029526A"/>
    <w:rsid w:val="00295381"/>
    <w:rsid w:val="002953D6"/>
    <w:rsid w:val="00295760"/>
    <w:rsid w:val="00295804"/>
    <w:rsid w:val="002958A5"/>
    <w:rsid w:val="002958CD"/>
    <w:rsid w:val="002959E5"/>
    <w:rsid w:val="00296921"/>
    <w:rsid w:val="002969D9"/>
    <w:rsid w:val="00296B76"/>
    <w:rsid w:val="00296B88"/>
    <w:rsid w:val="00296C16"/>
    <w:rsid w:val="00296C61"/>
    <w:rsid w:val="00296DA6"/>
    <w:rsid w:val="00296F3D"/>
    <w:rsid w:val="00296F5C"/>
    <w:rsid w:val="002971D2"/>
    <w:rsid w:val="002974F9"/>
    <w:rsid w:val="00297584"/>
    <w:rsid w:val="002975CD"/>
    <w:rsid w:val="0029768C"/>
    <w:rsid w:val="002976A3"/>
    <w:rsid w:val="002977F8"/>
    <w:rsid w:val="00297B23"/>
    <w:rsid w:val="00297D9F"/>
    <w:rsid w:val="00297E47"/>
    <w:rsid w:val="002A0011"/>
    <w:rsid w:val="002A0394"/>
    <w:rsid w:val="002A04F6"/>
    <w:rsid w:val="002A0533"/>
    <w:rsid w:val="002A068B"/>
    <w:rsid w:val="002A07EB"/>
    <w:rsid w:val="002A08C4"/>
    <w:rsid w:val="002A09D4"/>
    <w:rsid w:val="002A0C0A"/>
    <w:rsid w:val="002A0E0F"/>
    <w:rsid w:val="002A0ECD"/>
    <w:rsid w:val="002A1284"/>
    <w:rsid w:val="002A12E4"/>
    <w:rsid w:val="002A131C"/>
    <w:rsid w:val="002A1435"/>
    <w:rsid w:val="002A14AB"/>
    <w:rsid w:val="002A1611"/>
    <w:rsid w:val="002A1707"/>
    <w:rsid w:val="002A1910"/>
    <w:rsid w:val="002A1936"/>
    <w:rsid w:val="002A1A52"/>
    <w:rsid w:val="002A1AE9"/>
    <w:rsid w:val="002A1DBC"/>
    <w:rsid w:val="002A1E5D"/>
    <w:rsid w:val="002A2022"/>
    <w:rsid w:val="002A2136"/>
    <w:rsid w:val="002A2185"/>
    <w:rsid w:val="002A21D6"/>
    <w:rsid w:val="002A241A"/>
    <w:rsid w:val="002A26CC"/>
    <w:rsid w:val="002A2F79"/>
    <w:rsid w:val="002A302F"/>
    <w:rsid w:val="002A31A9"/>
    <w:rsid w:val="002A3208"/>
    <w:rsid w:val="002A3366"/>
    <w:rsid w:val="002A3659"/>
    <w:rsid w:val="002A3709"/>
    <w:rsid w:val="002A39E4"/>
    <w:rsid w:val="002A3A33"/>
    <w:rsid w:val="002A3B3F"/>
    <w:rsid w:val="002A3BAA"/>
    <w:rsid w:val="002A3E63"/>
    <w:rsid w:val="002A43B0"/>
    <w:rsid w:val="002A492A"/>
    <w:rsid w:val="002A4CF6"/>
    <w:rsid w:val="002A4D7D"/>
    <w:rsid w:val="002A4DAD"/>
    <w:rsid w:val="002A5412"/>
    <w:rsid w:val="002A57A3"/>
    <w:rsid w:val="002A5874"/>
    <w:rsid w:val="002A5A88"/>
    <w:rsid w:val="002A5AE6"/>
    <w:rsid w:val="002A5C20"/>
    <w:rsid w:val="002A5C49"/>
    <w:rsid w:val="002A5E16"/>
    <w:rsid w:val="002A5E9D"/>
    <w:rsid w:val="002A5EC1"/>
    <w:rsid w:val="002A5FA5"/>
    <w:rsid w:val="002A6116"/>
    <w:rsid w:val="002A6132"/>
    <w:rsid w:val="002A643D"/>
    <w:rsid w:val="002A64AF"/>
    <w:rsid w:val="002A660E"/>
    <w:rsid w:val="002A6610"/>
    <w:rsid w:val="002A6648"/>
    <w:rsid w:val="002A6656"/>
    <w:rsid w:val="002A666A"/>
    <w:rsid w:val="002A666B"/>
    <w:rsid w:val="002A674D"/>
    <w:rsid w:val="002A6AEF"/>
    <w:rsid w:val="002A6BAA"/>
    <w:rsid w:val="002A6F67"/>
    <w:rsid w:val="002A7007"/>
    <w:rsid w:val="002A7146"/>
    <w:rsid w:val="002A7174"/>
    <w:rsid w:val="002A7665"/>
    <w:rsid w:val="002A76A6"/>
    <w:rsid w:val="002A7DFF"/>
    <w:rsid w:val="002B027D"/>
    <w:rsid w:val="002B0926"/>
    <w:rsid w:val="002B093B"/>
    <w:rsid w:val="002B09CB"/>
    <w:rsid w:val="002B09CE"/>
    <w:rsid w:val="002B0BD7"/>
    <w:rsid w:val="002B1321"/>
    <w:rsid w:val="002B1484"/>
    <w:rsid w:val="002B14A4"/>
    <w:rsid w:val="002B14DD"/>
    <w:rsid w:val="002B14F8"/>
    <w:rsid w:val="002B17A3"/>
    <w:rsid w:val="002B18E8"/>
    <w:rsid w:val="002B193B"/>
    <w:rsid w:val="002B1DDA"/>
    <w:rsid w:val="002B1E40"/>
    <w:rsid w:val="002B2446"/>
    <w:rsid w:val="002B24A0"/>
    <w:rsid w:val="002B24AF"/>
    <w:rsid w:val="002B2810"/>
    <w:rsid w:val="002B2832"/>
    <w:rsid w:val="002B28DA"/>
    <w:rsid w:val="002B2900"/>
    <w:rsid w:val="002B2AA9"/>
    <w:rsid w:val="002B2D0D"/>
    <w:rsid w:val="002B317E"/>
    <w:rsid w:val="002B34A5"/>
    <w:rsid w:val="002B3618"/>
    <w:rsid w:val="002B386B"/>
    <w:rsid w:val="002B3B88"/>
    <w:rsid w:val="002B3BA4"/>
    <w:rsid w:val="002B3BBF"/>
    <w:rsid w:val="002B3D24"/>
    <w:rsid w:val="002B4096"/>
    <w:rsid w:val="002B4145"/>
    <w:rsid w:val="002B42E1"/>
    <w:rsid w:val="002B43FC"/>
    <w:rsid w:val="002B44A5"/>
    <w:rsid w:val="002B4606"/>
    <w:rsid w:val="002B4693"/>
    <w:rsid w:val="002B4876"/>
    <w:rsid w:val="002B487B"/>
    <w:rsid w:val="002B4900"/>
    <w:rsid w:val="002B4E46"/>
    <w:rsid w:val="002B4E62"/>
    <w:rsid w:val="002B5173"/>
    <w:rsid w:val="002B5341"/>
    <w:rsid w:val="002B550F"/>
    <w:rsid w:val="002B568D"/>
    <w:rsid w:val="002B5886"/>
    <w:rsid w:val="002B598E"/>
    <w:rsid w:val="002B5A5B"/>
    <w:rsid w:val="002B5C74"/>
    <w:rsid w:val="002B62E3"/>
    <w:rsid w:val="002B6304"/>
    <w:rsid w:val="002B632A"/>
    <w:rsid w:val="002B64A5"/>
    <w:rsid w:val="002B6500"/>
    <w:rsid w:val="002B6533"/>
    <w:rsid w:val="002B65D5"/>
    <w:rsid w:val="002B69D7"/>
    <w:rsid w:val="002B6AD8"/>
    <w:rsid w:val="002B6D7A"/>
    <w:rsid w:val="002B6EF6"/>
    <w:rsid w:val="002B717F"/>
    <w:rsid w:val="002B7231"/>
    <w:rsid w:val="002B72B0"/>
    <w:rsid w:val="002B72C5"/>
    <w:rsid w:val="002B72EA"/>
    <w:rsid w:val="002B749D"/>
    <w:rsid w:val="002B754A"/>
    <w:rsid w:val="002B75FA"/>
    <w:rsid w:val="002B77ED"/>
    <w:rsid w:val="002B77F5"/>
    <w:rsid w:val="002B79D4"/>
    <w:rsid w:val="002B7AE6"/>
    <w:rsid w:val="002B7B88"/>
    <w:rsid w:val="002B7BD8"/>
    <w:rsid w:val="002B7C21"/>
    <w:rsid w:val="002B7F6F"/>
    <w:rsid w:val="002C06CD"/>
    <w:rsid w:val="002C07E1"/>
    <w:rsid w:val="002C0992"/>
    <w:rsid w:val="002C09E3"/>
    <w:rsid w:val="002C0EF4"/>
    <w:rsid w:val="002C0F94"/>
    <w:rsid w:val="002C11F6"/>
    <w:rsid w:val="002C1276"/>
    <w:rsid w:val="002C13FE"/>
    <w:rsid w:val="002C14CC"/>
    <w:rsid w:val="002C153E"/>
    <w:rsid w:val="002C16A9"/>
    <w:rsid w:val="002C193A"/>
    <w:rsid w:val="002C197E"/>
    <w:rsid w:val="002C1A9B"/>
    <w:rsid w:val="002C1B44"/>
    <w:rsid w:val="002C1D61"/>
    <w:rsid w:val="002C1F15"/>
    <w:rsid w:val="002C1F1C"/>
    <w:rsid w:val="002C2426"/>
    <w:rsid w:val="002C24C1"/>
    <w:rsid w:val="002C252A"/>
    <w:rsid w:val="002C25F7"/>
    <w:rsid w:val="002C2788"/>
    <w:rsid w:val="002C283E"/>
    <w:rsid w:val="002C2A47"/>
    <w:rsid w:val="002C2D07"/>
    <w:rsid w:val="002C2E16"/>
    <w:rsid w:val="002C2F39"/>
    <w:rsid w:val="002C2FFB"/>
    <w:rsid w:val="002C3063"/>
    <w:rsid w:val="002C3128"/>
    <w:rsid w:val="002C3573"/>
    <w:rsid w:val="002C3580"/>
    <w:rsid w:val="002C3602"/>
    <w:rsid w:val="002C374C"/>
    <w:rsid w:val="002C37C1"/>
    <w:rsid w:val="002C37E3"/>
    <w:rsid w:val="002C3DD5"/>
    <w:rsid w:val="002C3F46"/>
    <w:rsid w:val="002C4562"/>
    <w:rsid w:val="002C465B"/>
    <w:rsid w:val="002C483F"/>
    <w:rsid w:val="002C4CA4"/>
    <w:rsid w:val="002C4CFF"/>
    <w:rsid w:val="002C4E7E"/>
    <w:rsid w:val="002C4F34"/>
    <w:rsid w:val="002C5072"/>
    <w:rsid w:val="002C55E1"/>
    <w:rsid w:val="002C55EC"/>
    <w:rsid w:val="002C576A"/>
    <w:rsid w:val="002C58B2"/>
    <w:rsid w:val="002C58DD"/>
    <w:rsid w:val="002C595F"/>
    <w:rsid w:val="002C5A2D"/>
    <w:rsid w:val="002C5E51"/>
    <w:rsid w:val="002C5F66"/>
    <w:rsid w:val="002C5FB7"/>
    <w:rsid w:val="002C6058"/>
    <w:rsid w:val="002C60B1"/>
    <w:rsid w:val="002C62D5"/>
    <w:rsid w:val="002C6389"/>
    <w:rsid w:val="002C6554"/>
    <w:rsid w:val="002C6677"/>
    <w:rsid w:val="002C694D"/>
    <w:rsid w:val="002C6A7E"/>
    <w:rsid w:val="002C6ACD"/>
    <w:rsid w:val="002C6BDF"/>
    <w:rsid w:val="002C6DD4"/>
    <w:rsid w:val="002C6E29"/>
    <w:rsid w:val="002C6E4A"/>
    <w:rsid w:val="002C6FE7"/>
    <w:rsid w:val="002C7153"/>
    <w:rsid w:val="002C7165"/>
    <w:rsid w:val="002C7611"/>
    <w:rsid w:val="002C77E9"/>
    <w:rsid w:val="002C7BFA"/>
    <w:rsid w:val="002C7C8D"/>
    <w:rsid w:val="002C7D8F"/>
    <w:rsid w:val="002C7DBD"/>
    <w:rsid w:val="002C7E12"/>
    <w:rsid w:val="002C7E58"/>
    <w:rsid w:val="002C7EC6"/>
    <w:rsid w:val="002D071D"/>
    <w:rsid w:val="002D09C7"/>
    <w:rsid w:val="002D09FF"/>
    <w:rsid w:val="002D0ACF"/>
    <w:rsid w:val="002D0F21"/>
    <w:rsid w:val="002D10A7"/>
    <w:rsid w:val="002D1154"/>
    <w:rsid w:val="002D116F"/>
    <w:rsid w:val="002D1366"/>
    <w:rsid w:val="002D15A5"/>
    <w:rsid w:val="002D1600"/>
    <w:rsid w:val="002D16B9"/>
    <w:rsid w:val="002D16DD"/>
    <w:rsid w:val="002D1771"/>
    <w:rsid w:val="002D1938"/>
    <w:rsid w:val="002D1BC8"/>
    <w:rsid w:val="002D1C8F"/>
    <w:rsid w:val="002D1E4D"/>
    <w:rsid w:val="002D1F30"/>
    <w:rsid w:val="002D2170"/>
    <w:rsid w:val="002D266E"/>
    <w:rsid w:val="002D27E8"/>
    <w:rsid w:val="002D2964"/>
    <w:rsid w:val="002D2A68"/>
    <w:rsid w:val="002D2A89"/>
    <w:rsid w:val="002D2ACD"/>
    <w:rsid w:val="002D2D99"/>
    <w:rsid w:val="002D2E39"/>
    <w:rsid w:val="002D2FAC"/>
    <w:rsid w:val="002D3454"/>
    <w:rsid w:val="002D3542"/>
    <w:rsid w:val="002D358E"/>
    <w:rsid w:val="002D3978"/>
    <w:rsid w:val="002D3C7F"/>
    <w:rsid w:val="002D4030"/>
    <w:rsid w:val="002D4145"/>
    <w:rsid w:val="002D4505"/>
    <w:rsid w:val="002D45EB"/>
    <w:rsid w:val="002D4680"/>
    <w:rsid w:val="002D4753"/>
    <w:rsid w:val="002D4939"/>
    <w:rsid w:val="002D4A8A"/>
    <w:rsid w:val="002D4C3B"/>
    <w:rsid w:val="002D4E1B"/>
    <w:rsid w:val="002D4F67"/>
    <w:rsid w:val="002D5148"/>
    <w:rsid w:val="002D541E"/>
    <w:rsid w:val="002D5773"/>
    <w:rsid w:val="002D59E6"/>
    <w:rsid w:val="002D5B50"/>
    <w:rsid w:val="002D5C22"/>
    <w:rsid w:val="002D5C9C"/>
    <w:rsid w:val="002D5D2B"/>
    <w:rsid w:val="002D5DE4"/>
    <w:rsid w:val="002D5F96"/>
    <w:rsid w:val="002D5FDA"/>
    <w:rsid w:val="002D6026"/>
    <w:rsid w:val="002D6074"/>
    <w:rsid w:val="002D6168"/>
    <w:rsid w:val="002D6272"/>
    <w:rsid w:val="002D641D"/>
    <w:rsid w:val="002D658A"/>
    <w:rsid w:val="002D65B6"/>
    <w:rsid w:val="002D68AA"/>
    <w:rsid w:val="002D6944"/>
    <w:rsid w:val="002D69B1"/>
    <w:rsid w:val="002D69F2"/>
    <w:rsid w:val="002D6EA8"/>
    <w:rsid w:val="002D6EC3"/>
    <w:rsid w:val="002D6F59"/>
    <w:rsid w:val="002D6FD5"/>
    <w:rsid w:val="002D7134"/>
    <w:rsid w:val="002D71E7"/>
    <w:rsid w:val="002D726C"/>
    <w:rsid w:val="002D72F3"/>
    <w:rsid w:val="002D7310"/>
    <w:rsid w:val="002D7477"/>
    <w:rsid w:val="002D74F4"/>
    <w:rsid w:val="002D763A"/>
    <w:rsid w:val="002D7893"/>
    <w:rsid w:val="002D791B"/>
    <w:rsid w:val="002D7AED"/>
    <w:rsid w:val="002D7B09"/>
    <w:rsid w:val="002D7C0C"/>
    <w:rsid w:val="002D7C71"/>
    <w:rsid w:val="002D7D05"/>
    <w:rsid w:val="002D7F1B"/>
    <w:rsid w:val="002E0027"/>
    <w:rsid w:val="002E008D"/>
    <w:rsid w:val="002E0209"/>
    <w:rsid w:val="002E031E"/>
    <w:rsid w:val="002E0366"/>
    <w:rsid w:val="002E0463"/>
    <w:rsid w:val="002E060B"/>
    <w:rsid w:val="002E0620"/>
    <w:rsid w:val="002E0885"/>
    <w:rsid w:val="002E0AEA"/>
    <w:rsid w:val="002E0CB6"/>
    <w:rsid w:val="002E0CCF"/>
    <w:rsid w:val="002E0CFC"/>
    <w:rsid w:val="002E0DAD"/>
    <w:rsid w:val="002E0EBF"/>
    <w:rsid w:val="002E114D"/>
    <w:rsid w:val="002E13DD"/>
    <w:rsid w:val="002E156E"/>
    <w:rsid w:val="002E1600"/>
    <w:rsid w:val="002E1627"/>
    <w:rsid w:val="002E1765"/>
    <w:rsid w:val="002E1836"/>
    <w:rsid w:val="002E1841"/>
    <w:rsid w:val="002E195F"/>
    <w:rsid w:val="002E1B2E"/>
    <w:rsid w:val="002E1BB3"/>
    <w:rsid w:val="002E1C7E"/>
    <w:rsid w:val="002E1E3E"/>
    <w:rsid w:val="002E1EDB"/>
    <w:rsid w:val="002E1F03"/>
    <w:rsid w:val="002E2169"/>
    <w:rsid w:val="002E22AC"/>
    <w:rsid w:val="002E2445"/>
    <w:rsid w:val="002E2640"/>
    <w:rsid w:val="002E297C"/>
    <w:rsid w:val="002E2B0F"/>
    <w:rsid w:val="002E2BB8"/>
    <w:rsid w:val="002E2E8A"/>
    <w:rsid w:val="002E2EC4"/>
    <w:rsid w:val="002E30BF"/>
    <w:rsid w:val="002E318B"/>
    <w:rsid w:val="002E3197"/>
    <w:rsid w:val="002E326C"/>
    <w:rsid w:val="002E33B6"/>
    <w:rsid w:val="002E34B1"/>
    <w:rsid w:val="002E35D6"/>
    <w:rsid w:val="002E3655"/>
    <w:rsid w:val="002E3C99"/>
    <w:rsid w:val="002E3CAA"/>
    <w:rsid w:val="002E3FEA"/>
    <w:rsid w:val="002E463D"/>
    <w:rsid w:val="002E479A"/>
    <w:rsid w:val="002E48D8"/>
    <w:rsid w:val="002E501F"/>
    <w:rsid w:val="002E5191"/>
    <w:rsid w:val="002E51A8"/>
    <w:rsid w:val="002E523A"/>
    <w:rsid w:val="002E52C0"/>
    <w:rsid w:val="002E5302"/>
    <w:rsid w:val="002E5667"/>
    <w:rsid w:val="002E5704"/>
    <w:rsid w:val="002E588F"/>
    <w:rsid w:val="002E5C4A"/>
    <w:rsid w:val="002E5D54"/>
    <w:rsid w:val="002E5E57"/>
    <w:rsid w:val="002E5EC0"/>
    <w:rsid w:val="002E60B5"/>
    <w:rsid w:val="002E616C"/>
    <w:rsid w:val="002E659E"/>
    <w:rsid w:val="002E6754"/>
    <w:rsid w:val="002E67DC"/>
    <w:rsid w:val="002E6883"/>
    <w:rsid w:val="002E6914"/>
    <w:rsid w:val="002E6A66"/>
    <w:rsid w:val="002E6AAE"/>
    <w:rsid w:val="002E6BA7"/>
    <w:rsid w:val="002E712A"/>
    <w:rsid w:val="002E71EE"/>
    <w:rsid w:val="002E7209"/>
    <w:rsid w:val="002E72D4"/>
    <w:rsid w:val="002E730A"/>
    <w:rsid w:val="002E734E"/>
    <w:rsid w:val="002E742E"/>
    <w:rsid w:val="002E7589"/>
    <w:rsid w:val="002E7601"/>
    <w:rsid w:val="002E7643"/>
    <w:rsid w:val="002E76DE"/>
    <w:rsid w:val="002E76E2"/>
    <w:rsid w:val="002E7907"/>
    <w:rsid w:val="002E792A"/>
    <w:rsid w:val="002E7ADE"/>
    <w:rsid w:val="002E7B5A"/>
    <w:rsid w:val="002E7CA0"/>
    <w:rsid w:val="002E7D5B"/>
    <w:rsid w:val="002E7D90"/>
    <w:rsid w:val="002E7DB3"/>
    <w:rsid w:val="002E7F5C"/>
    <w:rsid w:val="002F003B"/>
    <w:rsid w:val="002F00A7"/>
    <w:rsid w:val="002F0158"/>
    <w:rsid w:val="002F017C"/>
    <w:rsid w:val="002F0239"/>
    <w:rsid w:val="002F0271"/>
    <w:rsid w:val="002F0507"/>
    <w:rsid w:val="002F056B"/>
    <w:rsid w:val="002F0672"/>
    <w:rsid w:val="002F08B3"/>
    <w:rsid w:val="002F0980"/>
    <w:rsid w:val="002F0FFC"/>
    <w:rsid w:val="002F1008"/>
    <w:rsid w:val="002F12C3"/>
    <w:rsid w:val="002F14F2"/>
    <w:rsid w:val="002F14FF"/>
    <w:rsid w:val="002F1539"/>
    <w:rsid w:val="002F15E1"/>
    <w:rsid w:val="002F15E7"/>
    <w:rsid w:val="002F160A"/>
    <w:rsid w:val="002F191D"/>
    <w:rsid w:val="002F1B93"/>
    <w:rsid w:val="002F1BED"/>
    <w:rsid w:val="002F1E5B"/>
    <w:rsid w:val="002F1EE9"/>
    <w:rsid w:val="002F1FA5"/>
    <w:rsid w:val="002F229D"/>
    <w:rsid w:val="002F237B"/>
    <w:rsid w:val="002F268D"/>
    <w:rsid w:val="002F26C5"/>
    <w:rsid w:val="002F2DFB"/>
    <w:rsid w:val="002F3024"/>
    <w:rsid w:val="002F31FA"/>
    <w:rsid w:val="002F334F"/>
    <w:rsid w:val="002F3708"/>
    <w:rsid w:val="002F3916"/>
    <w:rsid w:val="002F3AAF"/>
    <w:rsid w:val="002F42C1"/>
    <w:rsid w:val="002F46DF"/>
    <w:rsid w:val="002F48E1"/>
    <w:rsid w:val="002F4BA0"/>
    <w:rsid w:val="002F4C13"/>
    <w:rsid w:val="002F4C30"/>
    <w:rsid w:val="002F4CA8"/>
    <w:rsid w:val="002F4DF1"/>
    <w:rsid w:val="002F50FE"/>
    <w:rsid w:val="002F5122"/>
    <w:rsid w:val="002F51FC"/>
    <w:rsid w:val="002F5240"/>
    <w:rsid w:val="002F52E1"/>
    <w:rsid w:val="002F534B"/>
    <w:rsid w:val="002F53D7"/>
    <w:rsid w:val="002F56AB"/>
    <w:rsid w:val="002F56FF"/>
    <w:rsid w:val="002F570E"/>
    <w:rsid w:val="002F583C"/>
    <w:rsid w:val="002F5ACC"/>
    <w:rsid w:val="002F5CCA"/>
    <w:rsid w:val="002F5E0B"/>
    <w:rsid w:val="002F5E1B"/>
    <w:rsid w:val="002F5E85"/>
    <w:rsid w:val="002F5ED2"/>
    <w:rsid w:val="002F61C1"/>
    <w:rsid w:val="002F68E0"/>
    <w:rsid w:val="002F691B"/>
    <w:rsid w:val="002F6940"/>
    <w:rsid w:val="002F6AB5"/>
    <w:rsid w:val="002F6B9A"/>
    <w:rsid w:val="002F6D5E"/>
    <w:rsid w:val="002F6E99"/>
    <w:rsid w:val="002F6F09"/>
    <w:rsid w:val="002F70BB"/>
    <w:rsid w:val="002F7214"/>
    <w:rsid w:val="002F757B"/>
    <w:rsid w:val="002F762E"/>
    <w:rsid w:val="002F7670"/>
    <w:rsid w:val="002F7801"/>
    <w:rsid w:val="002F7946"/>
    <w:rsid w:val="002F7ABA"/>
    <w:rsid w:val="002F7B47"/>
    <w:rsid w:val="002F7CA9"/>
    <w:rsid w:val="002F7CF0"/>
    <w:rsid w:val="0030006F"/>
    <w:rsid w:val="00300371"/>
    <w:rsid w:val="0030052F"/>
    <w:rsid w:val="0030059A"/>
    <w:rsid w:val="00300758"/>
    <w:rsid w:val="003007A4"/>
    <w:rsid w:val="0030082C"/>
    <w:rsid w:val="00300D26"/>
    <w:rsid w:val="00300F3C"/>
    <w:rsid w:val="00300FAB"/>
    <w:rsid w:val="003014DE"/>
    <w:rsid w:val="003015A6"/>
    <w:rsid w:val="003018B9"/>
    <w:rsid w:val="0030197E"/>
    <w:rsid w:val="00301999"/>
    <w:rsid w:val="003019CE"/>
    <w:rsid w:val="00301BD9"/>
    <w:rsid w:val="00301D17"/>
    <w:rsid w:val="0030200D"/>
    <w:rsid w:val="0030203F"/>
    <w:rsid w:val="0030207C"/>
    <w:rsid w:val="0030219C"/>
    <w:rsid w:val="0030231A"/>
    <w:rsid w:val="0030231D"/>
    <w:rsid w:val="0030243C"/>
    <w:rsid w:val="0030249B"/>
    <w:rsid w:val="00302545"/>
    <w:rsid w:val="0030267D"/>
    <w:rsid w:val="00302712"/>
    <w:rsid w:val="003029DD"/>
    <w:rsid w:val="00302E5C"/>
    <w:rsid w:val="0030310D"/>
    <w:rsid w:val="00303141"/>
    <w:rsid w:val="003033E0"/>
    <w:rsid w:val="00303585"/>
    <w:rsid w:val="0030365A"/>
    <w:rsid w:val="00303893"/>
    <w:rsid w:val="0030390A"/>
    <w:rsid w:val="00303AD5"/>
    <w:rsid w:val="00303E58"/>
    <w:rsid w:val="00303ED7"/>
    <w:rsid w:val="003041CF"/>
    <w:rsid w:val="00304206"/>
    <w:rsid w:val="003043B0"/>
    <w:rsid w:val="00304433"/>
    <w:rsid w:val="003044D8"/>
    <w:rsid w:val="003047BA"/>
    <w:rsid w:val="00304918"/>
    <w:rsid w:val="00304A57"/>
    <w:rsid w:val="00304CA4"/>
    <w:rsid w:val="00304D2C"/>
    <w:rsid w:val="00304E60"/>
    <w:rsid w:val="00305472"/>
    <w:rsid w:val="00305544"/>
    <w:rsid w:val="0030554A"/>
    <w:rsid w:val="0030573D"/>
    <w:rsid w:val="003059C2"/>
    <w:rsid w:val="00305BA5"/>
    <w:rsid w:val="00305BA7"/>
    <w:rsid w:val="00305CFB"/>
    <w:rsid w:val="00305DDC"/>
    <w:rsid w:val="003061F0"/>
    <w:rsid w:val="00306340"/>
    <w:rsid w:val="00306594"/>
    <w:rsid w:val="003067A4"/>
    <w:rsid w:val="003067E3"/>
    <w:rsid w:val="003073F7"/>
    <w:rsid w:val="003074DA"/>
    <w:rsid w:val="00307BD0"/>
    <w:rsid w:val="00307E10"/>
    <w:rsid w:val="00307E6F"/>
    <w:rsid w:val="00310101"/>
    <w:rsid w:val="003103BE"/>
    <w:rsid w:val="00310767"/>
    <w:rsid w:val="003108E7"/>
    <w:rsid w:val="00310B13"/>
    <w:rsid w:val="00310B5E"/>
    <w:rsid w:val="00310B7E"/>
    <w:rsid w:val="00310BB0"/>
    <w:rsid w:val="00310D39"/>
    <w:rsid w:val="00310DB8"/>
    <w:rsid w:val="00310F0B"/>
    <w:rsid w:val="00310F69"/>
    <w:rsid w:val="00310F7C"/>
    <w:rsid w:val="00311128"/>
    <w:rsid w:val="003112F8"/>
    <w:rsid w:val="003114D5"/>
    <w:rsid w:val="00311871"/>
    <w:rsid w:val="0031196E"/>
    <w:rsid w:val="00311CE4"/>
    <w:rsid w:val="00312024"/>
    <w:rsid w:val="00312128"/>
    <w:rsid w:val="00312503"/>
    <w:rsid w:val="00312527"/>
    <w:rsid w:val="003125C8"/>
    <w:rsid w:val="0031260F"/>
    <w:rsid w:val="00312C5D"/>
    <w:rsid w:val="00312D01"/>
    <w:rsid w:val="00312DEC"/>
    <w:rsid w:val="00312ED1"/>
    <w:rsid w:val="00312F2A"/>
    <w:rsid w:val="00312F86"/>
    <w:rsid w:val="00312F96"/>
    <w:rsid w:val="00312FB4"/>
    <w:rsid w:val="00313174"/>
    <w:rsid w:val="003133F9"/>
    <w:rsid w:val="003135F0"/>
    <w:rsid w:val="00313690"/>
    <w:rsid w:val="00313994"/>
    <w:rsid w:val="00313CF9"/>
    <w:rsid w:val="00313F07"/>
    <w:rsid w:val="00314012"/>
    <w:rsid w:val="00314066"/>
    <w:rsid w:val="0031407F"/>
    <w:rsid w:val="003140ED"/>
    <w:rsid w:val="003141FD"/>
    <w:rsid w:val="003145C0"/>
    <w:rsid w:val="003146CB"/>
    <w:rsid w:val="003147A8"/>
    <w:rsid w:val="003147D1"/>
    <w:rsid w:val="00314875"/>
    <w:rsid w:val="00314999"/>
    <w:rsid w:val="003149AC"/>
    <w:rsid w:val="003149B9"/>
    <w:rsid w:val="003149E3"/>
    <w:rsid w:val="00314AD3"/>
    <w:rsid w:val="00314DFB"/>
    <w:rsid w:val="00314DFF"/>
    <w:rsid w:val="0031503D"/>
    <w:rsid w:val="0031517E"/>
    <w:rsid w:val="0031537F"/>
    <w:rsid w:val="00315419"/>
    <w:rsid w:val="00315488"/>
    <w:rsid w:val="00315690"/>
    <w:rsid w:val="003158F6"/>
    <w:rsid w:val="003159E2"/>
    <w:rsid w:val="00315A4E"/>
    <w:rsid w:val="00315A75"/>
    <w:rsid w:val="00315C59"/>
    <w:rsid w:val="00315D89"/>
    <w:rsid w:val="00315DD9"/>
    <w:rsid w:val="00315E46"/>
    <w:rsid w:val="00316063"/>
    <w:rsid w:val="0031613A"/>
    <w:rsid w:val="00316187"/>
    <w:rsid w:val="0031643A"/>
    <w:rsid w:val="00316989"/>
    <w:rsid w:val="003169C6"/>
    <w:rsid w:val="003169FE"/>
    <w:rsid w:val="00316BB0"/>
    <w:rsid w:val="00316BF9"/>
    <w:rsid w:val="00316D76"/>
    <w:rsid w:val="0031715B"/>
    <w:rsid w:val="003171D8"/>
    <w:rsid w:val="003173FC"/>
    <w:rsid w:val="003176CD"/>
    <w:rsid w:val="003177C3"/>
    <w:rsid w:val="00317D81"/>
    <w:rsid w:val="00317E2C"/>
    <w:rsid w:val="003201CD"/>
    <w:rsid w:val="0032035F"/>
    <w:rsid w:val="003204F3"/>
    <w:rsid w:val="0032051D"/>
    <w:rsid w:val="0032057F"/>
    <w:rsid w:val="003206BB"/>
    <w:rsid w:val="003207FB"/>
    <w:rsid w:val="00320B24"/>
    <w:rsid w:val="00320B42"/>
    <w:rsid w:val="00320BEB"/>
    <w:rsid w:val="00320C2F"/>
    <w:rsid w:val="00320C5B"/>
    <w:rsid w:val="00320E7D"/>
    <w:rsid w:val="00321268"/>
    <w:rsid w:val="00321349"/>
    <w:rsid w:val="00321534"/>
    <w:rsid w:val="003218C7"/>
    <w:rsid w:val="00321936"/>
    <w:rsid w:val="00321EE4"/>
    <w:rsid w:val="003222B9"/>
    <w:rsid w:val="003223A1"/>
    <w:rsid w:val="003226D1"/>
    <w:rsid w:val="00322A46"/>
    <w:rsid w:val="00322AE3"/>
    <w:rsid w:val="00322B24"/>
    <w:rsid w:val="00322B29"/>
    <w:rsid w:val="00322C10"/>
    <w:rsid w:val="00323327"/>
    <w:rsid w:val="00323599"/>
    <w:rsid w:val="003235CA"/>
    <w:rsid w:val="00323689"/>
    <w:rsid w:val="003236CF"/>
    <w:rsid w:val="00323707"/>
    <w:rsid w:val="00323861"/>
    <w:rsid w:val="003240AB"/>
    <w:rsid w:val="003242E6"/>
    <w:rsid w:val="00324533"/>
    <w:rsid w:val="0032463A"/>
    <w:rsid w:val="00324862"/>
    <w:rsid w:val="00324991"/>
    <w:rsid w:val="00324AD0"/>
    <w:rsid w:val="00324BAE"/>
    <w:rsid w:val="00324C3D"/>
    <w:rsid w:val="00324C9C"/>
    <w:rsid w:val="00324CC1"/>
    <w:rsid w:val="00324D86"/>
    <w:rsid w:val="00324DDA"/>
    <w:rsid w:val="003250D2"/>
    <w:rsid w:val="003250F2"/>
    <w:rsid w:val="00325219"/>
    <w:rsid w:val="0032522A"/>
    <w:rsid w:val="003252CE"/>
    <w:rsid w:val="003252F2"/>
    <w:rsid w:val="003255E1"/>
    <w:rsid w:val="003256C4"/>
    <w:rsid w:val="00325833"/>
    <w:rsid w:val="0032598E"/>
    <w:rsid w:val="00325AB4"/>
    <w:rsid w:val="00325B5A"/>
    <w:rsid w:val="00325B89"/>
    <w:rsid w:val="00325E92"/>
    <w:rsid w:val="00325F78"/>
    <w:rsid w:val="00326031"/>
    <w:rsid w:val="003260A3"/>
    <w:rsid w:val="003261BB"/>
    <w:rsid w:val="0032624E"/>
    <w:rsid w:val="003262D4"/>
    <w:rsid w:val="00326481"/>
    <w:rsid w:val="00326513"/>
    <w:rsid w:val="00326813"/>
    <w:rsid w:val="00326C3F"/>
    <w:rsid w:val="00326D36"/>
    <w:rsid w:val="00326F65"/>
    <w:rsid w:val="003271C5"/>
    <w:rsid w:val="00327275"/>
    <w:rsid w:val="003276A2"/>
    <w:rsid w:val="00327709"/>
    <w:rsid w:val="003277AB"/>
    <w:rsid w:val="003279FE"/>
    <w:rsid w:val="00327C8D"/>
    <w:rsid w:val="003303D3"/>
    <w:rsid w:val="003305EB"/>
    <w:rsid w:val="003307D1"/>
    <w:rsid w:val="0033083A"/>
    <w:rsid w:val="00330AC1"/>
    <w:rsid w:val="00330B28"/>
    <w:rsid w:val="00330D7E"/>
    <w:rsid w:val="0033110E"/>
    <w:rsid w:val="0033111C"/>
    <w:rsid w:val="00331142"/>
    <w:rsid w:val="00331164"/>
    <w:rsid w:val="003312C5"/>
    <w:rsid w:val="003313BD"/>
    <w:rsid w:val="003314E2"/>
    <w:rsid w:val="0033150C"/>
    <w:rsid w:val="00331670"/>
    <w:rsid w:val="003317FB"/>
    <w:rsid w:val="003318E4"/>
    <w:rsid w:val="00331974"/>
    <w:rsid w:val="00331AD4"/>
    <w:rsid w:val="00331BA1"/>
    <w:rsid w:val="00331BF6"/>
    <w:rsid w:val="00331D63"/>
    <w:rsid w:val="00331DA3"/>
    <w:rsid w:val="00331DB6"/>
    <w:rsid w:val="00332161"/>
    <w:rsid w:val="0033229E"/>
    <w:rsid w:val="00332420"/>
    <w:rsid w:val="00332468"/>
    <w:rsid w:val="003325CB"/>
    <w:rsid w:val="00332B82"/>
    <w:rsid w:val="00332CEF"/>
    <w:rsid w:val="003330E0"/>
    <w:rsid w:val="0033345C"/>
    <w:rsid w:val="003337B7"/>
    <w:rsid w:val="00333A58"/>
    <w:rsid w:val="00333AC0"/>
    <w:rsid w:val="00333B39"/>
    <w:rsid w:val="0033439E"/>
    <w:rsid w:val="00334485"/>
    <w:rsid w:val="003344AF"/>
    <w:rsid w:val="0033470D"/>
    <w:rsid w:val="003347FD"/>
    <w:rsid w:val="00334A23"/>
    <w:rsid w:val="00334C24"/>
    <w:rsid w:val="00335386"/>
    <w:rsid w:val="003353AD"/>
    <w:rsid w:val="00335895"/>
    <w:rsid w:val="00335C5A"/>
    <w:rsid w:val="00335ECF"/>
    <w:rsid w:val="00335F81"/>
    <w:rsid w:val="00336533"/>
    <w:rsid w:val="003366A9"/>
    <w:rsid w:val="003366C4"/>
    <w:rsid w:val="003367E4"/>
    <w:rsid w:val="00336A9D"/>
    <w:rsid w:val="00336CF0"/>
    <w:rsid w:val="00336DEF"/>
    <w:rsid w:val="00336EF1"/>
    <w:rsid w:val="00336F10"/>
    <w:rsid w:val="00336F9A"/>
    <w:rsid w:val="00337065"/>
    <w:rsid w:val="00337082"/>
    <w:rsid w:val="0033708F"/>
    <w:rsid w:val="00337128"/>
    <w:rsid w:val="00337339"/>
    <w:rsid w:val="0033750F"/>
    <w:rsid w:val="00337CD4"/>
    <w:rsid w:val="00337F69"/>
    <w:rsid w:val="003402C2"/>
    <w:rsid w:val="003406B7"/>
    <w:rsid w:val="003406B9"/>
    <w:rsid w:val="003406EA"/>
    <w:rsid w:val="003408B5"/>
    <w:rsid w:val="00340AD0"/>
    <w:rsid w:val="00340AFF"/>
    <w:rsid w:val="00340B70"/>
    <w:rsid w:val="00340D7E"/>
    <w:rsid w:val="00340FFE"/>
    <w:rsid w:val="0034112D"/>
    <w:rsid w:val="003413DB"/>
    <w:rsid w:val="00341407"/>
    <w:rsid w:val="00341437"/>
    <w:rsid w:val="003417EF"/>
    <w:rsid w:val="00341CD2"/>
    <w:rsid w:val="00341DCE"/>
    <w:rsid w:val="00341E62"/>
    <w:rsid w:val="00341FF0"/>
    <w:rsid w:val="00342498"/>
    <w:rsid w:val="003425AD"/>
    <w:rsid w:val="00342C0F"/>
    <w:rsid w:val="00342C3E"/>
    <w:rsid w:val="00342D56"/>
    <w:rsid w:val="00342DE8"/>
    <w:rsid w:val="00342EAC"/>
    <w:rsid w:val="00343001"/>
    <w:rsid w:val="003433BC"/>
    <w:rsid w:val="00343418"/>
    <w:rsid w:val="00343484"/>
    <w:rsid w:val="00343629"/>
    <w:rsid w:val="0034380D"/>
    <w:rsid w:val="00343831"/>
    <w:rsid w:val="00343957"/>
    <w:rsid w:val="0034403F"/>
    <w:rsid w:val="00344463"/>
    <w:rsid w:val="003445B4"/>
    <w:rsid w:val="0034480B"/>
    <w:rsid w:val="00344975"/>
    <w:rsid w:val="00344A5D"/>
    <w:rsid w:val="00344D86"/>
    <w:rsid w:val="00344E07"/>
    <w:rsid w:val="00344F9B"/>
    <w:rsid w:val="00344FAC"/>
    <w:rsid w:val="003451C4"/>
    <w:rsid w:val="00345219"/>
    <w:rsid w:val="00345319"/>
    <w:rsid w:val="003455B6"/>
    <w:rsid w:val="00345769"/>
    <w:rsid w:val="003457E9"/>
    <w:rsid w:val="003458B1"/>
    <w:rsid w:val="00345974"/>
    <w:rsid w:val="00345AAC"/>
    <w:rsid w:val="00345CB4"/>
    <w:rsid w:val="00345D5B"/>
    <w:rsid w:val="00345E88"/>
    <w:rsid w:val="00345ED5"/>
    <w:rsid w:val="00346234"/>
    <w:rsid w:val="003462F4"/>
    <w:rsid w:val="0034665A"/>
    <w:rsid w:val="003468BA"/>
    <w:rsid w:val="0034697C"/>
    <w:rsid w:val="00346A93"/>
    <w:rsid w:val="00347027"/>
    <w:rsid w:val="00347137"/>
    <w:rsid w:val="0034725E"/>
    <w:rsid w:val="0034728E"/>
    <w:rsid w:val="0034774D"/>
    <w:rsid w:val="00347805"/>
    <w:rsid w:val="00347C0A"/>
    <w:rsid w:val="00347EBF"/>
    <w:rsid w:val="00350701"/>
    <w:rsid w:val="0035080C"/>
    <w:rsid w:val="00350C02"/>
    <w:rsid w:val="00350E86"/>
    <w:rsid w:val="00350F6D"/>
    <w:rsid w:val="0035104C"/>
    <w:rsid w:val="0035105E"/>
    <w:rsid w:val="0035131A"/>
    <w:rsid w:val="00351444"/>
    <w:rsid w:val="00351446"/>
    <w:rsid w:val="0035159A"/>
    <w:rsid w:val="003515B5"/>
    <w:rsid w:val="00351616"/>
    <w:rsid w:val="003517F1"/>
    <w:rsid w:val="003519C4"/>
    <w:rsid w:val="00351A76"/>
    <w:rsid w:val="00351F83"/>
    <w:rsid w:val="0035215D"/>
    <w:rsid w:val="003522DB"/>
    <w:rsid w:val="003528CC"/>
    <w:rsid w:val="00352A2A"/>
    <w:rsid w:val="00352CD4"/>
    <w:rsid w:val="00352F71"/>
    <w:rsid w:val="0035316C"/>
    <w:rsid w:val="003534DE"/>
    <w:rsid w:val="00353645"/>
    <w:rsid w:val="003536BB"/>
    <w:rsid w:val="003537A1"/>
    <w:rsid w:val="003537AD"/>
    <w:rsid w:val="003537F9"/>
    <w:rsid w:val="0035380D"/>
    <w:rsid w:val="00353AE5"/>
    <w:rsid w:val="00353B5D"/>
    <w:rsid w:val="00353BDC"/>
    <w:rsid w:val="00353D38"/>
    <w:rsid w:val="0035429F"/>
    <w:rsid w:val="0035453D"/>
    <w:rsid w:val="00354561"/>
    <w:rsid w:val="00354678"/>
    <w:rsid w:val="0035470E"/>
    <w:rsid w:val="00354850"/>
    <w:rsid w:val="0035495D"/>
    <w:rsid w:val="00354A87"/>
    <w:rsid w:val="00354BE3"/>
    <w:rsid w:val="00354BE7"/>
    <w:rsid w:val="00354EF9"/>
    <w:rsid w:val="0035520C"/>
    <w:rsid w:val="003552CF"/>
    <w:rsid w:val="00355302"/>
    <w:rsid w:val="0035530E"/>
    <w:rsid w:val="00355391"/>
    <w:rsid w:val="0035557D"/>
    <w:rsid w:val="0035570D"/>
    <w:rsid w:val="00355787"/>
    <w:rsid w:val="00355823"/>
    <w:rsid w:val="00355AAF"/>
    <w:rsid w:val="00355C7B"/>
    <w:rsid w:val="003560E1"/>
    <w:rsid w:val="00356374"/>
    <w:rsid w:val="0035654F"/>
    <w:rsid w:val="003566A4"/>
    <w:rsid w:val="00356824"/>
    <w:rsid w:val="00356B8A"/>
    <w:rsid w:val="00356CAF"/>
    <w:rsid w:val="00356D8F"/>
    <w:rsid w:val="003570C7"/>
    <w:rsid w:val="00357186"/>
    <w:rsid w:val="003571FF"/>
    <w:rsid w:val="00357266"/>
    <w:rsid w:val="00357274"/>
    <w:rsid w:val="00357616"/>
    <w:rsid w:val="0035762F"/>
    <w:rsid w:val="00357644"/>
    <w:rsid w:val="003577D5"/>
    <w:rsid w:val="00357A83"/>
    <w:rsid w:val="00357AAE"/>
    <w:rsid w:val="00357AAF"/>
    <w:rsid w:val="00357AF5"/>
    <w:rsid w:val="00357CE4"/>
    <w:rsid w:val="00357DBA"/>
    <w:rsid w:val="00357E5C"/>
    <w:rsid w:val="00357F13"/>
    <w:rsid w:val="00360017"/>
    <w:rsid w:val="0036023A"/>
    <w:rsid w:val="003605AE"/>
    <w:rsid w:val="0036067D"/>
    <w:rsid w:val="00360AC8"/>
    <w:rsid w:val="00360B43"/>
    <w:rsid w:val="00360EB2"/>
    <w:rsid w:val="00360ECB"/>
    <w:rsid w:val="00360F12"/>
    <w:rsid w:val="003612C9"/>
    <w:rsid w:val="00361300"/>
    <w:rsid w:val="00361580"/>
    <w:rsid w:val="003617C1"/>
    <w:rsid w:val="003618A0"/>
    <w:rsid w:val="003618DB"/>
    <w:rsid w:val="0036193C"/>
    <w:rsid w:val="00361B47"/>
    <w:rsid w:val="00361DFC"/>
    <w:rsid w:val="00361E8B"/>
    <w:rsid w:val="00361EC5"/>
    <w:rsid w:val="00361EE3"/>
    <w:rsid w:val="00361EFD"/>
    <w:rsid w:val="00361F34"/>
    <w:rsid w:val="003621F2"/>
    <w:rsid w:val="003621FA"/>
    <w:rsid w:val="00362233"/>
    <w:rsid w:val="0036249A"/>
    <w:rsid w:val="003624F7"/>
    <w:rsid w:val="00362744"/>
    <w:rsid w:val="003627C0"/>
    <w:rsid w:val="00362834"/>
    <w:rsid w:val="00362849"/>
    <w:rsid w:val="00362851"/>
    <w:rsid w:val="00362AB4"/>
    <w:rsid w:val="00362B85"/>
    <w:rsid w:val="00362BA9"/>
    <w:rsid w:val="00362D17"/>
    <w:rsid w:val="00362E54"/>
    <w:rsid w:val="0036311F"/>
    <w:rsid w:val="003632FE"/>
    <w:rsid w:val="00363300"/>
    <w:rsid w:val="0036334C"/>
    <w:rsid w:val="00363513"/>
    <w:rsid w:val="003637BC"/>
    <w:rsid w:val="003637E7"/>
    <w:rsid w:val="00363AD8"/>
    <w:rsid w:val="00363B32"/>
    <w:rsid w:val="00363B79"/>
    <w:rsid w:val="00363C96"/>
    <w:rsid w:val="00363DCA"/>
    <w:rsid w:val="00363E8A"/>
    <w:rsid w:val="0036409A"/>
    <w:rsid w:val="003640C6"/>
    <w:rsid w:val="003645AD"/>
    <w:rsid w:val="0036496D"/>
    <w:rsid w:val="00364C23"/>
    <w:rsid w:val="00364D5C"/>
    <w:rsid w:val="00364F06"/>
    <w:rsid w:val="003650E6"/>
    <w:rsid w:val="00365197"/>
    <w:rsid w:val="0036562F"/>
    <w:rsid w:val="003656E1"/>
    <w:rsid w:val="003656F2"/>
    <w:rsid w:val="003657F5"/>
    <w:rsid w:val="00365897"/>
    <w:rsid w:val="0036589C"/>
    <w:rsid w:val="00365915"/>
    <w:rsid w:val="00365DA2"/>
    <w:rsid w:val="003662A8"/>
    <w:rsid w:val="003665CB"/>
    <w:rsid w:val="003666A4"/>
    <w:rsid w:val="003666E6"/>
    <w:rsid w:val="00366751"/>
    <w:rsid w:val="00366760"/>
    <w:rsid w:val="00366974"/>
    <w:rsid w:val="00366E91"/>
    <w:rsid w:val="0036717C"/>
    <w:rsid w:val="00367441"/>
    <w:rsid w:val="003676C3"/>
    <w:rsid w:val="0036789A"/>
    <w:rsid w:val="003678E6"/>
    <w:rsid w:val="00367AB7"/>
    <w:rsid w:val="00367FFC"/>
    <w:rsid w:val="0037031E"/>
    <w:rsid w:val="0037051C"/>
    <w:rsid w:val="003705D6"/>
    <w:rsid w:val="003708A3"/>
    <w:rsid w:val="00370903"/>
    <w:rsid w:val="00370BD0"/>
    <w:rsid w:val="00370C48"/>
    <w:rsid w:val="00370C7C"/>
    <w:rsid w:val="00370E1C"/>
    <w:rsid w:val="00370F80"/>
    <w:rsid w:val="003710DE"/>
    <w:rsid w:val="00371108"/>
    <w:rsid w:val="00371156"/>
    <w:rsid w:val="00371341"/>
    <w:rsid w:val="0037151F"/>
    <w:rsid w:val="003715E5"/>
    <w:rsid w:val="0037188E"/>
    <w:rsid w:val="00371E4A"/>
    <w:rsid w:val="00371EAD"/>
    <w:rsid w:val="00372062"/>
    <w:rsid w:val="003721EF"/>
    <w:rsid w:val="00372330"/>
    <w:rsid w:val="00372724"/>
    <w:rsid w:val="0037274B"/>
    <w:rsid w:val="00372BC3"/>
    <w:rsid w:val="00372C2B"/>
    <w:rsid w:val="00372C3D"/>
    <w:rsid w:val="00372D5E"/>
    <w:rsid w:val="00372EC8"/>
    <w:rsid w:val="003730E3"/>
    <w:rsid w:val="0037328B"/>
    <w:rsid w:val="0037346D"/>
    <w:rsid w:val="0037356C"/>
    <w:rsid w:val="00373670"/>
    <w:rsid w:val="003736B9"/>
    <w:rsid w:val="003736E7"/>
    <w:rsid w:val="003739B9"/>
    <w:rsid w:val="00373A82"/>
    <w:rsid w:val="00373BC7"/>
    <w:rsid w:val="00373C31"/>
    <w:rsid w:val="00373C77"/>
    <w:rsid w:val="00373E45"/>
    <w:rsid w:val="00374438"/>
    <w:rsid w:val="003745F1"/>
    <w:rsid w:val="003746F4"/>
    <w:rsid w:val="00374937"/>
    <w:rsid w:val="00374963"/>
    <w:rsid w:val="00374A79"/>
    <w:rsid w:val="00374B8B"/>
    <w:rsid w:val="00374D09"/>
    <w:rsid w:val="00374E58"/>
    <w:rsid w:val="00374EAD"/>
    <w:rsid w:val="00374FC2"/>
    <w:rsid w:val="003750AE"/>
    <w:rsid w:val="003751C0"/>
    <w:rsid w:val="0037529C"/>
    <w:rsid w:val="0037548C"/>
    <w:rsid w:val="003756B5"/>
    <w:rsid w:val="00375828"/>
    <w:rsid w:val="0037590E"/>
    <w:rsid w:val="00375B65"/>
    <w:rsid w:val="00375BA8"/>
    <w:rsid w:val="00375C5D"/>
    <w:rsid w:val="00375D6D"/>
    <w:rsid w:val="00376503"/>
    <w:rsid w:val="0037672B"/>
    <w:rsid w:val="00376A30"/>
    <w:rsid w:val="00376A60"/>
    <w:rsid w:val="00376C49"/>
    <w:rsid w:val="00376DA9"/>
    <w:rsid w:val="003771B9"/>
    <w:rsid w:val="0037721A"/>
    <w:rsid w:val="0037738B"/>
    <w:rsid w:val="00377474"/>
    <w:rsid w:val="0037754D"/>
    <w:rsid w:val="00377690"/>
    <w:rsid w:val="00377BA2"/>
    <w:rsid w:val="00377C7C"/>
    <w:rsid w:val="00377D29"/>
    <w:rsid w:val="00377E1E"/>
    <w:rsid w:val="003803AD"/>
    <w:rsid w:val="003807C8"/>
    <w:rsid w:val="00380895"/>
    <w:rsid w:val="003809F3"/>
    <w:rsid w:val="00380C49"/>
    <w:rsid w:val="00380CC1"/>
    <w:rsid w:val="00380D3B"/>
    <w:rsid w:val="00380F9F"/>
    <w:rsid w:val="00381923"/>
    <w:rsid w:val="00381A19"/>
    <w:rsid w:val="00381B1D"/>
    <w:rsid w:val="00381DCD"/>
    <w:rsid w:val="00381E98"/>
    <w:rsid w:val="00381FB2"/>
    <w:rsid w:val="00381FF7"/>
    <w:rsid w:val="00382023"/>
    <w:rsid w:val="00382A47"/>
    <w:rsid w:val="00382AB7"/>
    <w:rsid w:val="00382B8E"/>
    <w:rsid w:val="00382BE4"/>
    <w:rsid w:val="00382C82"/>
    <w:rsid w:val="00382D0D"/>
    <w:rsid w:val="00382D21"/>
    <w:rsid w:val="00382EBA"/>
    <w:rsid w:val="00382EEE"/>
    <w:rsid w:val="0038315C"/>
    <w:rsid w:val="003833DB"/>
    <w:rsid w:val="003836D9"/>
    <w:rsid w:val="0038382F"/>
    <w:rsid w:val="00383856"/>
    <w:rsid w:val="00383AF1"/>
    <w:rsid w:val="00383AF9"/>
    <w:rsid w:val="00383B8A"/>
    <w:rsid w:val="00383D8D"/>
    <w:rsid w:val="00383F07"/>
    <w:rsid w:val="00383F2E"/>
    <w:rsid w:val="00383F9A"/>
    <w:rsid w:val="00383FCE"/>
    <w:rsid w:val="0038420B"/>
    <w:rsid w:val="0038450B"/>
    <w:rsid w:val="00384644"/>
    <w:rsid w:val="0038485B"/>
    <w:rsid w:val="00384967"/>
    <w:rsid w:val="00384A1F"/>
    <w:rsid w:val="00384AF6"/>
    <w:rsid w:val="00384CCE"/>
    <w:rsid w:val="00385088"/>
    <w:rsid w:val="003850C9"/>
    <w:rsid w:val="0038533A"/>
    <w:rsid w:val="003853EB"/>
    <w:rsid w:val="003855C9"/>
    <w:rsid w:val="00385624"/>
    <w:rsid w:val="003858E0"/>
    <w:rsid w:val="003859FE"/>
    <w:rsid w:val="00385B0F"/>
    <w:rsid w:val="00385B37"/>
    <w:rsid w:val="00386022"/>
    <w:rsid w:val="0038617B"/>
    <w:rsid w:val="003861D5"/>
    <w:rsid w:val="00386213"/>
    <w:rsid w:val="0038651B"/>
    <w:rsid w:val="0038672F"/>
    <w:rsid w:val="00386784"/>
    <w:rsid w:val="00386968"/>
    <w:rsid w:val="00386ADE"/>
    <w:rsid w:val="00386B2E"/>
    <w:rsid w:val="00386B53"/>
    <w:rsid w:val="00386E2D"/>
    <w:rsid w:val="00386EB5"/>
    <w:rsid w:val="00387084"/>
    <w:rsid w:val="003872E3"/>
    <w:rsid w:val="00387394"/>
    <w:rsid w:val="0038759A"/>
    <w:rsid w:val="003875E3"/>
    <w:rsid w:val="00387689"/>
    <w:rsid w:val="003876C0"/>
    <w:rsid w:val="003876DE"/>
    <w:rsid w:val="0038775D"/>
    <w:rsid w:val="00387908"/>
    <w:rsid w:val="0038793E"/>
    <w:rsid w:val="003879C5"/>
    <w:rsid w:val="00387A18"/>
    <w:rsid w:val="00387B90"/>
    <w:rsid w:val="00387BC7"/>
    <w:rsid w:val="00387DAC"/>
    <w:rsid w:val="00387F19"/>
    <w:rsid w:val="00390047"/>
    <w:rsid w:val="00390116"/>
    <w:rsid w:val="00390251"/>
    <w:rsid w:val="00390293"/>
    <w:rsid w:val="003903C3"/>
    <w:rsid w:val="0039046F"/>
    <w:rsid w:val="0039058F"/>
    <w:rsid w:val="0039065F"/>
    <w:rsid w:val="00390663"/>
    <w:rsid w:val="0039071F"/>
    <w:rsid w:val="00390851"/>
    <w:rsid w:val="00390956"/>
    <w:rsid w:val="00390960"/>
    <w:rsid w:val="00390AEB"/>
    <w:rsid w:val="00390F7A"/>
    <w:rsid w:val="00390FE7"/>
    <w:rsid w:val="00391118"/>
    <w:rsid w:val="003911AA"/>
    <w:rsid w:val="0039140A"/>
    <w:rsid w:val="003916CD"/>
    <w:rsid w:val="0039178D"/>
    <w:rsid w:val="003918C1"/>
    <w:rsid w:val="00391DAA"/>
    <w:rsid w:val="00391DE7"/>
    <w:rsid w:val="00391F08"/>
    <w:rsid w:val="00391F71"/>
    <w:rsid w:val="00391FD9"/>
    <w:rsid w:val="00392331"/>
    <w:rsid w:val="00392489"/>
    <w:rsid w:val="003927EF"/>
    <w:rsid w:val="00392A87"/>
    <w:rsid w:val="00392B5C"/>
    <w:rsid w:val="00392E43"/>
    <w:rsid w:val="003930D0"/>
    <w:rsid w:val="0039330C"/>
    <w:rsid w:val="0039332B"/>
    <w:rsid w:val="0039345C"/>
    <w:rsid w:val="0039361B"/>
    <w:rsid w:val="003936D7"/>
    <w:rsid w:val="0039382A"/>
    <w:rsid w:val="003938D6"/>
    <w:rsid w:val="00393973"/>
    <w:rsid w:val="00393A39"/>
    <w:rsid w:val="00393A5A"/>
    <w:rsid w:val="00393BBA"/>
    <w:rsid w:val="00393D7A"/>
    <w:rsid w:val="00394058"/>
    <w:rsid w:val="003941DD"/>
    <w:rsid w:val="003942CE"/>
    <w:rsid w:val="00394375"/>
    <w:rsid w:val="00394785"/>
    <w:rsid w:val="003948E8"/>
    <w:rsid w:val="00394B16"/>
    <w:rsid w:val="00394BAF"/>
    <w:rsid w:val="00394E09"/>
    <w:rsid w:val="00394F2D"/>
    <w:rsid w:val="00395133"/>
    <w:rsid w:val="00395436"/>
    <w:rsid w:val="0039553F"/>
    <w:rsid w:val="0039575B"/>
    <w:rsid w:val="0039577C"/>
    <w:rsid w:val="00395A98"/>
    <w:rsid w:val="00395E85"/>
    <w:rsid w:val="00395FB4"/>
    <w:rsid w:val="00396178"/>
    <w:rsid w:val="003963DF"/>
    <w:rsid w:val="0039644B"/>
    <w:rsid w:val="003969AB"/>
    <w:rsid w:val="00396A5E"/>
    <w:rsid w:val="00396E8D"/>
    <w:rsid w:val="0039714D"/>
    <w:rsid w:val="00397203"/>
    <w:rsid w:val="0039729F"/>
    <w:rsid w:val="003972C1"/>
    <w:rsid w:val="00397392"/>
    <w:rsid w:val="003975DC"/>
    <w:rsid w:val="00397648"/>
    <w:rsid w:val="00397B3D"/>
    <w:rsid w:val="00397BF9"/>
    <w:rsid w:val="00397C67"/>
    <w:rsid w:val="00397E7B"/>
    <w:rsid w:val="00397E96"/>
    <w:rsid w:val="00397FBB"/>
    <w:rsid w:val="003A019B"/>
    <w:rsid w:val="003A0354"/>
    <w:rsid w:val="003A04BE"/>
    <w:rsid w:val="003A072A"/>
    <w:rsid w:val="003A0BE6"/>
    <w:rsid w:val="003A0C36"/>
    <w:rsid w:val="003A0E85"/>
    <w:rsid w:val="003A0FDC"/>
    <w:rsid w:val="003A1034"/>
    <w:rsid w:val="003A11DB"/>
    <w:rsid w:val="003A138E"/>
    <w:rsid w:val="003A13FE"/>
    <w:rsid w:val="003A1403"/>
    <w:rsid w:val="003A1519"/>
    <w:rsid w:val="003A181A"/>
    <w:rsid w:val="003A187C"/>
    <w:rsid w:val="003A19CC"/>
    <w:rsid w:val="003A1A01"/>
    <w:rsid w:val="003A1AA4"/>
    <w:rsid w:val="003A1B79"/>
    <w:rsid w:val="003A1B85"/>
    <w:rsid w:val="003A1CF8"/>
    <w:rsid w:val="003A1DF6"/>
    <w:rsid w:val="003A1E1B"/>
    <w:rsid w:val="003A1E53"/>
    <w:rsid w:val="003A20FD"/>
    <w:rsid w:val="003A212F"/>
    <w:rsid w:val="003A2236"/>
    <w:rsid w:val="003A22AE"/>
    <w:rsid w:val="003A24D0"/>
    <w:rsid w:val="003A259E"/>
    <w:rsid w:val="003A2655"/>
    <w:rsid w:val="003A270D"/>
    <w:rsid w:val="003A2822"/>
    <w:rsid w:val="003A2832"/>
    <w:rsid w:val="003A2839"/>
    <w:rsid w:val="003A28D6"/>
    <w:rsid w:val="003A2ABA"/>
    <w:rsid w:val="003A2B11"/>
    <w:rsid w:val="003A2DBC"/>
    <w:rsid w:val="003A2F11"/>
    <w:rsid w:val="003A2F6D"/>
    <w:rsid w:val="003A30E0"/>
    <w:rsid w:val="003A3255"/>
    <w:rsid w:val="003A32A4"/>
    <w:rsid w:val="003A334A"/>
    <w:rsid w:val="003A36A5"/>
    <w:rsid w:val="003A3ABE"/>
    <w:rsid w:val="003A3C1B"/>
    <w:rsid w:val="003A3C4C"/>
    <w:rsid w:val="003A3EFE"/>
    <w:rsid w:val="003A40BC"/>
    <w:rsid w:val="003A40E6"/>
    <w:rsid w:val="003A460C"/>
    <w:rsid w:val="003A4AB1"/>
    <w:rsid w:val="003A4B95"/>
    <w:rsid w:val="003A4C53"/>
    <w:rsid w:val="003A4CB2"/>
    <w:rsid w:val="003A4EBB"/>
    <w:rsid w:val="003A535D"/>
    <w:rsid w:val="003A56F4"/>
    <w:rsid w:val="003A56FF"/>
    <w:rsid w:val="003A5750"/>
    <w:rsid w:val="003A57EF"/>
    <w:rsid w:val="003A59E3"/>
    <w:rsid w:val="003A5D6C"/>
    <w:rsid w:val="003A5E21"/>
    <w:rsid w:val="003A5F0D"/>
    <w:rsid w:val="003A6053"/>
    <w:rsid w:val="003A6172"/>
    <w:rsid w:val="003A640C"/>
    <w:rsid w:val="003A640D"/>
    <w:rsid w:val="003A6449"/>
    <w:rsid w:val="003A6545"/>
    <w:rsid w:val="003A655E"/>
    <w:rsid w:val="003A6720"/>
    <w:rsid w:val="003A67CA"/>
    <w:rsid w:val="003A6AA0"/>
    <w:rsid w:val="003A6AFF"/>
    <w:rsid w:val="003A6DE4"/>
    <w:rsid w:val="003A6E34"/>
    <w:rsid w:val="003A6E68"/>
    <w:rsid w:val="003A7027"/>
    <w:rsid w:val="003A7169"/>
    <w:rsid w:val="003A76D5"/>
    <w:rsid w:val="003A77FA"/>
    <w:rsid w:val="003A7856"/>
    <w:rsid w:val="003A7951"/>
    <w:rsid w:val="003A7AB2"/>
    <w:rsid w:val="003A7F52"/>
    <w:rsid w:val="003A7F9F"/>
    <w:rsid w:val="003B01DA"/>
    <w:rsid w:val="003B0323"/>
    <w:rsid w:val="003B03F7"/>
    <w:rsid w:val="003B0547"/>
    <w:rsid w:val="003B0A5F"/>
    <w:rsid w:val="003B0B65"/>
    <w:rsid w:val="003B0F6E"/>
    <w:rsid w:val="003B1149"/>
    <w:rsid w:val="003B13DB"/>
    <w:rsid w:val="003B1622"/>
    <w:rsid w:val="003B1839"/>
    <w:rsid w:val="003B1952"/>
    <w:rsid w:val="003B1AB0"/>
    <w:rsid w:val="003B1C89"/>
    <w:rsid w:val="003B1D4B"/>
    <w:rsid w:val="003B1EAE"/>
    <w:rsid w:val="003B208D"/>
    <w:rsid w:val="003B213F"/>
    <w:rsid w:val="003B216F"/>
    <w:rsid w:val="003B21FE"/>
    <w:rsid w:val="003B24BB"/>
    <w:rsid w:val="003B27C2"/>
    <w:rsid w:val="003B2A42"/>
    <w:rsid w:val="003B2A60"/>
    <w:rsid w:val="003B2D44"/>
    <w:rsid w:val="003B3051"/>
    <w:rsid w:val="003B3124"/>
    <w:rsid w:val="003B320C"/>
    <w:rsid w:val="003B353A"/>
    <w:rsid w:val="003B35A6"/>
    <w:rsid w:val="003B3B91"/>
    <w:rsid w:val="003B3F5F"/>
    <w:rsid w:val="003B4000"/>
    <w:rsid w:val="003B419B"/>
    <w:rsid w:val="003B45AF"/>
    <w:rsid w:val="003B4674"/>
    <w:rsid w:val="003B474D"/>
    <w:rsid w:val="003B47D1"/>
    <w:rsid w:val="003B489B"/>
    <w:rsid w:val="003B4ADB"/>
    <w:rsid w:val="003B4BEB"/>
    <w:rsid w:val="003B4DED"/>
    <w:rsid w:val="003B4E91"/>
    <w:rsid w:val="003B5021"/>
    <w:rsid w:val="003B5143"/>
    <w:rsid w:val="003B54FD"/>
    <w:rsid w:val="003B576F"/>
    <w:rsid w:val="003B57F4"/>
    <w:rsid w:val="003B585B"/>
    <w:rsid w:val="003B595A"/>
    <w:rsid w:val="003B5A7D"/>
    <w:rsid w:val="003B5ADE"/>
    <w:rsid w:val="003B5D51"/>
    <w:rsid w:val="003B5E44"/>
    <w:rsid w:val="003B5EA5"/>
    <w:rsid w:val="003B6626"/>
    <w:rsid w:val="003B6C31"/>
    <w:rsid w:val="003B6D72"/>
    <w:rsid w:val="003B6F52"/>
    <w:rsid w:val="003B6F85"/>
    <w:rsid w:val="003B702E"/>
    <w:rsid w:val="003B7306"/>
    <w:rsid w:val="003B732A"/>
    <w:rsid w:val="003B7424"/>
    <w:rsid w:val="003B744D"/>
    <w:rsid w:val="003B7566"/>
    <w:rsid w:val="003B7BA0"/>
    <w:rsid w:val="003B7CCE"/>
    <w:rsid w:val="003B7E39"/>
    <w:rsid w:val="003B7EE3"/>
    <w:rsid w:val="003C00BA"/>
    <w:rsid w:val="003C0194"/>
    <w:rsid w:val="003C0339"/>
    <w:rsid w:val="003C03E6"/>
    <w:rsid w:val="003C0496"/>
    <w:rsid w:val="003C05B5"/>
    <w:rsid w:val="003C0812"/>
    <w:rsid w:val="003C08BA"/>
    <w:rsid w:val="003C0926"/>
    <w:rsid w:val="003C0C7F"/>
    <w:rsid w:val="003C0D44"/>
    <w:rsid w:val="003C1002"/>
    <w:rsid w:val="003C1381"/>
    <w:rsid w:val="003C151B"/>
    <w:rsid w:val="003C156A"/>
    <w:rsid w:val="003C160C"/>
    <w:rsid w:val="003C163D"/>
    <w:rsid w:val="003C1690"/>
    <w:rsid w:val="003C18BE"/>
    <w:rsid w:val="003C195E"/>
    <w:rsid w:val="003C1B75"/>
    <w:rsid w:val="003C1C01"/>
    <w:rsid w:val="003C1F30"/>
    <w:rsid w:val="003C1FF9"/>
    <w:rsid w:val="003C2228"/>
    <w:rsid w:val="003C2428"/>
    <w:rsid w:val="003C24D0"/>
    <w:rsid w:val="003C260B"/>
    <w:rsid w:val="003C2680"/>
    <w:rsid w:val="003C2855"/>
    <w:rsid w:val="003C299A"/>
    <w:rsid w:val="003C2A83"/>
    <w:rsid w:val="003C2C65"/>
    <w:rsid w:val="003C2F2F"/>
    <w:rsid w:val="003C31E0"/>
    <w:rsid w:val="003C32C6"/>
    <w:rsid w:val="003C38B2"/>
    <w:rsid w:val="003C3B2C"/>
    <w:rsid w:val="003C3ED8"/>
    <w:rsid w:val="003C3FC7"/>
    <w:rsid w:val="003C428C"/>
    <w:rsid w:val="003C433A"/>
    <w:rsid w:val="003C4361"/>
    <w:rsid w:val="003C448B"/>
    <w:rsid w:val="003C44AD"/>
    <w:rsid w:val="003C44B1"/>
    <w:rsid w:val="003C4633"/>
    <w:rsid w:val="003C477F"/>
    <w:rsid w:val="003C483B"/>
    <w:rsid w:val="003C4A56"/>
    <w:rsid w:val="003C4F92"/>
    <w:rsid w:val="003C5042"/>
    <w:rsid w:val="003C506E"/>
    <w:rsid w:val="003C5425"/>
    <w:rsid w:val="003C58CE"/>
    <w:rsid w:val="003C5971"/>
    <w:rsid w:val="003C5ED9"/>
    <w:rsid w:val="003C634B"/>
    <w:rsid w:val="003C6420"/>
    <w:rsid w:val="003C65FB"/>
    <w:rsid w:val="003C67FD"/>
    <w:rsid w:val="003C68A0"/>
    <w:rsid w:val="003C68AC"/>
    <w:rsid w:val="003C6946"/>
    <w:rsid w:val="003C6A19"/>
    <w:rsid w:val="003C6EC7"/>
    <w:rsid w:val="003C6FAC"/>
    <w:rsid w:val="003C72BE"/>
    <w:rsid w:val="003C755E"/>
    <w:rsid w:val="003C7640"/>
    <w:rsid w:val="003C783C"/>
    <w:rsid w:val="003C784F"/>
    <w:rsid w:val="003C798F"/>
    <w:rsid w:val="003C7B55"/>
    <w:rsid w:val="003C7C5D"/>
    <w:rsid w:val="003C7E06"/>
    <w:rsid w:val="003D01D2"/>
    <w:rsid w:val="003D023B"/>
    <w:rsid w:val="003D05ED"/>
    <w:rsid w:val="003D05F6"/>
    <w:rsid w:val="003D06C1"/>
    <w:rsid w:val="003D06F8"/>
    <w:rsid w:val="003D0726"/>
    <w:rsid w:val="003D0A80"/>
    <w:rsid w:val="003D0E94"/>
    <w:rsid w:val="003D17C1"/>
    <w:rsid w:val="003D1890"/>
    <w:rsid w:val="003D1939"/>
    <w:rsid w:val="003D1967"/>
    <w:rsid w:val="003D1C48"/>
    <w:rsid w:val="003D223F"/>
    <w:rsid w:val="003D22AD"/>
    <w:rsid w:val="003D2379"/>
    <w:rsid w:val="003D2537"/>
    <w:rsid w:val="003D265D"/>
    <w:rsid w:val="003D2A70"/>
    <w:rsid w:val="003D2ACC"/>
    <w:rsid w:val="003D2ADD"/>
    <w:rsid w:val="003D2BE9"/>
    <w:rsid w:val="003D2CB7"/>
    <w:rsid w:val="003D2D60"/>
    <w:rsid w:val="003D2D8D"/>
    <w:rsid w:val="003D2DDA"/>
    <w:rsid w:val="003D3213"/>
    <w:rsid w:val="003D352E"/>
    <w:rsid w:val="003D3BEE"/>
    <w:rsid w:val="003D3CE0"/>
    <w:rsid w:val="003D3E08"/>
    <w:rsid w:val="003D3E45"/>
    <w:rsid w:val="003D3E73"/>
    <w:rsid w:val="003D3E7E"/>
    <w:rsid w:val="003D411F"/>
    <w:rsid w:val="003D4120"/>
    <w:rsid w:val="003D432C"/>
    <w:rsid w:val="003D467C"/>
    <w:rsid w:val="003D4721"/>
    <w:rsid w:val="003D477C"/>
    <w:rsid w:val="003D4D89"/>
    <w:rsid w:val="003D4D97"/>
    <w:rsid w:val="003D4E9D"/>
    <w:rsid w:val="003D515C"/>
    <w:rsid w:val="003D5548"/>
    <w:rsid w:val="003D575C"/>
    <w:rsid w:val="003D57C9"/>
    <w:rsid w:val="003D5BB0"/>
    <w:rsid w:val="003D5CE1"/>
    <w:rsid w:val="003D5E75"/>
    <w:rsid w:val="003D60F2"/>
    <w:rsid w:val="003D68E0"/>
    <w:rsid w:val="003D68E1"/>
    <w:rsid w:val="003D68E4"/>
    <w:rsid w:val="003D69CF"/>
    <w:rsid w:val="003D6B49"/>
    <w:rsid w:val="003D6D7C"/>
    <w:rsid w:val="003D6D9D"/>
    <w:rsid w:val="003D6E3E"/>
    <w:rsid w:val="003D6E9C"/>
    <w:rsid w:val="003D6EDD"/>
    <w:rsid w:val="003D6F38"/>
    <w:rsid w:val="003D7101"/>
    <w:rsid w:val="003D710C"/>
    <w:rsid w:val="003D722D"/>
    <w:rsid w:val="003D72E9"/>
    <w:rsid w:val="003D753F"/>
    <w:rsid w:val="003D766A"/>
    <w:rsid w:val="003D769D"/>
    <w:rsid w:val="003D77F8"/>
    <w:rsid w:val="003D78A8"/>
    <w:rsid w:val="003E0042"/>
    <w:rsid w:val="003E00DE"/>
    <w:rsid w:val="003E0140"/>
    <w:rsid w:val="003E016B"/>
    <w:rsid w:val="003E01BB"/>
    <w:rsid w:val="003E0313"/>
    <w:rsid w:val="003E04DF"/>
    <w:rsid w:val="003E051D"/>
    <w:rsid w:val="003E0594"/>
    <w:rsid w:val="003E0650"/>
    <w:rsid w:val="003E0AD7"/>
    <w:rsid w:val="003E0FA7"/>
    <w:rsid w:val="003E1022"/>
    <w:rsid w:val="003E118C"/>
    <w:rsid w:val="003E142F"/>
    <w:rsid w:val="003E1693"/>
    <w:rsid w:val="003E1F38"/>
    <w:rsid w:val="003E20F1"/>
    <w:rsid w:val="003E2100"/>
    <w:rsid w:val="003E21FA"/>
    <w:rsid w:val="003E2685"/>
    <w:rsid w:val="003E26DD"/>
    <w:rsid w:val="003E2BC9"/>
    <w:rsid w:val="003E3001"/>
    <w:rsid w:val="003E3021"/>
    <w:rsid w:val="003E31FA"/>
    <w:rsid w:val="003E3219"/>
    <w:rsid w:val="003E35D5"/>
    <w:rsid w:val="003E3994"/>
    <w:rsid w:val="003E3A10"/>
    <w:rsid w:val="003E3A2E"/>
    <w:rsid w:val="003E40D8"/>
    <w:rsid w:val="003E415B"/>
    <w:rsid w:val="003E43B0"/>
    <w:rsid w:val="003E43BB"/>
    <w:rsid w:val="003E4645"/>
    <w:rsid w:val="003E4674"/>
    <w:rsid w:val="003E477C"/>
    <w:rsid w:val="003E47E2"/>
    <w:rsid w:val="003E4D1F"/>
    <w:rsid w:val="003E4DFE"/>
    <w:rsid w:val="003E4FB2"/>
    <w:rsid w:val="003E51C1"/>
    <w:rsid w:val="003E5552"/>
    <w:rsid w:val="003E56C9"/>
    <w:rsid w:val="003E5847"/>
    <w:rsid w:val="003E5883"/>
    <w:rsid w:val="003E59EC"/>
    <w:rsid w:val="003E5A91"/>
    <w:rsid w:val="003E5CBB"/>
    <w:rsid w:val="003E602A"/>
    <w:rsid w:val="003E603A"/>
    <w:rsid w:val="003E63BD"/>
    <w:rsid w:val="003E649D"/>
    <w:rsid w:val="003E65E1"/>
    <w:rsid w:val="003E6652"/>
    <w:rsid w:val="003E6A67"/>
    <w:rsid w:val="003E6BA2"/>
    <w:rsid w:val="003E6C92"/>
    <w:rsid w:val="003E6F39"/>
    <w:rsid w:val="003E718A"/>
    <w:rsid w:val="003E742A"/>
    <w:rsid w:val="003E7513"/>
    <w:rsid w:val="003E7561"/>
    <w:rsid w:val="003E76D9"/>
    <w:rsid w:val="003E799D"/>
    <w:rsid w:val="003E79F8"/>
    <w:rsid w:val="003E7DD0"/>
    <w:rsid w:val="003E7F7A"/>
    <w:rsid w:val="003E7F8F"/>
    <w:rsid w:val="003F012C"/>
    <w:rsid w:val="003F03E2"/>
    <w:rsid w:val="003F047C"/>
    <w:rsid w:val="003F0688"/>
    <w:rsid w:val="003F08E7"/>
    <w:rsid w:val="003F09E5"/>
    <w:rsid w:val="003F0A9F"/>
    <w:rsid w:val="003F0AAC"/>
    <w:rsid w:val="003F0B83"/>
    <w:rsid w:val="003F0BBE"/>
    <w:rsid w:val="003F0C9E"/>
    <w:rsid w:val="003F10A7"/>
    <w:rsid w:val="003F122C"/>
    <w:rsid w:val="003F155E"/>
    <w:rsid w:val="003F1737"/>
    <w:rsid w:val="003F1AD4"/>
    <w:rsid w:val="003F1CD0"/>
    <w:rsid w:val="003F23A4"/>
    <w:rsid w:val="003F2420"/>
    <w:rsid w:val="003F267C"/>
    <w:rsid w:val="003F273F"/>
    <w:rsid w:val="003F28B7"/>
    <w:rsid w:val="003F2A51"/>
    <w:rsid w:val="003F2B10"/>
    <w:rsid w:val="003F2CC2"/>
    <w:rsid w:val="003F2E33"/>
    <w:rsid w:val="003F312E"/>
    <w:rsid w:val="003F348F"/>
    <w:rsid w:val="003F356C"/>
    <w:rsid w:val="003F35C9"/>
    <w:rsid w:val="003F392F"/>
    <w:rsid w:val="003F3A51"/>
    <w:rsid w:val="003F3EF9"/>
    <w:rsid w:val="003F3F62"/>
    <w:rsid w:val="003F400C"/>
    <w:rsid w:val="003F4247"/>
    <w:rsid w:val="003F4300"/>
    <w:rsid w:val="003F4318"/>
    <w:rsid w:val="003F4550"/>
    <w:rsid w:val="003F46D5"/>
    <w:rsid w:val="003F4730"/>
    <w:rsid w:val="003F49F5"/>
    <w:rsid w:val="003F4A35"/>
    <w:rsid w:val="003F4E2A"/>
    <w:rsid w:val="003F5118"/>
    <w:rsid w:val="003F5406"/>
    <w:rsid w:val="003F5468"/>
    <w:rsid w:val="003F5548"/>
    <w:rsid w:val="003F5687"/>
    <w:rsid w:val="003F5714"/>
    <w:rsid w:val="003F58F3"/>
    <w:rsid w:val="003F598C"/>
    <w:rsid w:val="003F5BBD"/>
    <w:rsid w:val="003F5C1D"/>
    <w:rsid w:val="003F60C5"/>
    <w:rsid w:val="003F6125"/>
    <w:rsid w:val="003F616B"/>
    <w:rsid w:val="003F6670"/>
    <w:rsid w:val="003F674C"/>
    <w:rsid w:val="003F69F0"/>
    <w:rsid w:val="003F6A01"/>
    <w:rsid w:val="003F6D08"/>
    <w:rsid w:val="003F6E9E"/>
    <w:rsid w:val="003F708B"/>
    <w:rsid w:val="003F719C"/>
    <w:rsid w:val="003F7236"/>
    <w:rsid w:val="003F7362"/>
    <w:rsid w:val="003F73DF"/>
    <w:rsid w:val="003F7493"/>
    <w:rsid w:val="003F7733"/>
    <w:rsid w:val="003F7932"/>
    <w:rsid w:val="003F7B7D"/>
    <w:rsid w:val="003F7EAD"/>
    <w:rsid w:val="003F7FD9"/>
    <w:rsid w:val="003F7FDA"/>
    <w:rsid w:val="003F7FF1"/>
    <w:rsid w:val="004004F4"/>
    <w:rsid w:val="00400891"/>
    <w:rsid w:val="00400A87"/>
    <w:rsid w:val="00400EE3"/>
    <w:rsid w:val="00401030"/>
    <w:rsid w:val="004011CC"/>
    <w:rsid w:val="004014CC"/>
    <w:rsid w:val="004017EB"/>
    <w:rsid w:val="004018C5"/>
    <w:rsid w:val="00401ACF"/>
    <w:rsid w:val="00401B02"/>
    <w:rsid w:val="00402094"/>
    <w:rsid w:val="004021CF"/>
    <w:rsid w:val="004023F5"/>
    <w:rsid w:val="004024BA"/>
    <w:rsid w:val="004025DF"/>
    <w:rsid w:val="004026D9"/>
    <w:rsid w:val="0040292C"/>
    <w:rsid w:val="004029AA"/>
    <w:rsid w:val="00402A3E"/>
    <w:rsid w:val="00402A73"/>
    <w:rsid w:val="00402FF7"/>
    <w:rsid w:val="0040305C"/>
    <w:rsid w:val="00403101"/>
    <w:rsid w:val="00403185"/>
    <w:rsid w:val="004031C1"/>
    <w:rsid w:val="004032AD"/>
    <w:rsid w:val="0040346B"/>
    <w:rsid w:val="004034ED"/>
    <w:rsid w:val="004037BD"/>
    <w:rsid w:val="00403B89"/>
    <w:rsid w:val="00403B8D"/>
    <w:rsid w:val="00403BCE"/>
    <w:rsid w:val="00403BD3"/>
    <w:rsid w:val="00403F8C"/>
    <w:rsid w:val="004041F6"/>
    <w:rsid w:val="0040423A"/>
    <w:rsid w:val="0040427B"/>
    <w:rsid w:val="00404286"/>
    <w:rsid w:val="0040448C"/>
    <w:rsid w:val="004044CB"/>
    <w:rsid w:val="00404524"/>
    <w:rsid w:val="004046CE"/>
    <w:rsid w:val="004046D5"/>
    <w:rsid w:val="004049F3"/>
    <w:rsid w:val="00404CA5"/>
    <w:rsid w:val="00404E1F"/>
    <w:rsid w:val="00404E8A"/>
    <w:rsid w:val="004052B9"/>
    <w:rsid w:val="00405470"/>
    <w:rsid w:val="0040581C"/>
    <w:rsid w:val="0040585D"/>
    <w:rsid w:val="00405D45"/>
    <w:rsid w:val="00405F1E"/>
    <w:rsid w:val="00406358"/>
    <w:rsid w:val="004067B4"/>
    <w:rsid w:val="004069EA"/>
    <w:rsid w:val="00406A5C"/>
    <w:rsid w:val="00406A77"/>
    <w:rsid w:val="00406C6A"/>
    <w:rsid w:val="0040709A"/>
    <w:rsid w:val="00407292"/>
    <w:rsid w:val="0040741E"/>
    <w:rsid w:val="004074B4"/>
    <w:rsid w:val="00407643"/>
    <w:rsid w:val="00407900"/>
    <w:rsid w:val="00407A36"/>
    <w:rsid w:val="00407CEF"/>
    <w:rsid w:val="00407D47"/>
    <w:rsid w:val="00407DDF"/>
    <w:rsid w:val="00407E5B"/>
    <w:rsid w:val="00407E6A"/>
    <w:rsid w:val="0041012D"/>
    <w:rsid w:val="00410225"/>
    <w:rsid w:val="00410517"/>
    <w:rsid w:val="004105E4"/>
    <w:rsid w:val="004107CC"/>
    <w:rsid w:val="00410A61"/>
    <w:rsid w:val="00410AE5"/>
    <w:rsid w:val="00410E09"/>
    <w:rsid w:val="00410E0C"/>
    <w:rsid w:val="00410F0D"/>
    <w:rsid w:val="0041106C"/>
    <w:rsid w:val="004111FF"/>
    <w:rsid w:val="00411299"/>
    <w:rsid w:val="004113F3"/>
    <w:rsid w:val="00411487"/>
    <w:rsid w:val="00411775"/>
    <w:rsid w:val="004118ED"/>
    <w:rsid w:val="00411928"/>
    <w:rsid w:val="00411E49"/>
    <w:rsid w:val="00411F86"/>
    <w:rsid w:val="00411FC0"/>
    <w:rsid w:val="00412007"/>
    <w:rsid w:val="00412815"/>
    <w:rsid w:val="00412838"/>
    <w:rsid w:val="00412AE2"/>
    <w:rsid w:val="00412E0E"/>
    <w:rsid w:val="00412F0E"/>
    <w:rsid w:val="004132B9"/>
    <w:rsid w:val="00413308"/>
    <w:rsid w:val="00413327"/>
    <w:rsid w:val="004136BC"/>
    <w:rsid w:val="004136C3"/>
    <w:rsid w:val="00413A4E"/>
    <w:rsid w:val="00413C81"/>
    <w:rsid w:val="00413F46"/>
    <w:rsid w:val="0041417D"/>
    <w:rsid w:val="004142B4"/>
    <w:rsid w:val="004144FD"/>
    <w:rsid w:val="0041478A"/>
    <w:rsid w:val="0041489D"/>
    <w:rsid w:val="00414B49"/>
    <w:rsid w:val="00414B84"/>
    <w:rsid w:val="00414CDA"/>
    <w:rsid w:val="00414D14"/>
    <w:rsid w:val="00414D22"/>
    <w:rsid w:val="00414E93"/>
    <w:rsid w:val="00414F95"/>
    <w:rsid w:val="00415348"/>
    <w:rsid w:val="004159A5"/>
    <w:rsid w:val="00415A49"/>
    <w:rsid w:val="00415AD4"/>
    <w:rsid w:val="00415ADA"/>
    <w:rsid w:val="00415AE7"/>
    <w:rsid w:val="00415BDD"/>
    <w:rsid w:val="00415BE7"/>
    <w:rsid w:val="00415CBD"/>
    <w:rsid w:val="00415FE2"/>
    <w:rsid w:val="0041602F"/>
    <w:rsid w:val="004160D1"/>
    <w:rsid w:val="004165B9"/>
    <w:rsid w:val="00416987"/>
    <w:rsid w:val="00416A71"/>
    <w:rsid w:val="00416A7A"/>
    <w:rsid w:val="00416C54"/>
    <w:rsid w:val="00416EB2"/>
    <w:rsid w:val="004170E7"/>
    <w:rsid w:val="0041725F"/>
    <w:rsid w:val="004173DE"/>
    <w:rsid w:val="004175C7"/>
    <w:rsid w:val="00417994"/>
    <w:rsid w:val="00417997"/>
    <w:rsid w:val="00417A2C"/>
    <w:rsid w:val="00417BE9"/>
    <w:rsid w:val="00417D14"/>
    <w:rsid w:val="00417F52"/>
    <w:rsid w:val="00420066"/>
    <w:rsid w:val="004201FA"/>
    <w:rsid w:val="004202CF"/>
    <w:rsid w:val="004208DA"/>
    <w:rsid w:val="00420954"/>
    <w:rsid w:val="004209C5"/>
    <w:rsid w:val="00420A50"/>
    <w:rsid w:val="00420A70"/>
    <w:rsid w:val="00420AD4"/>
    <w:rsid w:val="00420BE4"/>
    <w:rsid w:val="00420CBC"/>
    <w:rsid w:val="00420D7A"/>
    <w:rsid w:val="00420DF3"/>
    <w:rsid w:val="00420FAB"/>
    <w:rsid w:val="00420FCB"/>
    <w:rsid w:val="004211A1"/>
    <w:rsid w:val="00421265"/>
    <w:rsid w:val="0042163F"/>
    <w:rsid w:val="004216BB"/>
    <w:rsid w:val="004219D6"/>
    <w:rsid w:val="00421B69"/>
    <w:rsid w:val="00421BFE"/>
    <w:rsid w:val="0042237D"/>
    <w:rsid w:val="00422979"/>
    <w:rsid w:val="00422BB1"/>
    <w:rsid w:val="00422D97"/>
    <w:rsid w:val="00422DFA"/>
    <w:rsid w:val="004230D1"/>
    <w:rsid w:val="00423302"/>
    <w:rsid w:val="004233BE"/>
    <w:rsid w:val="00423570"/>
    <w:rsid w:val="00423608"/>
    <w:rsid w:val="00423B71"/>
    <w:rsid w:val="00423B9D"/>
    <w:rsid w:val="00423BC3"/>
    <w:rsid w:val="00423D4B"/>
    <w:rsid w:val="00423DAB"/>
    <w:rsid w:val="00423E05"/>
    <w:rsid w:val="00423F6F"/>
    <w:rsid w:val="004246AE"/>
    <w:rsid w:val="00424BEC"/>
    <w:rsid w:val="00424D9E"/>
    <w:rsid w:val="00424EB9"/>
    <w:rsid w:val="0042502F"/>
    <w:rsid w:val="0042517D"/>
    <w:rsid w:val="004251E3"/>
    <w:rsid w:val="00425279"/>
    <w:rsid w:val="00425394"/>
    <w:rsid w:val="00425801"/>
    <w:rsid w:val="00425BB3"/>
    <w:rsid w:val="00425BF1"/>
    <w:rsid w:val="00425C93"/>
    <w:rsid w:val="00425CF1"/>
    <w:rsid w:val="00425DA4"/>
    <w:rsid w:val="00426054"/>
    <w:rsid w:val="0042668C"/>
    <w:rsid w:val="00426773"/>
    <w:rsid w:val="00426932"/>
    <w:rsid w:val="00426990"/>
    <w:rsid w:val="00426EA3"/>
    <w:rsid w:val="00426F70"/>
    <w:rsid w:val="004273AB"/>
    <w:rsid w:val="004279B1"/>
    <w:rsid w:val="00427BF2"/>
    <w:rsid w:val="00427F79"/>
    <w:rsid w:val="0043010D"/>
    <w:rsid w:val="004301C1"/>
    <w:rsid w:val="004302D8"/>
    <w:rsid w:val="00430383"/>
    <w:rsid w:val="004303F0"/>
    <w:rsid w:val="004305BE"/>
    <w:rsid w:val="00430601"/>
    <w:rsid w:val="004306B6"/>
    <w:rsid w:val="004307FA"/>
    <w:rsid w:val="00430AC1"/>
    <w:rsid w:val="00430C28"/>
    <w:rsid w:val="00430C2E"/>
    <w:rsid w:val="00430DDA"/>
    <w:rsid w:val="00430E50"/>
    <w:rsid w:val="00430E76"/>
    <w:rsid w:val="00431053"/>
    <w:rsid w:val="00431212"/>
    <w:rsid w:val="00431569"/>
    <w:rsid w:val="004316DD"/>
    <w:rsid w:val="004316F1"/>
    <w:rsid w:val="0043182A"/>
    <w:rsid w:val="00431BA6"/>
    <w:rsid w:val="00431C31"/>
    <w:rsid w:val="00431C73"/>
    <w:rsid w:val="00431D40"/>
    <w:rsid w:val="00431ED1"/>
    <w:rsid w:val="00431F49"/>
    <w:rsid w:val="00432052"/>
    <w:rsid w:val="004320F9"/>
    <w:rsid w:val="004321DF"/>
    <w:rsid w:val="004326F1"/>
    <w:rsid w:val="00432F2E"/>
    <w:rsid w:val="00432F85"/>
    <w:rsid w:val="00433046"/>
    <w:rsid w:val="00433122"/>
    <w:rsid w:val="00433169"/>
    <w:rsid w:val="00433190"/>
    <w:rsid w:val="004333A7"/>
    <w:rsid w:val="004333F1"/>
    <w:rsid w:val="00433521"/>
    <w:rsid w:val="00433653"/>
    <w:rsid w:val="00433979"/>
    <w:rsid w:val="004339F6"/>
    <w:rsid w:val="00433AA9"/>
    <w:rsid w:val="00433C5C"/>
    <w:rsid w:val="00433C8B"/>
    <w:rsid w:val="00433E4E"/>
    <w:rsid w:val="00433FFF"/>
    <w:rsid w:val="0043441D"/>
    <w:rsid w:val="004347A4"/>
    <w:rsid w:val="0043483C"/>
    <w:rsid w:val="004348BE"/>
    <w:rsid w:val="004348BF"/>
    <w:rsid w:val="004349B5"/>
    <w:rsid w:val="00434AAB"/>
    <w:rsid w:val="00434E93"/>
    <w:rsid w:val="00434F5A"/>
    <w:rsid w:val="00435106"/>
    <w:rsid w:val="00435137"/>
    <w:rsid w:val="00435167"/>
    <w:rsid w:val="004352F8"/>
    <w:rsid w:val="00435418"/>
    <w:rsid w:val="004355BB"/>
    <w:rsid w:val="00435950"/>
    <w:rsid w:val="00435B1B"/>
    <w:rsid w:val="00435D00"/>
    <w:rsid w:val="00435E26"/>
    <w:rsid w:val="00435F9C"/>
    <w:rsid w:val="00436063"/>
    <w:rsid w:val="004361A4"/>
    <w:rsid w:val="0043622F"/>
    <w:rsid w:val="004364C8"/>
    <w:rsid w:val="00436E31"/>
    <w:rsid w:val="00436E86"/>
    <w:rsid w:val="00436F3B"/>
    <w:rsid w:val="00436FCD"/>
    <w:rsid w:val="0043704F"/>
    <w:rsid w:val="004370A1"/>
    <w:rsid w:val="0043725A"/>
    <w:rsid w:val="00437376"/>
    <w:rsid w:val="004373CD"/>
    <w:rsid w:val="00437438"/>
    <w:rsid w:val="004374AE"/>
    <w:rsid w:val="0043753C"/>
    <w:rsid w:val="004376A9"/>
    <w:rsid w:val="00437BEF"/>
    <w:rsid w:val="00437C10"/>
    <w:rsid w:val="00437D5A"/>
    <w:rsid w:val="00437E4F"/>
    <w:rsid w:val="00440176"/>
    <w:rsid w:val="004406A8"/>
    <w:rsid w:val="004406D5"/>
    <w:rsid w:val="00440762"/>
    <w:rsid w:val="004408CA"/>
    <w:rsid w:val="00440BAB"/>
    <w:rsid w:val="00440D87"/>
    <w:rsid w:val="00440F97"/>
    <w:rsid w:val="00440FAB"/>
    <w:rsid w:val="00441544"/>
    <w:rsid w:val="00441584"/>
    <w:rsid w:val="00441666"/>
    <w:rsid w:val="004416AA"/>
    <w:rsid w:val="00441A3C"/>
    <w:rsid w:val="00441BCE"/>
    <w:rsid w:val="00441F56"/>
    <w:rsid w:val="004420A9"/>
    <w:rsid w:val="004423C2"/>
    <w:rsid w:val="00442530"/>
    <w:rsid w:val="0044275D"/>
    <w:rsid w:val="004429C4"/>
    <w:rsid w:val="00442A00"/>
    <w:rsid w:val="00442A05"/>
    <w:rsid w:val="00442AFC"/>
    <w:rsid w:val="00442B52"/>
    <w:rsid w:val="00442B85"/>
    <w:rsid w:val="00442FFA"/>
    <w:rsid w:val="0044329E"/>
    <w:rsid w:val="00443304"/>
    <w:rsid w:val="004434CA"/>
    <w:rsid w:val="0044380D"/>
    <w:rsid w:val="00443C04"/>
    <w:rsid w:val="00443C25"/>
    <w:rsid w:val="00443EC2"/>
    <w:rsid w:val="00443EE3"/>
    <w:rsid w:val="00443FC3"/>
    <w:rsid w:val="00444252"/>
    <w:rsid w:val="0044439B"/>
    <w:rsid w:val="004443EA"/>
    <w:rsid w:val="004443FD"/>
    <w:rsid w:val="004444ED"/>
    <w:rsid w:val="0044472E"/>
    <w:rsid w:val="0044480E"/>
    <w:rsid w:val="00444BF4"/>
    <w:rsid w:val="00444DB8"/>
    <w:rsid w:val="00445065"/>
    <w:rsid w:val="00445165"/>
    <w:rsid w:val="004451EA"/>
    <w:rsid w:val="0044538E"/>
    <w:rsid w:val="004456E0"/>
    <w:rsid w:val="004458A5"/>
    <w:rsid w:val="00445D3D"/>
    <w:rsid w:val="00445E66"/>
    <w:rsid w:val="00445F10"/>
    <w:rsid w:val="00446023"/>
    <w:rsid w:val="00446211"/>
    <w:rsid w:val="0044656F"/>
    <w:rsid w:val="004467F9"/>
    <w:rsid w:val="004469B2"/>
    <w:rsid w:val="004469B5"/>
    <w:rsid w:val="00446B24"/>
    <w:rsid w:val="00446BA0"/>
    <w:rsid w:val="00446BA5"/>
    <w:rsid w:val="00446C6B"/>
    <w:rsid w:val="004473C8"/>
    <w:rsid w:val="004475BA"/>
    <w:rsid w:val="00447736"/>
    <w:rsid w:val="0044776A"/>
    <w:rsid w:val="004478DF"/>
    <w:rsid w:val="0044798E"/>
    <w:rsid w:val="00447C1D"/>
    <w:rsid w:val="00447EE1"/>
    <w:rsid w:val="00450247"/>
    <w:rsid w:val="004502CC"/>
    <w:rsid w:val="004503BA"/>
    <w:rsid w:val="00450562"/>
    <w:rsid w:val="004505B9"/>
    <w:rsid w:val="004509C4"/>
    <w:rsid w:val="00450AE2"/>
    <w:rsid w:val="00450D68"/>
    <w:rsid w:val="00450E69"/>
    <w:rsid w:val="00450F13"/>
    <w:rsid w:val="00451326"/>
    <w:rsid w:val="004514CB"/>
    <w:rsid w:val="0045160A"/>
    <w:rsid w:val="00451619"/>
    <w:rsid w:val="00451622"/>
    <w:rsid w:val="00451760"/>
    <w:rsid w:val="00451833"/>
    <w:rsid w:val="004518AD"/>
    <w:rsid w:val="004519ED"/>
    <w:rsid w:val="00451C01"/>
    <w:rsid w:val="00451F96"/>
    <w:rsid w:val="00452112"/>
    <w:rsid w:val="004522D5"/>
    <w:rsid w:val="004524DC"/>
    <w:rsid w:val="004524F3"/>
    <w:rsid w:val="0045250A"/>
    <w:rsid w:val="00452615"/>
    <w:rsid w:val="00452BDF"/>
    <w:rsid w:val="00453025"/>
    <w:rsid w:val="004530B9"/>
    <w:rsid w:val="004537AF"/>
    <w:rsid w:val="0045385D"/>
    <w:rsid w:val="00453A80"/>
    <w:rsid w:val="00454047"/>
    <w:rsid w:val="0045411A"/>
    <w:rsid w:val="004543E6"/>
    <w:rsid w:val="0045466C"/>
    <w:rsid w:val="00454788"/>
    <w:rsid w:val="004547F7"/>
    <w:rsid w:val="00454C4B"/>
    <w:rsid w:val="00454FDD"/>
    <w:rsid w:val="0045514E"/>
    <w:rsid w:val="00455334"/>
    <w:rsid w:val="004554D9"/>
    <w:rsid w:val="004555B6"/>
    <w:rsid w:val="004555CD"/>
    <w:rsid w:val="00455758"/>
    <w:rsid w:val="0045575A"/>
    <w:rsid w:val="0045577E"/>
    <w:rsid w:val="004557B0"/>
    <w:rsid w:val="0045587F"/>
    <w:rsid w:val="004559F5"/>
    <w:rsid w:val="00455A61"/>
    <w:rsid w:val="00455AFB"/>
    <w:rsid w:val="00455DEA"/>
    <w:rsid w:val="00455DEC"/>
    <w:rsid w:val="00455EC3"/>
    <w:rsid w:val="0045630B"/>
    <w:rsid w:val="00456317"/>
    <w:rsid w:val="00456356"/>
    <w:rsid w:val="00456440"/>
    <w:rsid w:val="00456560"/>
    <w:rsid w:val="0045660F"/>
    <w:rsid w:val="0045665D"/>
    <w:rsid w:val="004568B0"/>
    <w:rsid w:val="004568D4"/>
    <w:rsid w:val="00456983"/>
    <w:rsid w:val="004569D0"/>
    <w:rsid w:val="00456A78"/>
    <w:rsid w:val="00456F46"/>
    <w:rsid w:val="00457202"/>
    <w:rsid w:val="00457229"/>
    <w:rsid w:val="00457247"/>
    <w:rsid w:val="00457377"/>
    <w:rsid w:val="00457382"/>
    <w:rsid w:val="004573D1"/>
    <w:rsid w:val="004574F6"/>
    <w:rsid w:val="0045763D"/>
    <w:rsid w:val="00457904"/>
    <w:rsid w:val="0045795E"/>
    <w:rsid w:val="00457AAC"/>
    <w:rsid w:val="004604B3"/>
    <w:rsid w:val="00460992"/>
    <w:rsid w:val="00460998"/>
    <w:rsid w:val="00460AEC"/>
    <w:rsid w:val="00460AFB"/>
    <w:rsid w:val="00460D40"/>
    <w:rsid w:val="00460DF2"/>
    <w:rsid w:val="00460E9C"/>
    <w:rsid w:val="00460F45"/>
    <w:rsid w:val="0046133E"/>
    <w:rsid w:val="0046157B"/>
    <w:rsid w:val="004615EF"/>
    <w:rsid w:val="004617FB"/>
    <w:rsid w:val="00461815"/>
    <w:rsid w:val="00461870"/>
    <w:rsid w:val="00461BA3"/>
    <w:rsid w:val="00461DA5"/>
    <w:rsid w:val="00461F88"/>
    <w:rsid w:val="004621B6"/>
    <w:rsid w:val="00462239"/>
    <w:rsid w:val="0046235E"/>
    <w:rsid w:val="0046241D"/>
    <w:rsid w:val="004626A1"/>
    <w:rsid w:val="00462B6B"/>
    <w:rsid w:val="00462D4D"/>
    <w:rsid w:val="00462E64"/>
    <w:rsid w:val="00462EF3"/>
    <w:rsid w:val="0046303C"/>
    <w:rsid w:val="0046324F"/>
    <w:rsid w:val="00463324"/>
    <w:rsid w:val="0046354A"/>
    <w:rsid w:val="0046391D"/>
    <w:rsid w:val="00463E1F"/>
    <w:rsid w:val="00463F26"/>
    <w:rsid w:val="00463F38"/>
    <w:rsid w:val="00463F4B"/>
    <w:rsid w:val="00464321"/>
    <w:rsid w:val="004644E0"/>
    <w:rsid w:val="00464870"/>
    <w:rsid w:val="004648DB"/>
    <w:rsid w:val="004649D7"/>
    <w:rsid w:val="00464A0B"/>
    <w:rsid w:val="00464C68"/>
    <w:rsid w:val="00464DBC"/>
    <w:rsid w:val="00464DCB"/>
    <w:rsid w:val="00464ED9"/>
    <w:rsid w:val="00465073"/>
    <w:rsid w:val="0046508C"/>
    <w:rsid w:val="004650DD"/>
    <w:rsid w:val="004650FE"/>
    <w:rsid w:val="004651A7"/>
    <w:rsid w:val="004652B4"/>
    <w:rsid w:val="0046535F"/>
    <w:rsid w:val="004658DF"/>
    <w:rsid w:val="00465DAF"/>
    <w:rsid w:val="004660B6"/>
    <w:rsid w:val="004660F7"/>
    <w:rsid w:val="004665FE"/>
    <w:rsid w:val="004666E8"/>
    <w:rsid w:val="00466F14"/>
    <w:rsid w:val="00466F20"/>
    <w:rsid w:val="004670C4"/>
    <w:rsid w:val="00467177"/>
    <w:rsid w:val="004674E5"/>
    <w:rsid w:val="00467573"/>
    <w:rsid w:val="004675BE"/>
    <w:rsid w:val="004676A7"/>
    <w:rsid w:val="0046786D"/>
    <w:rsid w:val="004678DA"/>
    <w:rsid w:val="00467A71"/>
    <w:rsid w:val="00467DF8"/>
    <w:rsid w:val="00470328"/>
    <w:rsid w:val="0047032B"/>
    <w:rsid w:val="004704BD"/>
    <w:rsid w:val="00470A6B"/>
    <w:rsid w:val="00470BBE"/>
    <w:rsid w:val="00470E27"/>
    <w:rsid w:val="00470E3D"/>
    <w:rsid w:val="00470E8D"/>
    <w:rsid w:val="004710D9"/>
    <w:rsid w:val="00471319"/>
    <w:rsid w:val="004715C2"/>
    <w:rsid w:val="00471608"/>
    <w:rsid w:val="0047185D"/>
    <w:rsid w:val="004719DE"/>
    <w:rsid w:val="00471A69"/>
    <w:rsid w:val="00471AD4"/>
    <w:rsid w:val="00471B9B"/>
    <w:rsid w:val="00471C74"/>
    <w:rsid w:val="00471CEB"/>
    <w:rsid w:val="00471E75"/>
    <w:rsid w:val="00471F21"/>
    <w:rsid w:val="004720E7"/>
    <w:rsid w:val="004721C8"/>
    <w:rsid w:val="00472354"/>
    <w:rsid w:val="004724D2"/>
    <w:rsid w:val="00472621"/>
    <w:rsid w:val="00472A13"/>
    <w:rsid w:val="00472A6D"/>
    <w:rsid w:val="00472EE9"/>
    <w:rsid w:val="004731D8"/>
    <w:rsid w:val="00473200"/>
    <w:rsid w:val="00473215"/>
    <w:rsid w:val="004736AA"/>
    <w:rsid w:val="00473768"/>
    <w:rsid w:val="00473D8F"/>
    <w:rsid w:val="00473FB0"/>
    <w:rsid w:val="00474021"/>
    <w:rsid w:val="004741E3"/>
    <w:rsid w:val="004744E4"/>
    <w:rsid w:val="00474A0F"/>
    <w:rsid w:val="00474B11"/>
    <w:rsid w:val="00474D6C"/>
    <w:rsid w:val="004752D1"/>
    <w:rsid w:val="0047545D"/>
    <w:rsid w:val="00475481"/>
    <w:rsid w:val="00475A21"/>
    <w:rsid w:val="00475A38"/>
    <w:rsid w:val="00475A68"/>
    <w:rsid w:val="00475AE1"/>
    <w:rsid w:val="00475B16"/>
    <w:rsid w:val="00475C82"/>
    <w:rsid w:val="00475DE5"/>
    <w:rsid w:val="0047612C"/>
    <w:rsid w:val="00476192"/>
    <w:rsid w:val="004765A1"/>
    <w:rsid w:val="00476653"/>
    <w:rsid w:val="0047666F"/>
    <w:rsid w:val="004768DC"/>
    <w:rsid w:val="00476A62"/>
    <w:rsid w:val="00476B75"/>
    <w:rsid w:val="00476D21"/>
    <w:rsid w:val="004770E5"/>
    <w:rsid w:val="00477110"/>
    <w:rsid w:val="0047714B"/>
    <w:rsid w:val="004774CE"/>
    <w:rsid w:val="004774EE"/>
    <w:rsid w:val="004775CB"/>
    <w:rsid w:val="00477B98"/>
    <w:rsid w:val="00477C5E"/>
    <w:rsid w:val="00477D29"/>
    <w:rsid w:val="00477FEC"/>
    <w:rsid w:val="00477FED"/>
    <w:rsid w:val="00477FEE"/>
    <w:rsid w:val="00480021"/>
    <w:rsid w:val="0048010C"/>
    <w:rsid w:val="00480232"/>
    <w:rsid w:val="00480406"/>
    <w:rsid w:val="0048042C"/>
    <w:rsid w:val="00480650"/>
    <w:rsid w:val="0048098E"/>
    <w:rsid w:val="004809F3"/>
    <w:rsid w:val="00480D48"/>
    <w:rsid w:val="00480F22"/>
    <w:rsid w:val="0048119A"/>
    <w:rsid w:val="0048160F"/>
    <w:rsid w:val="00481643"/>
    <w:rsid w:val="004817E3"/>
    <w:rsid w:val="00481978"/>
    <w:rsid w:val="00481994"/>
    <w:rsid w:val="00481B0D"/>
    <w:rsid w:val="00481D03"/>
    <w:rsid w:val="00481E45"/>
    <w:rsid w:val="00481F8E"/>
    <w:rsid w:val="00481FCE"/>
    <w:rsid w:val="004820A7"/>
    <w:rsid w:val="004822F9"/>
    <w:rsid w:val="004824A0"/>
    <w:rsid w:val="00482536"/>
    <w:rsid w:val="00482718"/>
    <w:rsid w:val="00482AF5"/>
    <w:rsid w:val="00482B4D"/>
    <w:rsid w:val="00482D1A"/>
    <w:rsid w:val="00482EE7"/>
    <w:rsid w:val="004831A7"/>
    <w:rsid w:val="004832F8"/>
    <w:rsid w:val="004834D8"/>
    <w:rsid w:val="00483547"/>
    <w:rsid w:val="0048355C"/>
    <w:rsid w:val="004835F2"/>
    <w:rsid w:val="00483698"/>
    <w:rsid w:val="004839E6"/>
    <w:rsid w:val="00483A39"/>
    <w:rsid w:val="00483B12"/>
    <w:rsid w:val="00483B85"/>
    <w:rsid w:val="00483DE2"/>
    <w:rsid w:val="00484175"/>
    <w:rsid w:val="004841A5"/>
    <w:rsid w:val="004844B8"/>
    <w:rsid w:val="0048455D"/>
    <w:rsid w:val="00484628"/>
    <w:rsid w:val="004846CD"/>
    <w:rsid w:val="00484721"/>
    <w:rsid w:val="00484785"/>
    <w:rsid w:val="004847E4"/>
    <w:rsid w:val="004849D2"/>
    <w:rsid w:val="00484B4A"/>
    <w:rsid w:val="00484DF6"/>
    <w:rsid w:val="0048513E"/>
    <w:rsid w:val="0048527A"/>
    <w:rsid w:val="00485572"/>
    <w:rsid w:val="0048586C"/>
    <w:rsid w:val="0048592C"/>
    <w:rsid w:val="00485A30"/>
    <w:rsid w:val="00485C86"/>
    <w:rsid w:val="00485CEB"/>
    <w:rsid w:val="00485D46"/>
    <w:rsid w:val="00485DEB"/>
    <w:rsid w:val="00485EA5"/>
    <w:rsid w:val="00485EAC"/>
    <w:rsid w:val="0048607E"/>
    <w:rsid w:val="004860A7"/>
    <w:rsid w:val="0048634B"/>
    <w:rsid w:val="0048638F"/>
    <w:rsid w:val="00486468"/>
    <w:rsid w:val="004866B1"/>
    <w:rsid w:val="004866D9"/>
    <w:rsid w:val="0048672B"/>
    <w:rsid w:val="004869A0"/>
    <w:rsid w:val="00486B63"/>
    <w:rsid w:val="00486BB1"/>
    <w:rsid w:val="00486C42"/>
    <w:rsid w:val="00486EA7"/>
    <w:rsid w:val="004873FE"/>
    <w:rsid w:val="00487512"/>
    <w:rsid w:val="0048785E"/>
    <w:rsid w:val="004878DC"/>
    <w:rsid w:val="00487AE9"/>
    <w:rsid w:val="00487BAA"/>
    <w:rsid w:val="00487E68"/>
    <w:rsid w:val="00487EC3"/>
    <w:rsid w:val="0049014D"/>
    <w:rsid w:val="00490A65"/>
    <w:rsid w:val="00490F44"/>
    <w:rsid w:val="004911F1"/>
    <w:rsid w:val="00491352"/>
    <w:rsid w:val="00491437"/>
    <w:rsid w:val="004918F0"/>
    <w:rsid w:val="00491B1C"/>
    <w:rsid w:val="00491C88"/>
    <w:rsid w:val="00491CAB"/>
    <w:rsid w:val="00491F02"/>
    <w:rsid w:val="0049209C"/>
    <w:rsid w:val="0049224C"/>
    <w:rsid w:val="00492304"/>
    <w:rsid w:val="0049231F"/>
    <w:rsid w:val="00492324"/>
    <w:rsid w:val="00492388"/>
    <w:rsid w:val="004923BE"/>
    <w:rsid w:val="0049247E"/>
    <w:rsid w:val="0049248C"/>
    <w:rsid w:val="004924A5"/>
    <w:rsid w:val="004924B8"/>
    <w:rsid w:val="004927B1"/>
    <w:rsid w:val="00492875"/>
    <w:rsid w:val="00492A19"/>
    <w:rsid w:val="00492BB0"/>
    <w:rsid w:val="00492C0C"/>
    <w:rsid w:val="00492DC8"/>
    <w:rsid w:val="00492E27"/>
    <w:rsid w:val="00492FF6"/>
    <w:rsid w:val="0049300B"/>
    <w:rsid w:val="0049310E"/>
    <w:rsid w:val="00493163"/>
    <w:rsid w:val="004931CC"/>
    <w:rsid w:val="0049379B"/>
    <w:rsid w:val="00493A66"/>
    <w:rsid w:val="00493C56"/>
    <w:rsid w:val="00493DC4"/>
    <w:rsid w:val="00493E8F"/>
    <w:rsid w:val="00494174"/>
    <w:rsid w:val="00494180"/>
    <w:rsid w:val="004943A9"/>
    <w:rsid w:val="004943E7"/>
    <w:rsid w:val="00494840"/>
    <w:rsid w:val="004949A2"/>
    <w:rsid w:val="00494AD5"/>
    <w:rsid w:val="00494B34"/>
    <w:rsid w:val="00494C43"/>
    <w:rsid w:val="00494D32"/>
    <w:rsid w:val="00494D65"/>
    <w:rsid w:val="00494EA8"/>
    <w:rsid w:val="00494F06"/>
    <w:rsid w:val="0049563A"/>
    <w:rsid w:val="004958F8"/>
    <w:rsid w:val="00495AB3"/>
    <w:rsid w:val="00495E8E"/>
    <w:rsid w:val="00495F8D"/>
    <w:rsid w:val="004960BC"/>
    <w:rsid w:val="00496192"/>
    <w:rsid w:val="0049629F"/>
    <w:rsid w:val="004964C7"/>
    <w:rsid w:val="0049652A"/>
    <w:rsid w:val="004966EF"/>
    <w:rsid w:val="00496A37"/>
    <w:rsid w:val="00496ABB"/>
    <w:rsid w:val="00496D71"/>
    <w:rsid w:val="00496E0C"/>
    <w:rsid w:val="004972DB"/>
    <w:rsid w:val="004973CA"/>
    <w:rsid w:val="00497497"/>
    <w:rsid w:val="0049758C"/>
    <w:rsid w:val="004976FB"/>
    <w:rsid w:val="00497729"/>
    <w:rsid w:val="00497831"/>
    <w:rsid w:val="00497F10"/>
    <w:rsid w:val="00497F95"/>
    <w:rsid w:val="004A0055"/>
    <w:rsid w:val="004A02EC"/>
    <w:rsid w:val="004A0431"/>
    <w:rsid w:val="004A0461"/>
    <w:rsid w:val="004A04E2"/>
    <w:rsid w:val="004A05F9"/>
    <w:rsid w:val="004A064F"/>
    <w:rsid w:val="004A0812"/>
    <w:rsid w:val="004A09FB"/>
    <w:rsid w:val="004A0C5B"/>
    <w:rsid w:val="004A0C83"/>
    <w:rsid w:val="004A0DE2"/>
    <w:rsid w:val="004A0E43"/>
    <w:rsid w:val="004A10D7"/>
    <w:rsid w:val="004A10D9"/>
    <w:rsid w:val="004A1134"/>
    <w:rsid w:val="004A125F"/>
    <w:rsid w:val="004A1350"/>
    <w:rsid w:val="004A190B"/>
    <w:rsid w:val="004A199E"/>
    <w:rsid w:val="004A1B1C"/>
    <w:rsid w:val="004A2153"/>
    <w:rsid w:val="004A270C"/>
    <w:rsid w:val="004A28D8"/>
    <w:rsid w:val="004A291D"/>
    <w:rsid w:val="004A3108"/>
    <w:rsid w:val="004A3421"/>
    <w:rsid w:val="004A3596"/>
    <w:rsid w:val="004A359A"/>
    <w:rsid w:val="004A38A8"/>
    <w:rsid w:val="004A3CA5"/>
    <w:rsid w:val="004A40DB"/>
    <w:rsid w:val="004A424C"/>
    <w:rsid w:val="004A42FB"/>
    <w:rsid w:val="004A432F"/>
    <w:rsid w:val="004A45E1"/>
    <w:rsid w:val="004A45EE"/>
    <w:rsid w:val="004A4621"/>
    <w:rsid w:val="004A46AA"/>
    <w:rsid w:val="004A4CD8"/>
    <w:rsid w:val="004A4D4E"/>
    <w:rsid w:val="004A4D59"/>
    <w:rsid w:val="004A4D68"/>
    <w:rsid w:val="004A4DC9"/>
    <w:rsid w:val="004A4FB0"/>
    <w:rsid w:val="004A53A8"/>
    <w:rsid w:val="004A5617"/>
    <w:rsid w:val="004A59DB"/>
    <w:rsid w:val="004A5B32"/>
    <w:rsid w:val="004A5BF2"/>
    <w:rsid w:val="004A5C6C"/>
    <w:rsid w:val="004A5EEE"/>
    <w:rsid w:val="004A5F5F"/>
    <w:rsid w:val="004A60D2"/>
    <w:rsid w:val="004A61ED"/>
    <w:rsid w:val="004A6409"/>
    <w:rsid w:val="004A6494"/>
    <w:rsid w:val="004A69C2"/>
    <w:rsid w:val="004A6B0E"/>
    <w:rsid w:val="004A6CA1"/>
    <w:rsid w:val="004A6CC9"/>
    <w:rsid w:val="004A6EFB"/>
    <w:rsid w:val="004A6F1D"/>
    <w:rsid w:val="004A701C"/>
    <w:rsid w:val="004A71F4"/>
    <w:rsid w:val="004A72B9"/>
    <w:rsid w:val="004A754D"/>
    <w:rsid w:val="004A77D4"/>
    <w:rsid w:val="004A789F"/>
    <w:rsid w:val="004A7B04"/>
    <w:rsid w:val="004A7CA9"/>
    <w:rsid w:val="004A7CF4"/>
    <w:rsid w:val="004A7D60"/>
    <w:rsid w:val="004B00A1"/>
    <w:rsid w:val="004B019F"/>
    <w:rsid w:val="004B0284"/>
    <w:rsid w:val="004B036A"/>
    <w:rsid w:val="004B03CC"/>
    <w:rsid w:val="004B0AA0"/>
    <w:rsid w:val="004B0E1D"/>
    <w:rsid w:val="004B0FE5"/>
    <w:rsid w:val="004B13E8"/>
    <w:rsid w:val="004B187A"/>
    <w:rsid w:val="004B18C1"/>
    <w:rsid w:val="004B1A9F"/>
    <w:rsid w:val="004B1CFF"/>
    <w:rsid w:val="004B21A2"/>
    <w:rsid w:val="004B2224"/>
    <w:rsid w:val="004B243D"/>
    <w:rsid w:val="004B28F3"/>
    <w:rsid w:val="004B2BF1"/>
    <w:rsid w:val="004B2C6C"/>
    <w:rsid w:val="004B2D89"/>
    <w:rsid w:val="004B2DA7"/>
    <w:rsid w:val="004B2F0E"/>
    <w:rsid w:val="004B301A"/>
    <w:rsid w:val="004B30C1"/>
    <w:rsid w:val="004B352C"/>
    <w:rsid w:val="004B36D2"/>
    <w:rsid w:val="004B38A8"/>
    <w:rsid w:val="004B3945"/>
    <w:rsid w:val="004B3B70"/>
    <w:rsid w:val="004B3B99"/>
    <w:rsid w:val="004B3D23"/>
    <w:rsid w:val="004B3DEA"/>
    <w:rsid w:val="004B3E51"/>
    <w:rsid w:val="004B3FA5"/>
    <w:rsid w:val="004B435F"/>
    <w:rsid w:val="004B4603"/>
    <w:rsid w:val="004B4968"/>
    <w:rsid w:val="004B4E5E"/>
    <w:rsid w:val="004B4FBF"/>
    <w:rsid w:val="004B5348"/>
    <w:rsid w:val="004B54F1"/>
    <w:rsid w:val="004B5F14"/>
    <w:rsid w:val="004B611F"/>
    <w:rsid w:val="004B633C"/>
    <w:rsid w:val="004B64CF"/>
    <w:rsid w:val="004B65AB"/>
    <w:rsid w:val="004B65D3"/>
    <w:rsid w:val="004B680F"/>
    <w:rsid w:val="004B6B0A"/>
    <w:rsid w:val="004B6CE6"/>
    <w:rsid w:val="004B6D08"/>
    <w:rsid w:val="004B6D8D"/>
    <w:rsid w:val="004B71C4"/>
    <w:rsid w:val="004B72E2"/>
    <w:rsid w:val="004B75AC"/>
    <w:rsid w:val="004B76DD"/>
    <w:rsid w:val="004B76E2"/>
    <w:rsid w:val="004B7738"/>
    <w:rsid w:val="004B77CA"/>
    <w:rsid w:val="004B79D0"/>
    <w:rsid w:val="004B7B2B"/>
    <w:rsid w:val="004B7CD7"/>
    <w:rsid w:val="004B7F39"/>
    <w:rsid w:val="004C0031"/>
    <w:rsid w:val="004C0108"/>
    <w:rsid w:val="004C0183"/>
    <w:rsid w:val="004C01A9"/>
    <w:rsid w:val="004C03D3"/>
    <w:rsid w:val="004C0483"/>
    <w:rsid w:val="004C0492"/>
    <w:rsid w:val="004C0730"/>
    <w:rsid w:val="004C0936"/>
    <w:rsid w:val="004C09CA"/>
    <w:rsid w:val="004C1025"/>
    <w:rsid w:val="004C1115"/>
    <w:rsid w:val="004C144B"/>
    <w:rsid w:val="004C14E9"/>
    <w:rsid w:val="004C152A"/>
    <w:rsid w:val="004C17F7"/>
    <w:rsid w:val="004C1AD5"/>
    <w:rsid w:val="004C1E32"/>
    <w:rsid w:val="004C1EEA"/>
    <w:rsid w:val="004C1FC2"/>
    <w:rsid w:val="004C2551"/>
    <w:rsid w:val="004C277E"/>
    <w:rsid w:val="004C298E"/>
    <w:rsid w:val="004C2BDA"/>
    <w:rsid w:val="004C2C96"/>
    <w:rsid w:val="004C2E45"/>
    <w:rsid w:val="004C2EA4"/>
    <w:rsid w:val="004C3027"/>
    <w:rsid w:val="004C3043"/>
    <w:rsid w:val="004C33CD"/>
    <w:rsid w:val="004C3764"/>
    <w:rsid w:val="004C38E7"/>
    <w:rsid w:val="004C39EA"/>
    <w:rsid w:val="004C3AFE"/>
    <w:rsid w:val="004C3BBB"/>
    <w:rsid w:val="004C3F03"/>
    <w:rsid w:val="004C4263"/>
    <w:rsid w:val="004C48B1"/>
    <w:rsid w:val="004C4ABF"/>
    <w:rsid w:val="004C4E92"/>
    <w:rsid w:val="004C4E9E"/>
    <w:rsid w:val="004C5003"/>
    <w:rsid w:val="004C511C"/>
    <w:rsid w:val="004C526C"/>
    <w:rsid w:val="004C53AE"/>
    <w:rsid w:val="004C5540"/>
    <w:rsid w:val="004C56EB"/>
    <w:rsid w:val="004C5784"/>
    <w:rsid w:val="004C585D"/>
    <w:rsid w:val="004C5874"/>
    <w:rsid w:val="004C5BE5"/>
    <w:rsid w:val="004C5DA9"/>
    <w:rsid w:val="004C5DD2"/>
    <w:rsid w:val="004C6044"/>
    <w:rsid w:val="004C6484"/>
    <w:rsid w:val="004C657F"/>
    <w:rsid w:val="004C66B6"/>
    <w:rsid w:val="004C6925"/>
    <w:rsid w:val="004C69D6"/>
    <w:rsid w:val="004C69F1"/>
    <w:rsid w:val="004C6AA6"/>
    <w:rsid w:val="004C6B1E"/>
    <w:rsid w:val="004C7612"/>
    <w:rsid w:val="004C7697"/>
    <w:rsid w:val="004C78B4"/>
    <w:rsid w:val="004C7988"/>
    <w:rsid w:val="004C7ADE"/>
    <w:rsid w:val="004C7B4F"/>
    <w:rsid w:val="004C7CFA"/>
    <w:rsid w:val="004C7F22"/>
    <w:rsid w:val="004C7F76"/>
    <w:rsid w:val="004D0095"/>
    <w:rsid w:val="004D0302"/>
    <w:rsid w:val="004D030E"/>
    <w:rsid w:val="004D041F"/>
    <w:rsid w:val="004D04A8"/>
    <w:rsid w:val="004D04AD"/>
    <w:rsid w:val="004D0688"/>
    <w:rsid w:val="004D0872"/>
    <w:rsid w:val="004D0978"/>
    <w:rsid w:val="004D0B94"/>
    <w:rsid w:val="004D0BDB"/>
    <w:rsid w:val="004D0EA6"/>
    <w:rsid w:val="004D10C9"/>
    <w:rsid w:val="004D14DD"/>
    <w:rsid w:val="004D16A8"/>
    <w:rsid w:val="004D1AA5"/>
    <w:rsid w:val="004D1B54"/>
    <w:rsid w:val="004D1C0C"/>
    <w:rsid w:val="004D1C3A"/>
    <w:rsid w:val="004D1DE6"/>
    <w:rsid w:val="004D1F78"/>
    <w:rsid w:val="004D200F"/>
    <w:rsid w:val="004D26E4"/>
    <w:rsid w:val="004D2C5B"/>
    <w:rsid w:val="004D302A"/>
    <w:rsid w:val="004D32DC"/>
    <w:rsid w:val="004D340D"/>
    <w:rsid w:val="004D34B1"/>
    <w:rsid w:val="004D3661"/>
    <w:rsid w:val="004D391C"/>
    <w:rsid w:val="004D39B3"/>
    <w:rsid w:val="004D3B79"/>
    <w:rsid w:val="004D3B8A"/>
    <w:rsid w:val="004D3CD9"/>
    <w:rsid w:val="004D3D27"/>
    <w:rsid w:val="004D3F8B"/>
    <w:rsid w:val="004D4036"/>
    <w:rsid w:val="004D404A"/>
    <w:rsid w:val="004D41D5"/>
    <w:rsid w:val="004D4D34"/>
    <w:rsid w:val="004D5021"/>
    <w:rsid w:val="004D5123"/>
    <w:rsid w:val="004D531D"/>
    <w:rsid w:val="004D53AF"/>
    <w:rsid w:val="004D5AD1"/>
    <w:rsid w:val="004D5BD8"/>
    <w:rsid w:val="004D5C2D"/>
    <w:rsid w:val="004D5FFE"/>
    <w:rsid w:val="004D6027"/>
    <w:rsid w:val="004D610A"/>
    <w:rsid w:val="004D6238"/>
    <w:rsid w:val="004D6338"/>
    <w:rsid w:val="004D67C3"/>
    <w:rsid w:val="004D6838"/>
    <w:rsid w:val="004D6991"/>
    <w:rsid w:val="004D6B72"/>
    <w:rsid w:val="004D6C54"/>
    <w:rsid w:val="004D6DE5"/>
    <w:rsid w:val="004D6ECC"/>
    <w:rsid w:val="004D6F20"/>
    <w:rsid w:val="004D6FE6"/>
    <w:rsid w:val="004D7029"/>
    <w:rsid w:val="004D7303"/>
    <w:rsid w:val="004D74A1"/>
    <w:rsid w:val="004D77D7"/>
    <w:rsid w:val="004D7834"/>
    <w:rsid w:val="004D7D7C"/>
    <w:rsid w:val="004D7E63"/>
    <w:rsid w:val="004D7ECC"/>
    <w:rsid w:val="004E0604"/>
    <w:rsid w:val="004E072F"/>
    <w:rsid w:val="004E0818"/>
    <w:rsid w:val="004E08E3"/>
    <w:rsid w:val="004E0900"/>
    <w:rsid w:val="004E0B53"/>
    <w:rsid w:val="004E0FA6"/>
    <w:rsid w:val="004E0FAE"/>
    <w:rsid w:val="004E131E"/>
    <w:rsid w:val="004E1737"/>
    <w:rsid w:val="004E173A"/>
    <w:rsid w:val="004E18D9"/>
    <w:rsid w:val="004E1AFD"/>
    <w:rsid w:val="004E2062"/>
    <w:rsid w:val="004E20AC"/>
    <w:rsid w:val="004E241E"/>
    <w:rsid w:val="004E2533"/>
    <w:rsid w:val="004E273E"/>
    <w:rsid w:val="004E2913"/>
    <w:rsid w:val="004E29B3"/>
    <w:rsid w:val="004E2B9F"/>
    <w:rsid w:val="004E2E12"/>
    <w:rsid w:val="004E2F30"/>
    <w:rsid w:val="004E2F78"/>
    <w:rsid w:val="004E307E"/>
    <w:rsid w:val="004E30BC"/>
    <w:rsid w:val="004E3290"/>
    <w:rsid w:val="004E350A"/>
    <w:rsid w:val="004E3852"/>
    <w:rsid w:val="004E3909"/>
    <w:rsid w:val="004E3A67"/>
    <w:rsid w:val="004E3AC0"/>
    <w:rsid w:val="004E3BFB"/>
    <w:rsid w:val="004E3C77"/>
    <w:rsid w:val="004E4007"/>
    <w:rsid w:val="004E41EA"/>
    <w:rsid w:val="004E41FF"/>
    <w:rsid w:val="004E4239"/>
    <w:rsid w:val="004E4284"/>
    <w:rsid w:val="004E4499"/>
    <w:rsid w:val="004E4594"/>
    <w:rsid w:val="004E4660"/>
    <w:rsid w:val="004E49C4"/>
    <w:rsid w:val="004E49F0"/>
    <w:rsid w:val="004E4B27"/>
    <w:rsid w:val="004E4B79"/>
    <w:rsid w:val="004E4BCE"/>
    <w:rsid w:val="004E4D68"/>
    <w:rsid w:val="004E4E6F"/>
    <w:rsid w:val="004E4EA9"/>
    <w:rsid w:val="004E50A8"/>
    <w:rsid w:val="004E510E"/>
    <w:rsid w:val="004E5118"/>
    <w:rsid w:val="004E51D6"/>
    <w:rsid w:val="004E535F"/>
    <w:rsid w:val="004E55A7"/>
    <w:rsid w:val="004E586E"/>
    <w:rsid w:val="004E5BBC"/>
    <w:rsid w:val="004E5F47"/>
    <w:rsid w:val="004E6170"/>
    <w:rsid w:val="004E66B9"/>
    <w:rsid w:val="004E6807"/>
    <w:rsid w:val="004E6858"/>
    <w:rsid w:val="004E6867"/>
    <w:rsid w:val="004E6887"/>
    <w:rsid w:val="004E68D1"/>
    <w:rsid w:val="004E6944"/>
    <w:rsid w:val="004E69B6"/>
    <w:rsid w:val="004E6AFE"/>
    <w:rsid w:val="004E6C76"/>
    <w:rsid w:val="004E6F78"/>
    <w:rsid w:val="004E7027"/>
    <w:rsid w:val="004E7135"/>
    <w:rsid w:val="004E73B2"/>
    <w:rsid w:val="004E7476"/>
    <w:rsid w:val="004E76CE"/>
    <w:rsid w:val="004E7732"/>
    <w:rsid w:val="004E79B0"/>
    <w:rsid w:val="004E79BA"/>
    <w:rsid w:val="004E79F3"/>
    <w:rsid w:val="004E7B33"/>
    <w:rsid w:val="004E7E1E"/>
    <w:rsid w:val="004F0036"/>
    <w:rsid w:val="004F0184"/>
    <w:rsid w:val="004F038A"/>
    <w:rsid w:val="004F0459"/>
    <w:rsid w:val="004F047D"/>
    <w:rsid w:val="004F08C8"/>
    <w:rsid w:val="004F0C49"/>
    <w:rsid w:val="004F0D0C"/>
    <w:rsid w:val="004F0F4E"/>
    <w:rsid w:val="004F12F6"/>
    <w:rsid w:val="004F16AC"/>
    <w:rsid w:val="004F16B5"/>
    <w:rsid w:val="004F1BEF"/>
    <w:rsid w:val="004F1D2B"/>
    <w:rsid w:val="004F1FD8"/>
    <w:rsid w:val="004F20FD"/>
    <w:rsid w:val="004F2244"/>
    <w:rsid w:val="004F2281"/>
    <w:rsid w:val="004F2289"/>
    <w:rsid w:val="004F22DD"/>
    <w:rsid w:val="004F2379"/>
    <w:rsid w:val="004F23D1"/>
    <w:rsid w:val="004F24DC"/>
    <w:rsid w:val="004F2594"/>
    <w:rsid w:val="004F276C"/>
    <w:rsid w:val="004F2912"/>
    <w:rsid w:val="004F30DB"/>
    <w:rsid w:val="004F3672"/>
    <w:rsid w:val="004F3873"/>
    <w:rsid w:val="004F3931"/>
    <w:rsid w:val="004F3ABE"/>
    <w:rsid w:val="004F3D87"/>
    <w:rsid w:val="004F3D94"/>
    <w:rsid w:val="004F3DF1"/>
    <w:rsid w:val="004F3E59"/>
    <w:rsid w:val="004F4040"/>
    <w:rsid w:val="004F434A"/>
    <w:rsid w:val="004F463D"/>
    <w:rsid w:val="004F46FD"/>
    <w:rsid w:val="004F4A04"/>
    <w:rsid w:val="004F4A88"/>
    <w:rsid w:val="004F4B24"/>
    <w:rsid w:val="004F4C0D"/>
    <w:rsid w:val="004F5280"/>
    <w:rsid w:val="004F52BE"/>
    <w:rsid w:val="004F5408"/>
    <w:rsid w:val="004F55C6"/>
    <w:rsid w:val="004F569F"/>
    <w:rsid w:val="004F598C"/>
    <w:rsid w:val="004F5A03"/>
    <w:rsid w:val="004F6334"/>
    <w:rsid w:val="004F6522"/>
    <w:rsid w:val="004F657F"/>
    <w:rsid w:val="004F6655"/>
    <w:rsid w:val="004F66B3"/>
    <w:rsid w:val="004F67BD"/>
    <w:rsid w:val="004F6878"/>
    <w:rsid w:val="004F6D55"/>
    <w:rsid w:val="004F6E5A"/>
    <w:rsid w:val="004F70DC"/>
    <w:rsid w:val="004F73C1"/>
    <w:rsid w:val="004F7532"/>
    <w:rsid w:val="004F767F"/>
    <w:rsid w:val="004F7BD3"/>
    <w:rsid w:val="004F7CEA"/>
    <w:rsid w:val="004F7E46"/>
    <w:rsid w:val="004F7EA8"/>
    <w:rsid w:val="005000D5"/>
    <w:rsid w:val="005001E1"/>
    <w:rsid w:val="005002E2"/>
    <w:rsid w:val="005004C7"/>
    <w:rsid w:val="00500625"/>
    <w:rsid w:val="00500634"/>
    <w:rsid w:val="0050082F"/>
    <w:rsid w:val="0050085F"/>
    <w:rsid w:val="00500929"/>
    <w:rsid w:val="00500A01"/>
    <w:rsid w:val="00500AA8"/>
    <w:rsid w:val="00500AB7"/>
    <w:rsid w:val="00500ABE"/>
    <w:rsid w:val="00500AE5"/>
    <w:rsid w:val="00500B7F"/>
    <w:rsid w:val="00500B86"/>
    <w:rsid w:val="00500C8A"/>
    <w:rsid w:val="00500D76"/>
    <w:rsid w:val="00500DE4"/>
    <w:rsid w:val="00500E2D"/>
    <w:rsid w:val="005010C6"/>
    <w:rsid w:val="00501348"/>
    <w:rsid w:val="00501481"/>
    <w:rsid w:val="00501758"/>
    <w:rsid w:val="00501781"/>
    <w:rsid w:val="00501952"/>
    <w:rsid w:val="00501AA4"/>
    <w:rsid w:val="00501BA8"/>
    <w:rsid w:val="00501DA0"/>
    <w:rsid w:val="00501E88"/>
    <w:rsid w:val="00502015"/>
    <w:rsid w:val="005020F8"/>
    <w:rsid w:val="0050211B"/>
    <w:rsid w:val="00502336"/>
    <w:rsid w:val="00502449"/>
    <w:rsid w:val="00502A8F"/>
    <w:rsid w:val="00502AE4"/>
    <w:rsid w:val="00502C36"/>
    <w:rsid w:val="00502D67"/>
    <w:rsid w:val="0050337F"/>
    <w:rsid w:val="00503437"/>
    <w:rsid w:val="005034E5"/>
    <w:rsid w:val="0050371E"/>
    <w:rsid w:val="005038AB"/>
    <w:rsid w:val="005039E8"/>
    <w:rsid w:val="00503AC9"/>
    <w:rsid w:val="00503CD5"/>
    <w:rsid w:val="00503D96"/>
    <w:rsid w:val="00503E10"/>
    <w:rsid w:val="00503E46"/>
    <w:rsid w:val="00503FEA"/>
    <w:rsid w:val="005041A8"/>
    <w:rsid w:val="005043B1"/>
    <w:rsid w:val="00504415"/>
    <w:rsid w:val="00504550"/>
    <w:rsid w:val="0050462A"/>
    <w:rsid w:val="00504AFE"/>
    <w:rsid w:val="00504C7F"/>
    <w:rsid w:val="00504FC2"/>
    <w:rsid w:val="00505430"/>
    <w:rsid w:val="00505602"/>
    <w:rsid w:val="00505658"/>
    <w:rsid w:val="00505790"/>
    <w:rsid w:val="00505849"/>
    <w:rsid w:val="005058CB"/>
    <w:rsid w:val="005058DF"/>
    <w:rsid w:val="005059CC"/>
    <w:rsid w:val="00505B34"/>
    <w:rsid w:val="00505B62"/>
    <w:rsid w:val="00505D30"/>
    <w:rsid w:val="00505F25"/>
    <w:rsid w:val="00506064"/>
    <w:rsid w:val="00506392"/>
    <w:rsid w:val="0050654E"/>
    <w:rsid w:val="0050673E"/>
    <w:rsid w:val="00506D1B"/>
    <w:rsid w:val="00506EA7"/>
    <w:rsid w:val="00506F4C"/>
    <w:rsid w:val="00506FDD"/>
    <w:rsid w:val="00506FF7"/>
    <w:rsid w:val="00507082"/>
    <w:rsid w:val="00507278"/>
    <w:rsid w:val="005075BB"/>
    <w:rsid w:val="00507619"/>
    <w:rsid w:val="005076F2"/>
    <w:rsid w:val="00507A5F"/>
    <w:rsid w:val="00507B3E"/>
    <w:rsid w:val="00507C6E"/>
    <w:rsid w:val="00507DE2"/>
    <w:rsid w:val="00507E6E"/>
    <w:rsid w:val="0051008C"/>
    <w:rsid w:val="00510530"/>
    <w:rsid w:val="00510589"/>
    <w:rsid w:val="0051067C"/>
    <w:rsid w:val="0051087E"/>
    <w:rsid w:val="00510BD2"/>
    <w:rsid w:val="00510D0C"/>
    <w:rsid w:val="005115BC"/>
    <w:rsid w:val="0051172C"/>
    <w:rsid w:val="00511AE4"/>
    <w:rsid w:val="00511C65"/>
    <w:rsid w:val="00511D0E"/>
    <w:rsid w:val="00511D10"/>
    <w:rsid w:val="00511DBB"/>
    <w:rsid w:val="00511F35"/>
    <w:rsid w:val="005120C5"/>
    <w:rsid w:val="005120CF"/>
    <w:rsid w:val="005121BF"/>
    <w:rsid w:val="00512312"/>
    <w:rsid w:val="00512444"/>
    <w:rsid w:val="005124C7"/>
    <w:rsid w:val="00512503"/>
    <w:rsid w:val="00512650"/>
    <w:rsid w:val="005126B3"/>
    <w:rsid w:val="005126B9"/>
    <w:rsid w:val="00512712"/>
    <w:rsid w:val="0051279F"/>
    <w:rsid w:val="00512851"/>
    <w:rsid w:val="005128F4"/>
    <w:rsid w:val="005129F3"/>
    <w:rsid w:val="00512B09"/>
    <w:rsid w:val="00512B89"/>
    <w:rsid w:val="00512F4D"/>
    <w:rsid w:val="00513269"/>
    <w:rsid w:val="00513294"/>
    <w:rsid w:val="005134A3"/>
    <w:rsid w:val="00513622"/>
    <w:rsid w:val="0051390B"/>
    <w:rsid w:val="005139BD"/>
    <w:rsid w:val="00513C43"/>
    <w:rsid w:val="00513CC7"/>
    <w:rsid w:val="00513E18"/>
    <w:rsid w:val="0051401D"/>
    <w:rsid w:val="0051405C"/>
    <w:rsid w:val="00514156"/>
    <w:rsid w:val="00514487"/>
    <w:rsid w:val="005145CF"/>
    <w:rsid w:val="005148A2"/>
    <w:rsid w:val="00514907"/>
    <w:rsid w:val="00514AD8"/>
    <w:rsid w:val="00514D60"/>
    <w:rsid w:val="00514E7E"/>
    <w:rsid w:val="00514F20"/>
    <w:rsid w:val="00514F6E"/>
    <w:rsid w:val="00515173"/>
    <w:rsid w:val="00515356"/>
    <w:rsid w:val="005158B4"/>
    <w:rsid w:val="00515911"/>
    <w:rsid w:val="00515B41"/>
    <w:rsid w:val="00515DDD"/>
    <w:rsid w:val="00515F1B"/>
    <w:rsid w:val="00515FFF"/>
    <w:rsid w:val="005162A2"/>
    <w:rsid w:val="0051649A"/>
    <w:rsid w:val="00516624"/>
    <w:rsid w:val="005166CD"/>
    <w:rsid w:val="0051671C"/>
    <w:rsid w:val="0051673C"/>
    <w:rsid w:val="005168EE"/>
    <w:rsid w:val="00516971"/>
    <w:rsid w:val="00516A03"/>
    <w:rsid w:val="00516AE0"/>
    <w:rsid w:val="00516B33"/>
    <w:rsid w:val="00516C3A"/>
    <w:rsid w:val="005170AC"/>
    <w:rsid w:val="00517390"/>
    <w:rsid w:val="005174CD"/>
    <w:rsid w:val="00517564"/>
    <w:rsid w:val="005176A6"/>
    <w:rsid w:val="005177C9"/>
    <w:rsid w:val="00517819"/>
    <w:rsid w:val="00517912"/>
    <w:rsid w:val="0051792B"/>
    <w:rsid w:val="00517DD5"/>
    <w:rsid w:val="00517DDE"/>
    <w:rsid w:val="00517EA5"/>
    <w:rsid w:val="00520254"/>
    <w:rsid w:val="0052049F"/>
    <w:rsid w:val="005204B0"/>
    <w:rsid w:val="00520591"/>
    <w:rsid w:val="005206DC"/>
    <w:rsid w:val="005208B1"/>
    <w:rsid w:val="00520988"/>
    <w:rsid w:val="00520DE7"/>
    <w:rsid w:val="00520F05"/>
    <w:rsid w:val="005211EE"/>
    <w:rsid w:val="00521438"/>
    <w:rsid w:val="005214E2"/>
    <w:rsid w:val="005215A7"/>
    <w:rsid w:val="005215AB"/>
    <w:rsid w:val="00521626"/>
    <w:rsid w:val="00521704"/>
    <w:rsid w:val="005217C3"/>
    <w:rsid w:val="00521A22"/>
    <w:rsid w:val="00521AA7"/>
    <w:rsid w:val="00521BD0"/>
    <w:rsid w:val="00521FD8"/>
    <w:rsid w:val="005220A6"/>
    <w:rsid w:val="00522115"/>
    <w:rsid w:val="005223CC"/>
    <w:rsid w:val="00522452"/>
    <w:rsid w:val="005226C9"/>
    <w:rsid w:val="00522C82"/>
    <w:rsid w:val="00522E25"/>
    <w:rsid w:val="00522EC6"/>
    <w:rsid w:val="00522EDA"/>
    <w:rsid w:val="00523204"/>
    <w:rsid w:val="00523213"/>
    <w:rsid w:val="005232A9"/>
    <w:rsid w:val="0052330F"/>
    <w:rsid w:val="00523536"/>
    <w:rsid w:val="005236D4"/>
    <w:rsid w:val="00523880"/>
    <w:rsid w:val="00523891"/>
    <w:rsid w:val="0052395D"/>
    <w:rsid w:val="00523B03"/>
    <w:rsid w:val="00523BF6"/>
    <w:rsid w:val="00523C53"/>
    <w:rsid w:val="00523DC6"/>
    <w:rsid w:val="00523FE7"/>
    <w:rsid w:val="005241C6"/>
    <w:rsid w:val="00524252"/>
    <w:rsid w:val="005242D6"/>
    <w:rsid w:val="005243F9"/>
    <w:rsid w:val="005246A0"/>
    <w:rsid w:val="00524921"/>
    <w:rsid w:val="00524A76"/>
    <w:rsid w:val="00524ABD"/>
    <w:rsid w:val="00524BF2"/>
    <w:rsid w:val="00524E6D"/>
    <w:rsid w:val="00524F16"/>
    <w:rsid w:val="0052525C"/>
    <w:rsid w:val="005253E8"/>
    <w:rsid w:val="00525573"/>
    <w:rsid w:val="005255A7"/>
    <w:rsid w:val="005256C7"/>
    <w:rsid w:val="00525903"/>
    <w:rsid w:val="00525FB3"/>
    <w:rsid w:val="005260BA"/>
    <w:rsid w:val="00526104"/>
    <w:rsid w:val="0052657D"/>
    <w:rsid w:val="005268AE"/>
    <w:rsid w:val="0052694C"/>
    <w:rsid w:val="00526A92"/>
    <w:rsid w:val="00526AE7"/>
    <w:rsid w:val="00526C28"/>
    <w:rsid w:val="00526D88"/>
    <w:rsid w:val="00526E02"/>
    <w:rsid w:val="00526E0B"/>
    <w:rsid w:val="00527168"/>
    <w:rsid w:val="00527181"/>
    <w:rsid w:val="00527202"/>
    <w:rsid w:val="00527431"/>
    <w:rsid w:val="0052764E"/>
    <w:rsid w:val="005277EA"/>
    <w:rsid w:val="00527878"/>
    <w:rsid w:val="00527930"/>
    <w:rsid w:val="00527936"/>
    <w:rsid w:val="00527C92"/>
    <w:rsid w:val="00527D39"/>
    <w:rsid w:val="00527FE4"/>
    <w:rsid w:val="00530220"/>
    <w:rsid w:val="00530324"/>
    <w:rsid w:val="005304F2"/>
    <w:rsid w:val="005305DA"/>
    <w:rsid w:val="0053061E"/>
    <w:rsid w:val="005307A0"/>
    <w:rsid w:val="0053094D"/>
    <w:rsid w:val="00530A94"/>
    <w:rsid w:val="00530B6E"/>
    <w:rsid w:val="00530C34"/>
    <w:rsid w:val="00530CC4"/>
    <w:rsid w:val="00530CFC"/>
    <w:rsid w:val="00530D08"/>
    <w:rsid w:val="00530D9E"/>
    <w:rsid w:val="00530EC8"/>
    <w:rsid w:val="00530F80"/>
    <w:rsid w:val="0053122F"/>
    <w:rsid w:val="00531347"/>
    <w:rsid w:val="005313ED"/>
    <w:rsid w:val="00531442"/>
    <w:rsid w:val="005314F4"/>
    <w:rsid w:val="00531AB1"/>
    <w:rsid w:val="00531AF3"/>
    <w:rsid w:val="00531B8B"/>
    <w:rsid w:val="00531D89"/>
    <w:rsid w:val="0053202B"/>
    <w:rsid w:val="00532081"/>
    <w:rsid w:val="0053212B"/>
    <w:rsid w:val="005324C6"/>
    <w:rsid w:val="005324F9"/>
    <w:rsid w:val="00532514"/>
    <w:rsid w:val="005329BC"/>
    <w:rsid w:val="00532ADE"/>
    <w:rsid w:val="00532AE2"/>
    <w:rsid w:val="00532C73"/>
    <w:rsid w:val="00532E68"/>
    <w:rsid w:val="00532FF4"/>
    <w:rsid w:val="0053305D"/>
    <w:rsid w:val="005333A8"/>
    <w:rsid w:val="005334C0"/>
    <w:rsid w:val="00533597"/>
    <w:rsid w:val="005335C8"/>
    <w:rsid w:val="005335C9"/>
    <w:rsid w:val="00533663"/>
    <w:rsid w:val="005336B7"/>
    <w:rsid w:val="0053384D"/>
    <w:rsid w:val="00533866"/>
    <w:rsid w:val="005338A9"/>
    <w:rsid w:val="00533A88"/>
    <w:rsid w:val="005343D3"/>
    <w:rsid w:val="00534693"/>
    <w:rsid w:val="00534B6D"/>
    <w:rsid w:val="00534CE0"/>
    <w:rsid w:val="005352C4"/>
    <w:rsid w:val="00535510"/>
    <w:rsid w:val="0053561B"/>
    <w:rsid w:val="005358E3"/>
    <w:rsid w:val="00535B32"/>
    <w:rsid w:val="00535DF7"/>
    <w:rsid w:val="00535EA4"/>
    <w:rsid w:val="00535F40"/>
    <w:rsid w:val="00535FA5"/>
    <w:rsid w:val="00536056"/>
    <w:rsid w:val="00536239"/>
    <w:rsid w:val="00536259"/>
    <w:rsid w:val="005364D4"/>
    <w:rsid w:val="0053678D"/>
    <w:rsid w:val="005368FF"/>
    <w:rsid w:val="005369B1"/>
    <w:rsid w:val="00536AB8"/>
    <w:rsid w:val="00536B18"/>
    <w:rsid w:val="00536C18"/>
    <w:rsid w:val="00536FD4"/>
    <w:rsid w:val="00537219"/>
    <w:rsid w:val="00537232"/>
    <w:rsid w:val="005372A0"/>
    <w:rsid w:val="005372C9"/>
    <w:rsid w:val="00537468"/>
    <w:rsid w:val="00537519"/>
    <w:rsid w:val="00537529"/>
    <w:rsid w:val="0053766F"/>
    <w:rsid w:val="0053794B"/>
    <w:rsid w:val="00537C2C"/>
    <w:rsid w:val="00537DC7"/>
    <w:rsid w:val="00537DEB"/>
    <w:rsid w:val="005401B5"/>
    <w:rsid w:val="00540B35"/>
    <w:rsid w:val="00540D06"/>
    <w:rsid w:val="00540F3B"/>
    <w:rsid w:val="005410BE"/>
    <w:rsid w:val="00541139"/>
    <w:rsid w:val="00541327"/>
    <w:rsid w:val="00541371"/>
    <w:rsid w:val="005414A1"/>
    <w:rsid w:val="0054179B"/>
    <w:rsid w:val="005419DD"/>
    <w:rsid w:val="00541A19"/>
    <w:rsid w:val="00541A42"/>
    <w:rsid w:val="00541AB9"/>
    <w:rsid w:val="00541DF0"/>
    <w:rsid w:val="005422A4"/>
    <w:rsid w:val="00542313"/>
    <w:rsid w:val="005424D4"/>
    <w:rsid w:val="005424EB"/>
    <w:rsid w:val="00542979"/>
    <w:rsid w:val="00542FFA"/>
    <w:rsid w:val="0054321C"/>
    <w:rsid w:val="005432DC"/>
    <w:rsid w:val="005433B3"/>
    <w:rsid w:val="005434B5"/>
    <w:rsid w:val="00543513"/>
    <w:rsid w:val="00543536"/>
    <w:rsid w:val="00543571"/>
    <w:rsid w:val="0054364A"/>
    <w:rsid w:val="005436FB"/>
    <w:rsid w:val="00543754"/>
    <w:rsid w:val="00543A60"/>
    <w:rsid w:val="00543C3D"/>
    <w:rsid w:val="00543CAE"/>
    <w:rsid w:val="00543E4B"/>
    <w:rsid w:val="005441F1"/>
    <w:rsid w:val="00544283"/>
    <w:rsid w:val="005442BC"/>
    <w:rsid w:val="0054443A"/>
    <w:rsid w:val="005444D6"/>
    <w:rsid w:val="0054456E"/>
    <w:rsid w:val="00544610"/>
    <w:rsid w:val="00544796"/>
    <w:rsid w:val="005447E5"/>
    <w:rsid w:val="00544974"/>
    <w:rsid w:val="00544BDA"/>
    <w:rsid w:val="00544C19"/>
    <w:rsid w:val="00544E0F"/>
    <w:rsid w:val="00544E80"/>
    <w:rsid w:val="005452FD"/>
    <w:rsid w:val="00545315"/>
    <w:rsid w:val="00545493"/>
    <w:rsid w:val="005454D4"/>
    <w:rsid w:val="005456BF"/>
    <w:rsid w:val="0054570A"/>
    <w:rsid w:val="0054578B"/>
    <w:rsid w:val="005458BA"/>
    <w:rsid w:val="0054592F"/>
    <w:rsid w:val="00545D44"/>
    <w:rsid w:val="00545ED2"/>
    <w:rsid w:val="00546020"/>
    <w:rsid w:val="00546030"/>
    <w:rsid w:val="005460BC"/>
    <w:rsid w:val="00546194"/>
    <w:rsid w:val="00546394"/>
    <w:rsid w:val="00546431"/>
    <w:rsid w:val="0054647F"/>
    <w:rsid w:val="00546544"/>
    <w:rsid w:val="005466D9"/>
    <w:rsid w:val="005467F6"/>
    <w:rsid w:val="00546987"/>
    <w:rsid w:val="00546A06"/>
    <w:rsid w:val="00546B10"/>
    <w:rsid w:val="00546BCA"/>
    <w:rsid w:val="00546E38"/>
    <w:rsid w:val="00546F63"/>
    <w:rsid w:val="00546FE6"/>
    <w:rsid w:val="0054704D"/>
    <w:rsid w:val="005470B8"/>
    <w:rsid w:val="00547242"/>
    <w:rsid w:val="005475EC"/>
    <w:rsid w:val="005475ED"/>
    <w:rsid w:val="0054766D"/>
    <w:rsid w:val="005476C9"/>
    <w:rsid w:val="00547982"/>
    <w:rsid w:val="00547B42"/>
    <w:rsid w:val="00547BED"/>
    <w:rsid w:val="00547D8A"/>
    <w:rsid w:val="0055001D"/>
    <w:rsid w:val="0055038E"/>
    <w:rsid w:val="005505F5"/>
    <w:rsid w:val="005506B7"/>
    <w:rsid w:val="005507BA"/>
    <w:rsid w:val="005508D9"/>
    <w:rsid w:val="00550913"/>
    <w:rsid w:val="005509A4"/>
    <w:rsid w:val="00550B1E"/>
    <w:rsid w:val="00550EF0"/>
    <w:rsid w:val="00550F07"/>
    <w:rsid w:val="00550F4C"/>
    <w:rsid w:val="00551338"/>
    <w:rsid w:val="005514C0"/>
    <w:rsid w:val="00551B0E"/>
    <w:rsid w:val="00551B86"/>
    <w:rsid w:val="005520F0"/>
    <w:rsid w:val="005521AB"/>
    <w:rsid w:val="00552331"/>
    <w:rsid w:val="00552592"/>
    <w:rsid w:val="00552648"/>
    <w:rsid w:val="005528F1"/>
    <w:rsid w:val="00552BC5"/>
    <w:rsid w:val="00552BFD"/>
    <w:rsid w:val="00552C51"/>
    <w:rsid w:val="005530E3"/>
    <w:rsid w:val="0055320B"/>
    <w:rsid w:val="0055330C"/>
    <w:rsid w:val="005533E6"/>
    <w:rsid w:val="00553620"/>
    <w:rsid w:val="00553636"/>
    <w:rsid w:val="00553701"/>
    <w:rsid w:val="00553713"/>
    <w:rsid w:val="00553A30"/>
    <w:rsid w:val="00553B46"/>
    <w:rsid w:val="00553EC5"/>
    <w:rsid w:val="00553EDE"/>
    <w:rsid w:val="00553F2D"/>
    <w:rsid w:val="0055413F"/>
    <w:rsid w:val="00554450"/>
    <w:rsid w:val="005544D4"/>
    <w:rsid w:val="005549A4"/>
    <w:rsid w:val="00554BD5"/>
    <w:rsid w:val="00554CE1"/>
    <w:rsid w:val="00554CF5"/>
    <w:rsid w:val="00554D5F"/>
    <w:rsid w:val="00554DA2"/>
    <w:rsid w:val="005551B9"/>
    <w:rsid w:val="00555377"/>
    <w:rsid w:val="005554ED"/>
    <w:rsid w:val="005558C2"/>
    <w:rsid w:val="00555902"/>
    <w:rsid w:val="0055594B"/>
    <w:rsid w:val="00555A9B"/>
    <w:rsid w:val="00555BDE"/>
    <w:rsid w:val="00555BFF"/>
    <w:rsid w:val="00555D9F"/>
    <w:rsid w:val="00555DCE"/>
    <w:rsid w:val="00555DF6"/>
    <w:rsid w:val="00556125"/>
    <w:rsid w:val="00556153"/>
    <w:rsid w:val="00556198"/>
    <w:rsid w:val="00556C09"/>
    <w:rsid w:val="00556DC5"/>
    <w:rsid w:val="00557035"/>
    <w:rsid w:val="005570CA"/>
    <w:rsid w:val="005572DC"/>
    <w:rsid w:val="0055734A"/>
    <w:rsid w:val="00557396"/>
    <w:rsid w:val="005573E2"/>
    <w:rsid w:val="0055749A"/>
    <w:rsid w:val="005576D2"/>
    <w:rsid w:val="005577E3"/>
    <w:rsid w:val="00557ADB"/>
    <w:rsid w:val="00557E6A"/>
    <w:rsid w:val="00560033"/>
    <w:rsid w:val="005600C4"/>
    <w:rsid w:val="0056010D"/>
    <w:rsid w:val="005607B2"/>
    <w:rsid w:val="00560B75"/>
    <w:rsid w:val="00560EAD"/>
    <w:rsid w:val="00561051"/>
    <w:rsid w:val="005611CB"/>
    <w:rsid w:val="0056132C"/>
    <w:rsid w:val="0056134B"/>
    <w:rsid w:val="005615F6"/>
    <w:rsid w:val="0056194E"/>
    <w:rsid w:val="0056199E"/>
    <w:rsid w:val="00561AB0"/>
    <w:rsid w:val="00561D71"/>
    <w:rsid w:val="00561E2D"/>
    <w:rsid w:val="005621B7"/>
    <w:rsid w:val="00562265"/>
    <w:rsid w:val="005622B5"/>
    <w:rsid w:val="00562507"/>
    <w:rsid w:val="00562600"/>
    <w:rsid w:val="0056278C"/>
    <w:rsid w:val="00562889"/>
    <w:rsid w:val="0056290A"/>
    <w:rsid w:val="00562A10"/>
    <w:rsid w:val="00562A8D"/>
    <w:rsid w:val="00562B2E"/>
    <w:rsid w:val="00562D02"/>
    <w:rsid w:val="00562F30"/>
    <w:rsid w:val="0056300F"/>
    <w:rsid w:val="00563080"/>
    <w:rsid w:val="005638B9"/>
    <w:rsid w:val="005638D5"/>
    <w:rsid w:val="0056395C"/>
    <w:rsid w:val="00563979"/>
    <w:rsid w:val="00563A21"/>
    <w:rsid w:val="00563C5C"/>
    <w:rsid w:val="00563D9A"/>
    <w:rsid w:val="00563DAA"/>
    <w:rsid w:val="00563DB6"/>
    <w:rsid w:val="00564029"/>
    <w:rsid w:val="0056415A"/>
    <w:rsid w:val="005641C2"/>
    <w:rsid w:val="0056431C"/>
    <w:rsid w:val="00564404"/>
    <w:rsid w:val="005644E9"/>
    <w:rsid w:val="005646A5"/>
    <w:rsid w:val="0056471D"/>
    <w:rsid w:val="00564971"/>
    <w:rsid w:val="00564A02"/>
    <w:rsid w:val="00564CE3"/>
    <w:rsid w:val="00564D16"/>
    <w:rsid w:val="00564E77"/>
    <w:rsid w:val="00564FCA"/>
    <w:rsid w:val="00565003"/>
    <w:rsid w:val="005651A3"/>
    <w:rsid w:val="00565206"/>
    <w:rsid w:val="005652C0"/>
    <w:rsid w:val="0056535E"/>
    <w:rsid w:val="005654CC"/>
    <w:rsid w:val="005655D3"/>
    <w:rsid w:val="00565655"/>
    <w:rsid w:val="00565819"/>
    <w:rsid w:val="00565884"/>
    <w:rsid w:val="00565951"/>
    <w:rsid w:val="00565978"/>
    <w:rsid w:val="0056598D"/>
    <w:rsid w:val="00565B59"/>
    <w:rsid w:val="00565DE2"/>
    <w:rsid w:val="00565DFE"/>
    <w:rsid w:val="00565F91"/>
    <w:rsid w:val="005660F8"/>
    <w:rsid w:val="0056619E"/>
    <w:rsid w:val="0056621B"/>
    <w:rsid w:val="005664EC"/>
    <w:rsid w:val="005665D9"/>
    <w:rsid w:val="00566BB4"/>
    <w:rsid w:val="00566BB8"/>
    <w:rsid w:val="00566FED"/>
    <w:rsid w:val="005676EF"/>
    <w:rsid w:val="00567726"/>
    <w:rsid w:val="00567A2B"/>
    <w:rsid w:val="00567B8D"/>
    <w:rsid w:val="00567EF1"/>
    <w:rsid w:val="00567F69"/>
    <w:rsid w:val="0057001D"/>
    <w:rsid w:val="005700AD"/>
    <w:rsid w:val="0057015E"/>
    <w:rsid w:val="005701BC"/>
    <w:rsid w:val="005703F9"/>
    <w:rsid w:val="005705A2"/>
    <w:rsid w:val="00570730"/>
    <w:rsid w:val="00570732"/>
    <w:rsid w:val="005707BB"/>
    <w:rsid w:val="0057081B"/>
    <w:rsid w:val="00570A0E"/>
    <w:rsid w:val="00570BC2"/>
    <w:rsid w:val="00570C29"/>
    <w:rsid w:val="00570DEC"/>
    <w:rsid w:val="0057107A"/>
    <w:rsid w:val="005713E7"/>
    <w:rsid w:val="005718DC"/>
    <w:rsid w:val="00571CC2"/>
    <w:rsid w:val="00571CE5"/>
    <w:rsid w:val="00571D75"/>
    <w:rsid w:val="00572037"/>
    <w:rsid w:val="0057222E"/>
    <w:rsid w:val="0057281F"/>
    <w:rsid w:val="005729AA"/>
    <w:rsid w:val="00572D43"/>
    <w:rsid w:val="00572D59"/>
    <w:rsid w:val="00573041"/>
    <w:rsid w:val="005732A5"/>
    <w:rsid w:val="005733DC"/>
    <w:rsid w:val="0057348D"/>
    <w:rsid w:val="0057360E"/>
    <w:rsid w:val="0057361A"/>
    <w:rsid w:val="005736FC"/>
    <w:rsid w:val="00573832"/>
    <w:rsid w:val="00573C94"/>
    <w:rsid w:val="00573CA3"/>
    <w:rsid w:val="00573D5F"/>
    <w:rsid w:val="00573E7F"/>
    <w:rsid w:val="00573F09"/>
    <w:rsid w:val="005742FF"/>
    <w:rsid w:val="0057447E"/>
    <w:rsid w:val="005744AA"/>
    <w:rsid w:val="00574508"/>
    <w:rsid w:val="00574535"/>
    <w:rsid w:val="0057459D"/>
    <w:rsid w:val="0057485B"/>
    <w:rsid w:val="00574B21"/>
    <w:rsid w:val="00574B79"/>
    <w:rsid w:val="00574C66"/>
    <w:rsid w:val="00574E9D"/>
    <w:rsid w:val="00575117"/>
    <w:rsid w:val="0057528B"/>
    <w:rsid w:val="0057547C"/>
    <w:rsid w:val="005756E2"/>
    <w:rsid w:val="00575776"/>
    <w:rsid w:val="0057581E"/>
    <w:rsid w:val="0057598C"/>
    <w:rsid w:val="00575993"/>
    <w:rsid w:val="00575DDA"/>
    <w:rsid w:val="00575FCE"/>
    <w:rsid w:val="00576184"/>
    <w:rsid w:val="005765DA"/>
    <w:rsid w:val="005766AE"/>
    <w:rsid w:val="005768F8"/>
    <w:rsid w:val="00576924"/>
    <w:rsid w:val="00576958"/>
    <w:rsid w:val="00576971"/>
    <w:rsid w:val="00576C4F"/>
    <w:rsid w:val="00576DE3"/>
    <w:rsid w:val="00576E57"/>
    <w:rsid w:val="00576F8A"/>
    <w:rsid w:val="00576F8B"/>
    <w:rsid w:val="005771C4"/>
    <w:rsid w:val="00577646"/>
    <w:rsid w:val="005777BA"/>
    <w:rsid w:val="005777C5"/>
    <w:rsid w:val="005777CF"/>
    <w:rsid w:val="005779EC"/>
    <w:rsid w:val="00577CD9"/>
    <w:rsid w:val="00577F3B"/>
    <w:rsid w:val="0058018E"/>
    <w:rsid w:val="005804C0"/>
    <w:rsid w:val="005804F2"/>
    <w:rsid w:val="0058063E"/>
    <w:rsid w:val="005806A0"/>
    <w:rsid w:val="00580727"/>
    <w:rsid w:val="005808C5"/>
    <w:rsid w:val="00580A44"/>
    <w:rsid w:val="00580C0F"/>
    <w:rsid w:val="00581207"/>
    <w:rsid w:val="005812C0"/>
    <w:rsid w:val="0058157C"/>
    <w:rsid w:val="00581714"/>
    <w:rsid w:val="005817D6"/>
    <w:rsid w:val="00581CA9"/>
    <w:rsid w:val="00581D48"/>
    <w:rsid w:val="00581E8E"/>
    <w:rsid w:val="005821C8"/>
    <w:rsid w:val="00582493"/>
    <w:rsid w:val="0058250C"/>
    <w:rsid w:val="00582526"/>
    <w:rsid w:val="0058255A"/>
    <w:rsid w:val="0058257B"/>
    <w:rsid w:val="00582828"/>
    <w:rsid w:val="00582A88"/>
    <w:rsid w:val="00582A96"/>
    <w:rsid w:val="00582C59"/>
    <w:rsid w:val="00582CFD"/>
    <w:rsid w:val="00582D26"/>
    <w:rsid w:val="00582D36"/>
    <w:rsid w:val="00582DF4"/>
    <w:rsid w:val="00582EB8"/>
    <w:rsid w:val="005831AD"/>
    <w:rsid w:val="00583375"/>
    <w:rsid w:val="00583429"/>
    <w:rsid w:val="0058351F"/>
    <w:rsid w:val="0058360D"/>
    <w:rsid w:val="00583795"/>
    <w:rsid w:val="005837D8"/>
    <w:rsid w:val="00583AE4"/>
    <w:rsid w:val="00583BB0"/>
    <w:rsid w:val="00583C03"/>
    <w:rsid w:val="005841E8"/>
    <w:rsid w:val="005841EE"/>
    <w:rsid w:val="00584284"/>
    <w:rsid w:val="005845AC"/>
    <w:rsid w:val="005845CA"/>
    <w:rsid w:val="00584610"/>
    <w:rsid w:val="005846BC"/>
    <w:rsid w:val="00584834"/>
    <w:rsid w:val="00584AE6"/>
    <w:rsid w:val="00584BE8"/>
    <w:rsid w:val="00584BEE"/>
    <w:rsid w:val="00584C47"/>
    <w:rsid w:val="00584D1D"/>
    <w:rsid w:val="00584DAB"/>
    <w:rsid w:val="00585015"/>
    <w:rsid w:val="00585246"/>
    <w:rsid w:val="005852D8"/>
    <w:rsid w:val="005857C5"/>
    <w:rsid w:val="00585A12"/>
    <w:rsid w:val="00585BE4"/>
    <w:rsid w:val="00585D1E"/>
    <w:rsid w:val="00585EA6"/>
    <w:rsid w:val="00585F96"/>
    <w:rsid w:val="005863B9"/>
    <w:rsid w:val="00586B8A"/>
    <w:rsid w:val="00586C30"/>
    <w:rsid w:val="00586D0F"/>
    <w:rsid w:val="00586DAD"/>
    <w:rsid w:val="00586F7C"/>
    <w:rsid w:val="00586FE3"/>
    <w:rsid w:val="00587306"/>
    <w:rsid w:val="00587354"/>
    <w:rsid w:val="005873C9"/>
    <w:rsid w:val="00587593"/>
    <w:rsid w:val="0058771A"/>
    <w:rsid w:val="00587C23"/>
    <w:rsid w:val="00587D50"/>
    <w:rsid w:val="00587D5C"/>
    <w:rsid w:val="00587E10"/>
    <w:rsid w:val="00587F87"/>
    <w:rsid w:val="0059006A"/>
    <w:rsid w:val="005903B9"/>
    <w:rsid w:val="00590509"/>
    <w:rsid w:val="00590746"/>
    <w:rsid w:val="0059076F"/>
    <w:rsid w:val="0059078C"/>
    <w:rsid w:val="005908F0"/>
    <w:rsid w:val="00590A19"/>
    <w:rsid w:val="00590CD1"/>
    <w:rsid w:val="00590D2E"/>
    <w:rsid w:val="005910CC"/>
    <w:rsid w:val="00591172"/>
    <w:rsid w:val="00591287"/>
    <w:rsid w:val="005912BA"/>
    <w:rsid w:val="0059155F"/>
    <w:rsid w:val="00591613"/>
    <w:rsid w:val="00591633"/>
    <w:rsid w:val="005917DA"/>
    <w:rsid w:val="0059190A"/>
    <w:rsid w:val="00591923"/>
    <w:rsid w:val="00591F61"/>
    <w:rsid w:val="00592031"/>
    <w:rsid w:val="00592238"/>
    <w:rsid w:val="00592425"/>
    <w:rsid w:val="00592542"/>
    <w:rsid w:val="005925F4"/>
    <w:rsid w:val="005926B8"/>
    <w:rsid w:val="005927CD"/>
    <w:rsid w:val="005928F8"/>
    <w:rsid w:val="005929A3"/>
    <w:rsid w:val="00592EFB"/>
    <w:rsid w:val="00593407"/>
    <w:rsid w:val="005938B3"/>
    <w:rsid w:val="00593A2B"/>
    <w:rsid w:val="005941B4"/>
    <w:rsid w:val="005944C6"/>
    <w:rsid w:val="00594553"/>
    <w:rsid w:val="005945EF"/>
    <w:rsid w:val="005949D5"/>
    <w:rsid w:val="005949FD"/>
    <w:rsid w:val="00594A46"/>
    <w:rsid w:val="00594AC5"/>
    <w:rsid w:val="00594AE7"/>
    <w:rsid w:val="00594B91"/>
    <w:rsid w:val="00594C95"/>
    <w:rsid w:val="00594E84"/>
    <w:rsid w:val="005951B4"/>
    <w:rsid w:val="00595497"/>
    <w:rsid w:val="0059550E"/>
    <w:rsid w:val="00595571"/>
    <w:rsid w:val="00595749"/>
    <w:rsid w:val="0059590A"/>
    <w:rsid w:val="00595D86"/>
    <w:rsid w:val="00595E58"/>
    <w:rsid w:val="00596239"/>
    <w:rsid w:val="00596449"/>
    <w:rsid w:val="005964C4"/>
    <w:rsid w:val="0059659D"/>
    <w:rsid w:val="00596738"/>
    <w:rsid w:val="005967B6"/>
    <w:rsid w:val="005967F3"/>
    <w:rsid w:val="00596856"/>
    <w:rsid w:val="00596973"/>
    <w:rsid w:val="00596AF4"/>
    <w:rsid w:val="00596D0D"/>
    <w:rsid w:val="00596E29"/>
    <w:rsid w:val="00596E68"/>
    <w:rsid w:val="00596E97"/>
    <w:rsid w:val="005970CA"/>
    <w:rsid w:val="005972A9"/>
    <w:rsid w:val="00597387"/>
    <w:rsid w:val="0059750D"/>
    <w:rsid w:val="00597608"/>
    <w:rsid w:val="00597686"/>
    <w:rsid w:val="00597795"/>
    <w:rsid w:val="0059782E"/>
    <w:rsid w:val="0059786F"/>
    <w:rsid w:val="00597B1D"/>
    <w:rsid w:val="00597B1E"/>
    <w:rsid w:val="00597EA4"/>
    <w:rsid w:val="00597EDD"/>
    <w:rsid w:val="005A010C"/>
    <w:rsid w:val="005A01D7"/>
    <w:rsid w:val="005A0431"/>
    <w:rsid w:val="005A04A9"/>
    <w:rsid w:val="005A04B9"/>
    <w:rsid w:val="005A05DB"/>
    <w:rsid w:val="005A07F6"/>
    <w:rsid w:val="005A0926"/>
    <w:rsid w:val="005A0CD3"/>
    <w:rsid w:val="005A0EFE"/>
    <w:rsid w:val="005A1024"/>
    <w:rsid w:val="005A11E5"/>
    <w:rsid w:val="005A1498"/>
    <w:rsid w:val="005A1966"/>
    <w:rsid w:val="005A19EB"/>
    <w:rsid w:val="005A1ACF"/>
    <w:rsid w:val="005A1B43"/>
    <w:rsid w:val="005A1B9A"/>
    <w:rsid w:val="005A1E06"/>
    <w:rsid w:val="005A1FAC"/>
    <w:rsid w:val="005A2149"/>
    <w:rsid w:val="005A2281"/>
    <w:rsid w:val="005A2379"/>
    <w:rsid w:val="005A24E5"/>
    <w:rsid w:val="005A25EF"/>
    <w:rsid w:val="005A26F5"/>
    <w:rsid w:val="005A280B"/>
    <w:rsid w:val="005A2863"/>
    <w:rsid w:val="005A2976"/>
    <w:rsid w:val="005A2985"/>
    <w:rsid w:val="005A2A14"/>
    <w:rsid w:val="005A2D19"/>
    <w:rsid w:val="005A2D9C"/>
    <w:rsid w:val="005A300D"/>
    <w:rsid w:val="005A30B7"/>
    <w:rsid w:val="005A3107"/>
    <w:rsid w:val="005A3266"/>
    <w:rsid w:val="005A3329"/>
    <w:rsid w:val="005A3574"/>
    <w:rsid w:val="005A3594"/>
    <w:rsid w:val="005A35A8"/>
    <w:rsid w:val="005A3A69"/>
    <w:rsid w:val="005A3E74"/>
    <w:rsid w:val="005A3F39"/>
    <w:rsid w:val="005A40A4"/>
    <w:rsid w:val="005A429B"/>
    <w:rsid w:val="005A42C0"/>
    <w:rsid w:val="005A430A"/>
    <w:rsid w:val="005A4495"/>
    <w:rsid w:val="005A4660"/>
    <w:rsid w:val="005A4CE2"/>
    <w:rsid w:val="005A4D96"/>
    <w:rsid w:val="005A4FAE"/>
    <w:rsid w:val="005A5201"/>
    <w:rsid w:val="005A55DF"/>
    <w:rsid w:val="005A5643"/>
    <w:rsid w:val="005A5752"/>
    <w:rsid w:val="005A5774"/>
    <w:rsid w:val="005A5B33"/>
    <w:rsid w:val="005A5B86"/>
    <w:rsid w:val="005A5EAD"/>
    <w:rsid w:val="005A5FDC"/>
    <w:rsid w:val="005A632D"/>
    <w:rsid w:val="005A67E4"/>
    <w:rsid w:val="005A6A8B"/>
    <w:rsid w:val="005A6BC7"/>
    <w:rsid w:val="005A6D71"/>
    <w:rsid w:val="005A6D77"/>
    <w:rsid w:val="005A7233"/>
    <w:rsid w:val="005A723B"/>
    <w:rsid w:val="005A72C5"/>
    <w:rsid w:val="005A72DA"/>
    <w:rsid w:val="005A733A"/>
    <w:rsid w:val="005A73E5"/>
    <w:rsid w:val="005A7413"/>
    <w:rsid w:val="005A7417"/>
    <w:rsid w:val="005A7464"/>
    <w:rsid w:val="005A788C"/>
    <w:rsid w:val="005A7BC6"/>
    <w:rsid w:val="005A7D68"/>
    <w:rsid w:val="005A7FF3"/>
    <w:rsid w:val="005B01D0"/>
    <w:rsid w:val="005B0324"/>
    <w:rsid w:val="005B0415"/>
    <w:rsid w:val="005B0689"/>
    <w:rsid w:val="005B087F"/>
    <w:rsid w:val="005B0CC7"/>
    <w:rsid w:val="005B0EEC"/>
    <w:rsid w:val="005B0FD8"/>
    <w:rsid w:val="005B12BC"/>
    <w:rsid w:val="005B13B5"/>
    <w:rsid w:val="005B15D2"/>
    <w:rsid w:val="005B16C3"/>
    <w:rsid w:val="005B1738"/>
    <w:rsid w:val="005B19DE"/>
    <w:rsid w:val="005B1B95"/>
    <w:rsid w:val="005B1BEA"/>
    <w:rsid w:val="005B1FE3"/>
    <w:rsid w:val="005B2049"/>
    <w:rsid w:val="005B22DA"/>
    <w:rsid w:val="005B2555"/>
    <w:rsid w:val="005B2559"/>
    <w:rsid w:val="005B2665"/>
    <w:rsid w:val="005B2A7E"/>
    <w:rsid w:val="005B2CB7"/>
    <w:rsid w:val="005B2EDB"/>
    <w:rsid w:val="005B331F"/>
    <w:rsid w:val="005B3581"/>
    <w:rsid w:val="005B35E6"/>
    <w:rsid w:val="005B36C2"/>
    <w:rsid w:val="005B38C6"/>
    <w:rsid w:val="005B3C27"/>
    <w:rsid w:val="005B3CB0"/>
    <w:rsid w:val="005B3CC5"/>
    <w:rsid w:val="005B3E98"/>
    <w:rsid w:val="005B4166"/>
    <w:rsid w:val="005B42A5"/>
    <w:rsid w:val="005B439A"/>
    <w:rsid w:val="005B4542"/>
    <w:rsid w:val="005B4A4C"/>
    <w:rsid w:val="005B4BE7"/>
    <w:rsid w:val="005B4CD5"/>
    <w:rsid w:val="005B4DA6"/>
    <w:rsid w:val="005B4DCE"/>
    <w:rsid w:val="005B4EE7"/>
    <w:rsid w:val="005B5059"/>
    <w:rsid w:val="005B5128"/>
    <w:rsid w:val="005B5351"/>
    <w:rsid w:val="005B537D"/>
    <w:rsid w:val="005B5401"/>
    <w:rsid w:val="005B5634"/>
    <w:rsid w:val="005B57EB"/>
    <w:rsid w:val="005B58FD"/>
    <w:rsid w:val="005B5972"/>
    <w:rsid w:val="005B5E50"/>
    <w:rsid w:val="005B5ECB"/>
    <w:rsid w:val="005B5FE9"/>
    <w:rsid w:val="005B5FF1"/>
    <w:rsid w:val="005B6071"/>
    <w:rsid w:val="005B6115"/>
    <w:rsid w:val="005B6330"/>
    <w:rsid w:val="005B63C0"/>
    <w:rsid w:val="005B6810"/>
    <w:rsid w:val="005B6C4D"/>
    <w:rsid w:val="005B6C8A"/>
    <w:rsid w:val="005B6FEC"/>
    <w:rsid w:val="005B7007"/>
    <w:rsid w:val="005B746F"/>
    <w:rsid w:val="005B76C9"/>
    <w:rsid w:val="005B7708"/>
    <w:rsid w:val="005B7751"/>
    <w:rsid w:val="005B78C7"/>
    <w:rsid w:val="005B7C32"/>
    <w:rsid w:val="005B7D56"/>
    <w:rsid w:val="005B7E91"/>
    <w:rsid w:val="005B7F09"/>
    <w:rsid w:val="005B7F89"/>
    <w:rsid w:val="005C0044"/>
    <w:rsid w:val="005C01EA"/>
    <w:rsid w:val="005C05CD"/>
    <w:rsid w:val="005C0683"/>
    <w:rsid w:val="005C0956"/>
    <w:rsid w:val="005C0CEA"/>
    <w:rsid w:val="005C0D3D"/>
    <w:rsid w:val="005C1012"/>
    <w:rsid w:val="005C1200"/>
    <w:rsid w:val="005C1224"/>
    <w:rsid w:val="005C1399"/>
    <w:rsid w:val="005C1509"/>
    <w:rsid w:val="005C15B5"/>
    <w:rsid w:val="005C15EA"/>
    <w:rsid w:val="005C1C9E"/>
    <w:rsid w:val="005C1F37"/>
    <w:rsid w:val="005C1FF6"/>
    <w:rsid w:val="005C2555"/>
    <w:rsid w:val="005C257B"/>
    <w:rsid w:val="005C27FE"/>
    <w:rsid w:val="005C2832"/>
    <w:rsid w:val="005C299F"/>
    <w:rsid w:val="005C2A0D"/>
    <w:rsid w:val="005C2B7B"/>
    <w:rsid w:val="005C2DB0"/>
    <w:rsid w:val="005C2F6C"/>
    <w:rsid w:val="005C3333"/>
    <w:rsid w:val="005C35B1"/>
    <w:rsid w:val="005C35B8"/>
    <w:rsid w:val="005C3701"/>
    <w:rsid w:val="005C37A8"/>
    <w:rsid w:val="005C380B"/>
    <w:rsid w:val="005C3B40"/>
    <w:rsid w:val="005C3BD2"/>
    <w:rsid w:val="005C3C4F"/>
    <w:rsid w:val="005C3C60"/>
    <w:rsid w:val="005C3D4C"/>
    <w:rsid w:val="005C3DA9"/>
    <w:rsid w:val="005C3E06"/>
    <w:rsid w:val="005C3F06"/>
    <w:rsid w:val="005C3FCD"/>
    <w:rsid w:val="005C3FF1"/>
    <w:rsid w:val="005C442E"/>
    <w:rsid w:val="005C4655"/>
    <w:rsid w:val="005C465C"/>
    <w:rsid w:val="005C47C9"/>
    <w:rsid w:val="005C493C"/>
    <w:rsid w:val="005C4A37"/>
    <w:rsid w:val="005C4CBB"/>
    <w:rsid w:val="005C4CF5"/>
    <w:rsid w:val="005C4D06"/>
    <w:rsid w:val="005C4D15"/>
    <w:rsid w:val="005C4F91"/>
    <w:rsid w:val="005C5129"/>
    <w:rsid w:val="005C54BF"/>
    <w:rsid w:val="005C59B4"/>
    <w:rsid w:val="005C6114"/>
    <w:rsid w:val="005C639F"/>
    <w:rsid w:val="005C658C"/>
    <w:rsid w:val="005C6655"/>
    <w:rsid w:val="005C66B4"/>
    <w:rsid w:val="005C6747"/>
    <w:rsid w:val="005C693D"/>
    <w:rsid w:val="005C6955"/>
    <w:rsid w:val="005C6BAD"/>
    <w:rsid w:val="005C6EFF"/>
    <w:rsid w:val="005C736B"/>
    <w:rsid w:val="005C776A"/>
    <w:rsid w:val="005C789E"/>
    <w:rsid w:val="005C794A"/>
    <w:rsid w:val="005C7950"/>
    <w:rsid w:val="005C7D86"/>
    <w:rsid w:val="005C7DBA"/>
    <w:rsid w:val="005C7F20"/>
    <w:rsid w:val="005D0028"/>
    <w:rsid w:val="005D0053"/>
    <w:rsid w:val="005D0415"/>
    <w:rsid w:val="005D0569"/>
    <w:rsid w:val="005D05E2"/>
    <w:rsid w:val="005D06B9"/>
    <w:rsid w:val="005D06EB"/>
    <w:rsid w:val="005D0B13"/>
    <w:rsid w:val="005D0B1C"/>
    <w:rsid w:val="005D0E93"/>
    <w:rsid w:val="005D0F49"/>
    <w:rsid w:val="005D105D"/>
    <w:rsid w:val="005D15BA"/>
    <w:rsid w:val="005D15E4"/>
    <w:rsid w:val="005D15F9"/>
    <w:rsid w:val="005D1913"/>
    <w:rsid w:val="005D1940"/>
    <w:rsid w:val="005D1A95"/>
    <w:rsid w:val="005D1BD7"/>
    <w:rsid w:val="005D1CE9"/>
    <w:rsid w:val="005D1D69"/>
    <w:rsid w:val="005D1ED7"/>
    <w:rsid w:val="005D2133"/>
    <w:rsid w:val="005D227C"/>
    <w:rsid w:val="005D2AF8"/>
    <w:rsid w:val="005D2D3B"/>
    <w:rsid w:val="005D2F0D"/>
    <w:rsid w:val="005D2F67"/>
    <w:rsid w:val="005D3658"/>
    <w:rsid w:val="005D37D4"/>
    <w:rsid w:val="005D389C"/>
    <w:rsid w:val="005D3A07"/>
    <w:rsid w:val="005D3A22"/>
    <w:rsid w:val="005D3B00"/>
    <w:rsid w:val="005D4314"/>
    <w:rsid w:val="005D4638"/>
    <w:rsid w:val="005D4AF1"/>
    <w:rsid w:val="005D4D02"/>
    <w:rsid w:val="005D4D2B"/>
    <w:rsid w:val="005D4D6C"/>
    <w:rsid w:val="005D4DBB"/>
    <w:rsid w:val="005D5119"/>
    <w:rsid w:val="005D5194"/>
    <w:rsid w:val="005D5250"/>
    <w:rsid w:val="005D566F"/>
    <w:rsid w:val="005D570C"/>
    <w:rsid w:val="005D576D"/>
    <w:rsid w:val="005D5803"/>
    <w:rsid w:val="005D590E"/>
    <w:rsid w:val="005D5B8C"/>
    <w:rsid w:val="005D5C5C"/>
    <w:rsid w:val="005D5E10"/>
    <w:rsid w:val="005D60AD"/>
    <w:rsid w:val="005D61C8"/>
    <w:rsid w:val="005D6355"/>
    <w:rsid w:val="005D6691"/>
    <w:rsid w:val="005D66F5"/>
    <w:rsid w:val="005D686D"/>
    <w:rsid w:val="005D696F"/>
    <w:rsid w:val="005D69A9"/>
    <w:rsid w:val="005D6AD7"/>
    <w:rsid w:val="005D6CE6"/>
    <w:rsid w:val="005D6F38"/>
    <w:rsid w:val="005D712A"/>
    <w:rsid w:val="005D74A2"/>
    <w:rsid w:val="005D7679"/>
    <w:rsid w:val="005D79A6"/>
    <w:rsid w:val="005D7B63"/>
    <w:rsid w:val="005D7C51"/>
    <w:rsid w:val="005D7EFE"/>
    <w:rsid w:val="005E0016"/>
    <w:rsid w:val="005E0183"/>
    <w:rsid w:val="005E0302"/>
    <w:rsid w:val="005E070B"/>
    <w:rsid w:val="005E08CB"/>
    <w:rsid w:val="005E0972"/>
    <w:rsid w:val="005E0A67"/>
    <w:rsid w:val="005E0B36"/>
    <w:rsid w:val="005E0B8F"/>
    <w:rsid w:val="005E0D83"/>
    <w:rsid w:val="005E0D8C"/>
    <w:rsid w:val="005E0E2E"/>
    <w:rsid w:val="005E0E4F"/>
    <w:rsid w:val="005E10E3"/>
    <w:rsid w:val="005E128F"/>
    <w:rsid w:val="005E1299"/>
    <w:rsid w:val="005E156C"/>
    <w:rsid w:val="005E16FE"/>
    <w:rsid w:val="005E1840"/>
    <w:rsid w:val="005E188C"/>
    <w:rsid w:val="005E1B82"/>
    <w:rsid w:val="005E1D4B"/>
    <w:rsid w:val="005E2220"/>
    <w:rsid w:val="005E2234"/>
    <w:rsid w:val="005E27E0"/>
    <w:rsid w:val="005E2819"/>
    <w:rsid w:val="005E28E1"/>
    <w:rsid w:val="005E2927"/>
    <w:rsid w:val="005E2DDB"/>
    <w:rsid w:val="005E2E60"/>
    <w:rsid w:val="005E2FF8"/>
    <w:rsid w:val="005E3080"/>
    <w:rsid w:val="005E30E0"/>
    <w:rsid w:val="005E314D"/>
    <w:rsid w:val="005E322F"/>
    <w:rsid w:val="005E3269"/>
    <w:rsid w:val="005E35AA"/>
    <w:rsid w:val="005E363E"/>
    <w:rsid w:val="005E36A0"/>
    <w:rsid w:val="005E36A1"/>
    <w:rsid w:val="005E3A57"/>
    <w:rsid w:val="005E3A85"/>
    <w:rsid w:val="005E3AA7"/>
    <w:rsid w:val="005E3C54"/>
    <w:rsid w:val="005E3C8D"/>
    <w:rsid w:val="005E3F65"/>
    <w:rsid w:val="005E4274"/>
    <w:rsid w:val="005E4379"/>
    <w:rsid w:val="005E43EC"/>
    <w:rsid w:val="005E462E"/>
    <w:rsid w:val="005E486F"/>
    <w:rsid w:val="005E489D"/>
    <w:rsid w:val="005E48FA"/>
    <w:rsid w:val="005E4972"/>
    <w:rsid w:val="005E4AAE"/>
    <w:rsid w:val="005E4B60"/>
    <w:rsid w:val="005E4F03"/>
    <w:rsid w:val="005E5225"/>
    <w:rsid w:val="005E533B"/>
    <w:rsid w:val="005E547A"/>
    <w:rsid w:val="005E571E"/>
    <w:rsid w:val="005E57AE"/>
    <w:rsid w:val="005E584D"/>
    <w:rsid w:val="005E58B9"/>
    <w:rsid w:val="005E5BA7"/>
    <w:rsid w:val="005E5C0E"/>
    <w:rsid w:val="005E5D27"/>
    <w:rsid w:val="005E5D7D"/>
    <w:rsid w:val="005E5DE9"/>
    <w:rsid w:val="005E6103"/>
    <w:rsid w:val="005E621D"/>
    <w:rsid w:val="005E63A2"/>
    <w:rsid w:val="005E671E"/>
    <w:rsid w:val="005E674F"/>
    <w:rsid w:val="005E6758"/>
    <w:rsid w:val="005E67C0"/>
    <w:rsid w:val="005E67E7"/>
    <w:rsid w:val="005E695A"/>
    <w:rsid w:val="005E6A94"/>
    <w:rsid w:val="005E6AF3"/>
    <w:rsid w:val="005E6C47"/>
    <w:rsid w:val="005E7121"/>
    <w:rsid w:val="005E735E"/>
    <w:rsid w:val="005E73C4"/>
    <w:rsid w:val="005E7593"/>
    <w:rsid w:val="005E77EF"/>
    <w:rsid w:val="005E7893"/>
    <w:rsid w:val="005E7895"/>
    <w:rsid w:val="005E78E8"/>
    <w:rsid w:val="005E79BD"/>
    <w:rsid w:val="005E79C2"/>
    <w:rsid w:val="005E7A59"/>
    <w:rsid w:val="005F0187"/>
    <w:rsid w:val="005F0227"/>
    <w:rsid w:val="005F0791"/>
    <w:rsid w:val="005F080D"/>
    <w:rsid w:val="005F0D1E"/>
    <w:rsid w:val="005F0E13"/>
    <w:rsid w:val="005F0EB6"/>
    <w:rsid w:val="005F0F17"/>
    <w:rsid w:val="005F10CF"/>
    <w:rsid w:val="005F12C0"/>
    <w:rsid w:val="005F1471"/>
    <w:rsid w:val="005F153B"/>
    <w:rsid w:val="005F1A69"/>
    <w:rsid w:val="005F1F5D"/>
    <w:rsid w:val="005F227B"/>
    <w:rsid w:val="005F2A86"/>
    <w:rsid w:val="005F2BEE"/>
    <w:rsid w:val="005F2C98"/>
    <w:rsid w:val="005F30BA"/>
    <w:rsid w:val="005F329A"/>
    <w:rsid w:val="005F34EA"/>
    <w:rsid w:val="005F3736"/>
    <w:rsid w:val="005F3798"/>
    <w:rsid w:val="005F381B"/>
    <w:rsid w:val="005F3AC5"/>
    <w:rsid w:val="005F3AF4"/>
    <w:rsid w:val="005F3BD6"/>
    <w:rsid w:val="005F3C9B"/>
    <w:rsid w:val="005F3D61"/>
    <w:rsid w:val="005F4037"/>
    <w:rsid w:val="005F436B"/>
    <w:rsid w:val="005F43B6"/>
    <w:rsid w:val="005F43E1"/>
    <w:rsid w:val="005F464C"/>
    <w:rsid w:val="005F4788"/>
    <w:rsid w:val="005F4B4F"/>
    <w:rsid w:val="005F4D28"/>
    <w:rsid w:val="005F4E2B"/>
    <w:rsid w:val="005F4E8E"/>
    <w:rsid w:val="005F5014"/>
    <w:rsid w:val="005F5064"/>
    <w:rsid w:val="005F575A"/>
    <w:rsid w:val="005F57BA"/>
    <w:rsid w:val="005F583F"/>
    <w:rsid w:val="005F584A"/>
    <w:rsid w:val="005F586E"/>
    <w:rsid w:val="005F5A6E"/>
    <w:rsid w:val="005F5B45"/>
    <w:rsid w:val="005F5B5D"/>
    <w:rsid w:val="005F5C94"/>
    <w:rsid w:val="005F5E52"/>
    <w:rsid w:val="005F5FE3"/>
    <w:rsid w:val="005F6090"/>
    <w:rsid w:val="005F61A8"/>
    <w:rsid w:val="005F628B"/>
    <w:rsid w:val="005F63C7"/>
    <w:rsid w:val="005F64BC"/>
    <w:rsid w:val="005F6508"/>
    <w:rsid w:val="005F65D8"/>
    <w:rsid w:val="005F667E"/>
    <w:rsid w:val="005F66B5"/>
    <w:rsid w:val="005F68D7"/>
    <w:rsid w:val="005F6A83"/>
    <w:rsid w:val="005F6A96"/>
    <w:rsid w:val="005F6B61"/>
    <w:rsid w:val="005F6C6D"/>
    <w:rsid w:val="005F6E4B"/>
    <w:rsid w:val="005F6E56"/>
    <w:rsid w:val="005F717E"/>
    <w:rsid w:val="005F72A7"/>
    <w:rsid w:val="005F7646"/>
    <w:rsid w:val="005F7840"/>
    <w:rsid w:val="005F7A8C"/>
    <w:rsid w:val="005F7B6A"/>
    <w:rsid w:val="005F7BD0"/>
    <w:rsid w:val="005F7CA5"/>
    <w:rsid w:val="00600264"/>
    <w:rsid w:val="00600406"/>
    <w:rsid w:val="00600A10"/>
    <w:rsid w:val="00600A96"/>
    <w:rsid w:val="00600DEE"/>
    <w:rsid w:val="00600E20"/>
    <w:rsid w:val="00600F16"/>
    <w:rsid w:val="00600FA6"/>
    <w:rsid w:val="00601079"/>
    <w:rsid w:val="0060115E"/>
    <w:rsid w:val="00601483"/>
    <w:rsid w:val="00601846"/>
    <w:rsid w:val="006019CB"/>
    <w:rsid w:val="00601AE3"/>
    <w:rsid w:val="00601D92"/>
    <w:rsid w:val="00601F43"/>
    <w:rsid w:val="0060206C"/>
    <w:rsid w:val="0060209A"/>
    <w:rsid w:val="00602142"/>
    <w:rsid w:val="00602392"/>
    <w:rsid w:val="006023A2"/>
    <w:rsid w:val="00602462"/>
    <w:rsid w:val="006024EE"/>
    <w:rsid w:val="00602747"/>
    <w:rsid w:val="00602752"/>
    <w:rsid w:val="00602AE4"/>
    <w:rsid w:val="0060304A"/>
    <w:rsid w:val="00603222"/>
    <w:rsid w:val="0060322C"/>
    <w:rsid w:val="0060334C"/>
    <w:rsid w:val="00603482"/>
    <w:rsid w:val="006034C0"/>
    <w:rsid w:val="006034DB"/>
    <w:rsid w:val="00603563"/>
    <w:rsid w:val="00603897"/>
    <w:rsid w:val="0060392E"/>
    <w:rsid w:val="00603971"/>
    <w:rsid w:val="00603A52"/>
    <w:rsid w:val="00603B14"/>
    <w:rsid w:val="00603B9E"/>
    <w:rsid w:val="00603C96"/>
    <w:rsid w:val="00603E38"/>
    <w:rsid w:val="006046EF"/>
    <w:rsid w:val="006046F0"/>
    <w:rsid w:val="00604BEF"/>
    <w:rsid w:val="00604C60"/>
    <w:rsid w:val="0060547E"/>
    <w:rsid w:val="00605511"/>
    <w:rsid w:val="00605526"/>
    <w:rsid w:val="00605538"/>
    <w:rsid w:val="006055E6"/>
    <w:rsid w:val="0060561A"/>
    <w:rsid w:val="00605751"/>
    <w:rsid w:val="006057CC"/>
    <w:rsid w:val="00605801"/>
    <w:rsid w:val="00605C03"/>
    <w:rsid w:val="00605EC9"/>
    <w:rsid w:val="006060FC"/>
    <w:rsid w:val="00606387"/>
    <w:rsid w:val="0060640E"/>
    <w:rsid w:val="0060681D"/>
    <w:rsid w:val="00606AFE"/>
    <w:rsid w:val="00606B81"/>
    <w:rsid w:val="006072BB"/>
    <w:rsid w:val="006072C4"/>
    <w:rsid w:val="0060738B"/>
    <w:rsid w:val="00607490"/>
    <w:rsid w:val="00607494"/>
    <w:rsid w:val="00607672"/>
    <w:rsid w:val="006078DE"/>
    <w:rsid w:val="00607A7F"/>
    <w:rsid w:val="00607B93"/>
    <w:rsid w:val="00607D8B"/>
    <w:rsid w:val="00607F62"/>
    <w:rsid w:val="00610008"/>
    <w:rsid w:val="00610057"/>
    <w:rsid w:val="00610220"/>
    <w:rsid w:val="00610296"/>
    <w:rsid w:val="006104D8"/>
    <w:rsid w:val="00610B0F"/>
    <w:rsid w:val="00610DB1"/>
    <w:rsid w:val="00610FCE"/>
    <w:rsid w:val="006110BF"/>
    <w:rsid w:val="0061118B"/>
    <w:rsid w:val="006111B5"/>
    <w:rsid w:val="00611239"/>
    <w:rsid w:val="006114DE"/>
    <w:rsid w:val="00611694"/>
    <w:rsid w:val="006119AA"/>
    <w:rsid w:val="006119E6"/>
    <w:rsid w:val="00611C1E"/>
    <w:rsid w:val="00611C63"/>
    <w:rsid w:val="00611D91"/>
    <w:rsid w:val="00611E19"/>
    <w:rsid w:val="00612354"/>
    <w:rsid w:val="0061264B"/>
    <w:rsid w:val="006127BF"/>
    <w:rsid w:val="006127C2"/>
    <w:rsid w:val="006127CF"/>
    <w:rsid w:val="00612CD7"/>
    <w:rsid w:val="0061308F"/>
    <w:rsid w:val="006132B0"/>
    <w:rsid w:val="00613744"/>
    <w:rsid w:val="006137CC"/>
    <w:rsid w:val="006137D6"/>
    <w:rsid w:val="00613986"/>
    <w:rsid w:val="00613C5E"/>
    <w:rsid w:val="00613C71"/>
    <w:rsid w:val="00613DCF"/>
    <w:rsid w:val="00613ECF"/>
    <w:rsid w:val="00613F8E"/>
    <w:rsid w:val="00614070"/>
    <w:rsid w:val="00614299"/>
    <w:rsid w:val="006144D3"/>
    <w:rsid w:val="006146DC"/>
    <w:rsid w:val="006148AD"/>
    <w:rsid w:val="00614B78"/>
    <w:rsid w:val="00614E05"/>
    <w:rsid w:val="00614E11"/>
    <w:rsid w:val="00614E86"/>
    <w:rsid w:val="00614F6E"/>
    <w:rsid w:val="00615194"/>
    <w:rsid w:val="00615249"/>
    <w:rsid w:val="00615664"/>
    <w:rsid w:val="0061583E"/>
    <w:rsid w:val="006158F5"/>
    <w:rsid w:val="00615BCD"/>
    <w:rsid w:val="00615DCE"/>
    <w:rsid w:val="00615E2B"/>
    <w:rsid w:val="00615EFD"/>
    <w:rsid w:val="00615F5E"/>
    <w:rsid w:val="0061609C"/>
    <w:rsid w:val="006160C2"/>
    <w:rsid w:val="006163D4"/>
    <w:rsid w:val="0061641D"/>
    <w:rsid w:val="006164CB"/>
    <w:rsid w:val="00616738"/>
    <w:rsid w:val="00616811"/>
    <w:rsid w:val="00616886"/>
    <w:rsid w:val="00616CDD"/>
    <w:rsid w:val="00616D52"/>
    <w:rsid w:val="00616D6E"/>
    <w:rsid w:val="00616E1F"/>
    <w:rsid w:val="00616EBD"/>
    <w:rsid w:val="00617047"/>
    <w:rsid w:val="0061708B"/>
    <w:rsid w:val="00617377"/>
    <w:rsid w:val="00617467"/>
    <w:rsid w:val="006174E8"/>
    <w:rsid w:val="00617546"/>
    <w:rsid w:val="00617861"/>
    <w:rsid w:val="0061793F"/>
    <w:rsid w:val="006179B8"/>
    <w:rsid w:val="00617AEC"/>
    <w:rsid w:val="00617D8C"/>
    <w:rsid w:val="00617F2A"/>
    <w:rsid w:val="00620076"/>
    <w:rsid w:val="006200D3"/>
    <w:rsid w:val="0062025F"/>
    <w:rsid w:val="006202BD"/>
    <w:rsid w:val="006202BE"/>
    <w:rsid w:val="006204FE"/>
    <w:rsid w:val="00620955"/>
    <w:rsid w:val="00620B25"/>
    <w:rsid w:val="00620BE7"/>
    <w:rsid w:val="00620D06"/>
    <w:rsid w:val="00620D25"/>
    <w:rsid w:val="00620E2B"/>
    <w:rsid w:val="00620F13"/>
    <w:rsid w:val="00621094"/>
    <w:rsid w:val="00621290"/>
    <w:rsid w:val="00621441"/>
    <w:rsid w:val="0062157E"/>
    <w:rsid w:val="006216FF"/>
    <w:rsid w:val="006219C2"/>
    <w:rsid w:val="00621F84"/>
    <w:rsid w:val="0062209D"/>
    <w:rsid w:val="00622117"/>
    <w:rsid w:val="00622198"/>
    <w:rsid w:val="006221C9"/>
    <w:rsid w:val="006221CA"/>
    <w:rsid w:val="006223FC"/>
    <w:rsid w:val="006224D2"/>
    <w:rsid w:val="00622ABC"/>
    <w:rsid w:val="00622B0F"/>
    <w:rsid w:val="00622DEA"/>
    <w:rsid w:val="00622FC5"/>
    <w:rsid w:val="0062304F"/>
    <w:rsid w:val="006230C5"/>
    <w:rsid w:val="0062354F"/>
    <w:rsid w:val="00623D9A"/>
    <w:rsid w:val="006248DE"/>
    <w:rsid w:val="0062493D"/>
    <w:rsid w:val="00624B7F"/>
    <w:rsid w:val="00624D76"/>
    <w:rsid w:val="00624D93"/>
    <w:rsid w:val="0062509A"/>
    <w:rsid w:val="006251A5"/>
    <w:rsid w:val="006252A6"/>
    <w:rsid w:val="006255FE"/>
    <w:rsid w:val="0062584B"/>
    <w:rsid w:val="006258A0"/>
    <w:rsid w:val="006259C7"/>
    <w:rsid w:val="00625ACB"/>
    <w:rsid w:val="00625B67"/>
    <w:rsid w:val="00625BAF"/>
    <w:rsid w:val="00625C4E"/>
    <w:rsid w:val="00625DF1"/>
    <w:rsid w:val="00625EC9"/>
    <w:rsid w:val="0062617F"/>
    <w:rsid w:val="006262F9"/>
    <w:rsid w:val="00626322"/>
    <w:rsid w:val="006263A5"/>
    <w:rsid w:val="006264CE"/>
    <w:rsid w:val="00626665"/>
    <w:rsid w:val="00626942"/>
    <w:rsid w:val="00626D38"/>
    <w:rsid w:val="00626F33"/>
    <w:rsid w:val="00626FAC"/>
    <w:rsid w:val="00627003"/>
    <w:rsid w:val="006279D1"/>
    <w:rsid w:val="00627A94"/>
    <w:rsid w:val="00627C80"/>
    <w:rsid w:val="00627EB4"/>
    <w:rsid w:val="00630074"/>
    <w:rsid w:val="0063021C"/>
    <w:rsid w:val="006303D2"/>
    <w:rsid w:val="0063049F"/>
    <w:rsid w:val="0063054A"/>
    <w:rsid w:val="006305B6"/>
    <w:rsid w:val="0063069C"/>
    <w:rsid w:val="00630742"/>
    <w:rsid w:val="00630D51"/>
    <w:rsid w:val="00630D7B"/>
    <w:rsid w:val="00631072"/>
    <w:rsid w:val="00631125"/>
    <w:rsid w:val="006312BB"/>
    <w:rsid w:val="006313BA"/>
    <w:rsid w:val="00631400"/>
    <w:rsid w:val="006315B8"/>
    <w:rsid w:val="00631E04"/>
    <w:rsid w:val="00631E3E"/>
    <w:rsid w:val="00631EF5"/>
    <w:rsid w:val="0063201E"/>
    <w:rsid w:val="00632053"/>
    <w:rsid w:val="006320BA"/>
    <w:rsid w:val="006321C4"/>
    <w:rsid w:val="006323CF"/>
    <w:rsid w:val="00632416"/>
    <w:rsid w:val="00632449"/>
    <w:rsid w:val="0063258E"/>
    <w:rsid w:val="00632833"/>
    <w:rsid w:val="00632866"/>
    <w:rsid w:val="00632AC1"/>
    <w:rsid w:val="00632DCE"/>
    <w:rsid w:val="00632F54"/>
    <w:rsid w:val="00633135"/>
    <w:rsid w:val="00633144"/>
    <w:rsid w:val="00633191"/>
    <w:rsid w:val="006331CF"/>
    <w:rsid w:val="00633425"/>
    <w:rsid w:val="006336B3"/>
    <w:rsid w:val="006336EB"/>
    <w:rsid w:val="006336F5"/>
    <w:rsid w:val="00633854"/>
    <w:rsid w:val="00633936"/>
    <w:rsid w:val="00633B83"/>
    <w:rsid w:val="00633EEB"/>
    <w:rsid w:val="00633FAF"/>
    <w:rsid w:val="006342DB"/>
    <w:rsid w:val="006346C4"/>
    <w:rsid w:val="0063473D"/>
    <w:rsid w:val="006347B3"/>
    <w:rsid w:val="00634A1B"/>
    <w:rsid w:val="00634AAC"/>
    <w:rsid w:val="00634AD6"/>
    <w:rsid w:val="00634CBE"/>
    <w:rsid w:val="00634D29"/>
    <w:rsid w:val="00634E21"/>
    <w:rsid w:val="00634EF8"/>
    <w:rsid w:val="00635028"/>
    <w:rsid w:val="00635741"/>
    <w:rsid w:val="006357D6"/>
    <w:rsid w:val="00635A52"/>
    <w:rsid w:val="00635D07"/>
    <w:rsid w:val="00635E55"/>
    <w:rsid w:val="00636064"/>
    <w:rsid w:val="006360D2"/>
    <w:rsid w:val="006360F2"/>
    <w:rsid w:val="0063617D"/>
    <w:rsid w:val="006362F4"/>
    <w:rsid w:val="0063630E"/>
    <w:rsid w:val="0063633B"/>
    <w:rsid w:val="00636451"/>
    <w:rsid w:val="00636719"/>
    <w:rsid w:val="00636BF3"/>
    <w:rsid w:val="00636D4B"/>
    <w:rsid w:val="00636F0D"/>
    <w:rsid w:val="00637167"/>
    <w:rsid w:val="0063719E"/>
    <w:rsid w:val="006371A9"/>
    <w:rsid w:val="006371C0"/>
    <w:rsid w:val="006373DE"/>
    <w:rsid w:val="00637B8E"/>
    <w:rsid w:val="00637CFA"/>
    <w:rsid w:val="00637F34"/>
    <w:rsid w:val="0064040E"/>
    <w:rsid w:val="006404D8"/>
    <w:rsid w:val="00640586"/>
    <w:rsid w:val="00640882"/>
    <w:rsid w:val="00640B37"/>
    <w:rsid w:val="00640C1C"/>
    <w:rsid w:val="00640EFB"/>
    <w:rsid w:val="006410C7"/>
    <w:rsid w:val="0064126C"/>
    <w:rsid w:val="00641369"/>
    <w:rsid w:val="00641456"/>
    <w:rsid w:val="00641474"/>
    <w:rsid w:val="006416BE"/>
    <w:rsid w:val="00641794"/>
    <w:rsid w:val="006417B8"/>
    <w:rsid w:val="00642115"/>
    <w:rsid w:val="0064215E"/>
    <w:rsid w:val="00642218"/>
    <w:rsid w:val="006422F1"/>
    <w:rsid w:val="00642567"/>
    <w:rsid w:val="0064256B"/>
    <w:rsid w:val="00642659"/>
    <w:rsid w:val="00642702"/>
    <w:rsid w:val="006427E1"/>
    <w:rsid w:val="00642939"/>
    <w:rsid w:val="00642993"/>
    <w:rsid w:val="00642B53"/>
    <w:rsid w:val="00642E37"/>
    <w:rsid w:val="00643190"/>
    <w:rsid w:val="006431A3"/>
    <w:rsid w:val="00643278"/>
    <w:rsid w:val="006432E9"/>
    <w:rsid w:val="006434AC"/>
    <w:rsid w:val="0064364C"/>
    <w:rsid w:val="0064369F"/>
    <w:rsid w:val="00643857"/>
    <w:rsid w:val="00643957"/>
    <w:rsid w:val="00643DF6"/>
    <w:rsid w:val="00643EBD"/>
    <w:rsid w:val="00644000"/>
    <w:rsid w:val="0064402F"/>
    <w:rsid w:val="006440E5"/>
    <w:rsid w:val="006442A6"/>
    <w:rsid w:val="006443EE"/>
    <w:rsid w:val="006444D2"/>
    <w:rsid w:val="00644629"/>
    <w:rsid w:val="00644642"/>
    <w:rsid w:val="006446AC"/>
    <w:rsid w:val="00644723"/>
    <w:rsid w:val="006447CE"/>
    <w:rsid w:val="006447F5"/>
    <w:rsid w:val="0064498C"/>
    <w:rsid w:val="006449C8"/>
    <w:rsid w:val="006449E0"/>
    <w:rsid w:val="00644AB9"/>
    <w:rsid w:val="00644ADB"/>
    <w:rsid w:val="00645131"/>
    <w:rsid w:val="006451CF"/>
    <w:rsid w:val="006452AF"/>
    <w:rsid w:val="006452BE"/>
    <w:rsid w:val="006452F2"/>
    <w:rsid w:val="0064568A"/>
    <w:rsid w:val="006457A7"/>
    <w:rsid w:val="00645C3B"/>
    <w:rsid w:val="00645D4D"/>
    <w:rsid w:val="00645EB2"/>
    <w:rsid w:val="00645F9F"/>
    <w:rsid w:val="006461D5"/>
    <w:rsid w:val="00646283"/>
    <w:rsid w:val="00646446"/>
    <w:rsid w:val="006464ED"/>
    <w:rsid w:val="00646741"/>
    <w:rsid w:val="00646DA7"/>
    <w:rsid w:val="00646E6C"/>
    <w:rsid w:val="006470A8"/>
    <w:rsid w:val="0064712B"/>
    <w:rsid w:val="006471FB"/>
    <w:rsid w:val="00647A3A"/>
    <w:rsid w:val="00647A84"/>
    <w:rsid w:val="00647B7F"/>
    <w:rsid w:val="00647D81"/>
    <w:rsid w:val="00647E91"/>
    <w:rsid w:val="00647F63"/>
    <w:rsid w:val="00647FF1"/>
    <w:rsid w:val="00650185"/>
    <w:rsid w:val="00650206"/>
    <w:rsid w:val="0065022F"/>
    <w:rsid w:val="00650286"/>
    <w:rsid w:val="006503F4"/>
    <w:rsid w:val="00650601"/>
    <w:rsid w:val="006508A2"/>
    <w:rsid w:val="00650968"/>
    <w:rsid w:val="00650D41"/>
    <w:rsid w:val="00650E59"/>
    <w:rsid w:val="00651319"/>
    <w:rsid w:val="006513D2"/>
    <w:rsid w:val="00651404"/>
    <w:rsid w:val="0065174F"/>
    <w:rsid w:val="00651802"/>
    <w:rsid w:val="00651A9D"/>
    <w:rsid w:val="00651AD6"/>
    <w:rsid w:val="00651CD1"/>
    <w:rsid w:val="00651E82"/>
    <w:rsid w:val="00651E8F"/>
    <w:rsid w:val="00651EFC"/>
    <w:rsid w:val="006521B7"/>
    <w:rsid w:val="0065278D"/>
    <w:rsid w:val="00652A10"/>
    <w:rsid w:val="00652A32"/>
    <w:rsid w:val="00652CAF"/>
    <w:rsid w:val="00652DFC"/>
    <w:rsid w:val="00652FD2"/>
    <w:rsid w:val="00653128"/>
    <w:rsid w:val="00653226"/>
    <w:rsid w:val="006532E5"/>
    <w:rsid w:val="006533AB"/>
    <w:rsid w:val="006533F7"/>
    <w:rsid w:val="00653447"/>
    <w:rsid w:val="0065387D"/>
    <w:rsid w:val="006538D9"/>
    <w:rsid w:val="00653A9B"/>
    <w:rsid w:val="00653B62"/>
    <w:rsid w:val="00653C62"/>
    <w:rsid w:val="00653DD3"/>
    <w:rsid w:val="00653E4A"/>
    <w:rsid w:val="0065425B"/>
    <w:rsid w:val="00654266"/>
    <w:rsid w:val="0065429F"/>
    <w:rsid w:val="00654372"/>
    <w:rsid w:val="00654567"/>
    <w:rsid w:val="00654AFF"/>
    <w:rsid w:val="00654B6B"/>
    <w:rsid w:val="00654B84"/>
    <w:rsid w:val="00654B8C"/>
    <w:rsid w:val="00654BE0"/>
    <w:rsid w:val="00654C06"/>
    <w:rsid w:val="00654DA9"/>
    <w:rsid w:val="00654E50"/>
    <w:rsid w:val="00654ECF"/>
    <w:rsid w:val="00655151"/>
    <w:rsid w:val="006551C5"/>
    <w:rsid w:val="0065526B"/>
    <w:rsid w:val="0065538B"/>
    <w:rsid w:val="00655393"/>
    <w:rsid w:val="0065599F"/>
    <w:rsid w:val="00655BEC"/>
    <w:rsid w:val="00655BEF"/>
    <w:rsid w:val="00655C84"/>
    <w:rsid w:val="00655D17"/>
    <w:rsid w:val="00655E61"/>
    <w:rsid w:val="006561DB"/>
    <w:rsid w:val="00656628"/>
    <w:rsid w:val="00656662"/>
    <w:rsid w:val="0065670D"/>
    <w:rsid w:val="00656907"/>
    <w:rsid w:val="00656AA1"/>
    <w:rsid w:val="00656B9D"/>
    <w:rsid w:val="00656BA0"/>
    <w:rsid w:val="00656E13"/>
    <w:rsid w:val="00656E50"/>
    <w:rsid w:val="00656EB7"/>
    <w:rsid w:val="0065713C"/>
    <w:rsid w:val="0065747D"/>
    <w:rsid w:val="0065753A"/>
    <w:rsid w:val="00657A45"/>
    <w:rsid w:val="00657AA8"/>
    <w:rsid w:val="00657B88"/>
    <w:rsid w:val="00657E10"/>
    <w:rsid w:val="00657F0A"/>
    <w:rsid w:val="006600D7"/>
    <w:rsid w:val="0066018F"/>
    <w:rsid w:val="006601B0"/>
    <w:rsid w:val="00660341"/>
    <w:rsid w:val="006603B6"/>
    <w:rsid w:val="00660454"/>
    <w:rsid w:val="006604E2"/>
    <w:rsid w:val="006607CC"/>
    <w:rsid w:val="00660A68"/>
    <w:rsid w:val="00660B09"/>
    <w:rsid w:val="00660BD6"/>
    <w:rsid w:val="00660C1A"/>
    <w:rsid w:val="006610FE"/>
    <w:rsid w:val="00661223"/>
    <w:rsid w:val="006613DA"/>
    <w:rsid w:val="00661550"/>
    <w:rsid w:val="00661634"/>
    <w:rsid w:val="0066169C"/>
    <w:rsid w:val="006616A4"/>
    <w:rsid w:val="00661768"/>
    <w:rsid w:val="006617B3"/>
    <w:rsid w:val="00661990"/>
    <w:rsid w:val="00661993"/>
    <w:rsid w:val="00661AB4"/>
    <w:rsid w:val="00661B36"/>
    <w:rsid w:val="00661E22"/>
    <w:rsid w:val="00661EF7"/>
    <w:rsid w:val="00661F67"/>
    <w:rsid w:val="00662117"/>
    <w:rsid w:val="0066233B"/>
    <w:rsid w:val="00662433"/>
    <w:rsid w:val="006626EE"/>
    <w:rsid w:val="00662801"/>
    <w:rsid w:val="0066292F"/>
    <w:rsid w:val="00662A2A"/>
    <w:rsid w:val="00662C17"/>
    <w:rsid w:val="00662CA4"/>
    <w:rsid w:val="00662CEE"/>
    <w:rsid w:val="00662D59"/>
    <w:rsid w:val="00662D92"/>
    <w:rsid w:val="00662DE7"/>
    <w:rsid w:val="00662F3E"/>
    <w:rsid w:val="00662FB8"/>
    <w:rsid w:val="00663186"/>
    <w:rsid w:val="0066349E"/>
    <w:rsid w:val="00663537"/>
    <w:rsid w:val="00663937"/>
    <w:rsid w:val="0066395A"/>
    <w:rsid w:val="0066398C"/>
    <w:rsid w:val="00663A3A"/>
    <w:rsid w:val="00663CED"/>
    <w:rsid w:val="00664235"/>
    <w:rsid w:val="006647A6"/>
    <w:rsid w:val="0066496B"/>
    <w:rsid w:val="00664AC3"/>
    <w:rsid w:val="00664DB3"/>
    <w:rsid w:val="00665143"/>
    <w:rsid w:val="00665243"/>
    <w:rsid w:val="006653AC"/>
    <w:rsid w:val="006657AB"/>
    <w:rsid w:val="006658F0"/>
    <w:rsid w:val="00665967"/>
    <w:rsid w:val="00665A99"/>
    <w:rsid w:val="00665B11"/>
    <w:rsid w:val="00665B95"/>
    <w:rsid w:val="00665BBB"/>
    <w:rsid w:val="00665C53"/>
    <w:rsid w:val="00666076"/>
    <w:rsid w:val="00666451"/>
    <w:rsid w:val="0066660A"/>
    <w:rsid w:val="006666FE"/>
    <w:rsid w:val="0066679A"/>
    <w:rsid w:val="006667FC"/>
    <w:rsid w:val="00666B1B"/>
    <w:rsid w:val="00666B70"/>
    <w:rsid w:val="00666B8D"/>
    <w:rsid w:val="00666D4D"/>
    <w:rsid w:val="00666DA4"/>
    <w:rsid w:val="00666F16"/>
    <w:rsid w:val="00666FD0"/>
    <w:rsid w:val="00667002"/>
    <w:rsid w:val="006670A8"/>
    <w:rsid w:val="00667125"/>
    <w:rsid w:val="00667231"/>
    <w:rsid w:val="00667356"/>
    <w:rsid w:val="00667462"/>
    <w:rsid w:val="006674D9"/>
    <w:rsid w:val="0066754F"/>
    <w:rsid w:val="0066775C"/>
    <w:rsid w:val="006677F3"/>
    <w:rsid w:val="006678F9"/>
    <w:rsid w:val="006679EC"/>
    <w:rsid w:val="00667CB7"/>
    <w:rsid w:val="00667D41"/>
    <w:rsid w:val="0067049A"/>
    <w:rsid w:val="006704B0"/>
    <w:rsid w:val="006704CC"/>
    <w:rsid w:val="006707FE"/>
    <w:rsid w:val="00670EC3"/>
    <w:rsid w:val="00671031"/>
    <w:rsid w:val="00671346"/>
    <w:rsid w:val="00671436"/>
    <w:rsid w:val="00671621"/>
    <w:rsid w:val="00671637"/>
    <w:rsid w:val="00671875"/>
    <w:rsid w:val="00671A0B"/>
    <w:rsid w:val="006720E8"/>
    <w:rsid w:val="006722B7"/>
    <w:rsid w:val="006723EA"/>
    <w:rsid w:val="006728D5"/>
    <w:rsid w:val="00672A36"/>
    <w:rsid w:val="00672AC3"/>
    <w:rsid w:val="00672E70"/>
    <w:rsid w:val="00672FC4"/>
    <w:rsid w:val="00673218"/>
    <w:rsid w:val="00673642"/>
    <w:rsid w:val="0067382E"/>
    <w:rsid w:val="0067397C"/>
    <w:rsid w:val="0067397D"/>
    <w:rsid w:val="006739C9"/>
    <w:rsid w:val="00673CFE"/>
    <w:rsid w:val="00673E86"/>
    <w:rsid w:val="00673EA3"/>
    <w:rsid w:val="00674142"/>
    <w:rsid w:val="0067458F"/>
    <w:rsid w:val="006745D7"/>
    <w:rsid w:val="00674987"/>
    <w:rsid w:val="00674A42"/>
    <w:rsid w:val="00674AB1"/>
    <w:rsid w:val="00674AC4"/>
    <w:rsid w:val="00674B16"/>
    <w:rsid w:val="00674B77"/>
    <w:rsid w:val="00674F72"/>
    <w:rsid w:val="00675210"/>
    <w:rsid w:val="00675436"/>
    <w:rsid w:val="006754CC"/>
    <w:rsid w:val="006756F4"/>
    <w:rsid w:val="0067571B"/>
    <w:rsid w:val="00675824"/>
    <w:rsid w:val="00675887"/>
    <w:rsid w:val="006758D1"/>
    <w:rsid w:val="00675A07"/>
    <w:rsid w:val="00675A44"/>
    <w:rsid w:val="00675AF0"/>
    <w:rsid w:val="00675D35"/>
    <w:rsid w:val="00675FC6"/>
    <w:rsid w:val="006761CB"/>
    <w:rsid w:val="006765BB"/>
    <w:rsid w:val="00676911"/>
    <w:rsid w:val="00676A00"/>
    <w:rsid w:val="00676A60"/>
    <w:rsid w:val="00676EB2"/>
    <w:rsid w:val="006770D0"/>
    <w:rsid w:val="006775B1"/>
    <w:rsid w:val="006776A1"/>
    <w:rsid w:val="0067771F"/>
    <w:rsid w:val="006777DB"/>
    <w:rsid w:val="00677895"/>
    <w:rsid w:val="00677AB7"/>
    <w:rsid w:val="00677B1E"/>
    <w:rsid w:val="00680039"/>
    <w:rsid w:val="006801D8"/>
    <w:rsid w:val="0068036A"/>
    <w:rsid w:val="00680433"/>
    <w:rsid w:val="00680547"/>
    <w:rsid w:val="00680694"/>
    <w:rsid w:val="006806D7"/>
    <w:rsid w:val="0068094D"/>
    <w:rsid w:val="00680A99"/>
    <w:rsid w:val="00680D13"/>
    <w:rsid w:val="00680D54"/>
    <w:rsid w:val="00680D80"/>
    <w:rsid w:val="00680E2F"/>
    <w:rsid w:val="00680E88"/>
    <w:rsid w:val="00680F01"/>
    <w:rsid w:val="006811F8"/>
    <w:rsid w:val="006813F6"/>
    <w:rsid w:val="006815C1"/>
    <w:rsid w:val="006815EB"/>
    <w:rsid w:val="006816B7"/>
    <w:rsid w:val="006816CE"/>
    <w:rsid w:val="00681846"/>
    <w:rsid w:val="00681A0C"/>
    <w:rsid w:val="00681AFC"/>
    <w:rsid w:val="00681B1D"/>
    <w:rsid w:val="00681DDE"/>
    <w:rsid w:val="00682188"/>
    <w:rsid w:val="0068219F"/>
    <w:rsid w:val="00682259"/>
    <w:rsid w:val="00682281"/>
    <w:rsid w:val="00682345"/>
    <w:rsid w:val="006824A7"/>
    <w:rsid w:val="00682501"/>
    <w:rsid w:val="006825D7"/>
    <w:rsid w:val="00682793"/>
    <w:rsid w:val="00682A6A"/>
    <w:rsid w:val="00682BD7"/>
    <w:rsid w:val="00682C32"/>
    <w:rsid w:val="00682CD9"/>
    <w:rsid w:val="00683075"/>
    <w:rsid w:val="00683209"/>
    <w:rsid w:val="006832B7"/>
    <w:rsid w:val="00683336"/>
    <w:rsid w:val="00683430"/>
    <w:rsid w:val="006834ED"/>
    <w:rsid w:val="00683714"/>
    <w:rsid w:val="006838A9"/>
    <w:rsid w:val="00683A2B"/>
    <w:rsid w:val="00683BFF"/>
    <w:rsid w:val="00683C6B"/>
    <w:rsid w:val="00683EF8"/>
    <w:rsid w:val="00684006"/>
    <w:rsid w:val="006840E0"/>
    <w:rsid w:val="00684370"/>
    <w:rsid w:val="006844A6"/>
    <w:rsid w:val="00684595"/>
    <w:rsid w:val="006845C1"/>
    <w:rsid w:val="006845D0"/>
    <w:rsid w:val="00684651"/>
    <w:rsid w:val="00684720"/>
    <w:rsid w:val="00684C5E"/>
    <w:rsid w:val="00684D57"/>
    <w:rsid w:val="00684EA9"/>
    <w:rsid w:val="00684EC2"/>
    <w:rsid w:val="0068500F"/>
    <w:rsid w:val="00685055"/>
    <w:rsid w:val="00685178"/>
    <w:rsid w:val="006851BD"/>
    <w:rsid w:val="00685568"/>
    <w:rsid w:val="0068584D"/>
    <w:rsid w:val="00685BCA"/>
    <w:rsid w:val="00685E46"/>
    <w:rsid w:val="00685EA6"/>
    <w:rsid w:val="0068671A"/>
    <w:rsid w:val="006867EC"/>
    <w:rsid w:val="00686A0F"/>
    <w:rsid w:val="00686BA5"/>
    <w:rsid w:val="00686BEB"/>
    <w:rsid w:val="00686E75"/>
    <w:rsid w:val="00686FA5"/>
    <w:rsid w:val="00687448"/>
    <w:rsid w:val="006877C4"/>
    <w:rsid w:val="00687A09"/>
    <w:rsid w:val="00687D1E"/>
    <w:rsid w:val="00687E98"/>
    <w:rsid w:val="00690752"/>
    <w:rsid w:val="006908D5"/>
    <w:rsid w:val="00690BFD"/>
    <w:rsid w:val="00690EAF"/>
    <w:rsid w:val="00691177"/>
    <w:rsid w:val="00691289"/>
    <w:rsid w:val="00691337"/>
    <w:rsid w:val="006914D1"/>
    <w:rsid w:val="00691556"/>
    <w:rsid w:val="0069160A"/>
    <w:rsid w:val="00691938"/>
    <w:rsid w:val="00691C15"/>
    <w:rsid w:val="00691F26"/>
    <w:rsid w:val="006922B4"/>
    <w:rsid w:val="00692381"/>
    <w:rsid w:val="00692387"/>
    <w:rsid w:val="0069246F"/>
    <w:rsid w:val="00692708"/>
    <w:rsid w:val="0069296D"/>
    <w:rsid w:val="00692A95"/>
    <w:rsid w:val="00692AAF"/>
    <w:rsid w:val="00692B35"/>
    <w:rsid w:val="00692BAF"/>
    <w:rsid w:val="00692D59"/>
    <w:rsid w:val="006930D1"/>
    <w:rsid w:val="00693303"/>
    <w:rsid w:val="00693405"/>
    <w:rsid w:val="00693504"/>
    <w:rsid w:val="006936E2"/>
    <w:rsid w:val="00693745"/>
    <w:rsid w:val="006937D3"/>
    <w:rsid w:val="0069382A"/>
    <w:rsid w:val="006938AD"/>
    <w:rsid w:val="00693919"/>
    <w:rsid w:val="00693A6C"/>
    <w:rsid w:val="00693DF1"/>
    <w:rsid w:val="00693F80"/>
    <w:rsid w:val="00694026"/>
    <w:rsid w:val="0069428F"/>
    <w:rsid w:val="00694327"/>
    <w:rsid w:val="006943C7"/>
    <w:rsid w:val="00694848"/>
    <w:rsid w:val="00694B76"/>
    <w:rsid w:val="00694CA9"/>
    <w:rsid w:val="00694FE0"/>
    <w:rsid w:val="00694FE4"/>
    <w:rsid w:val="0069553E"/>
    <w:rsid w:val="00695545"/>
    <w:rsid w:val="006956A3"/>
    <w:rsid w:val="00695B0B"/>
    <w:rsid w:val="00695EA2"/>
    <w:rsid w:val="006960B8"/>
    <w:rsid w:val="0069633B"/>
    <w:rsid w:val="00696452"/>
    <w:rsid w:val="006964FE"/>
    <w:rsid w:val="00696843"/>
    <w:rsid w:val="006969E1"/>
    <w:rsid w:val="00696A25"/>
    <w:rsid w:val="00696A35"/>
    <w:rsid w:val="00696BB0"/>
    <w:rsid w:val="00696EE3"/>
    <w:rsid w:val="00697106"/>
    <w:rsid w:val="00697428"/>
    <w:rsid w:val="00697905"/>
    <w:rsid w:val="00697ADF"/>
    <w:rsid w:val="00697DB8"/>
    <w:rsid w:val="00697F11"/>
    <w:rsid w:val="00697FD6"/>
    <w:rsid w:val="006A013F"/>
    <w:rsid w:val="006A035F"/>
    <w:rsid w:val="006A0397"/>
    <w:rsid w:val="006A03EE"/>
    <w:rsid w:val="006A04F4"/>
    <w:rsid w:val="006A09D7"/>
    <w:rsid w:val="006A09FF"/>
    <w:rsid w:val="006A0C09"/>
    <w:rsid w:val="006A0E6B"/>
    <w:rsid w:val="006A0F5B"/>
    <w:rsid w:val="006A0FA1"/>
    <w:rsid w:val="006A0FE2"/>
    <w:rsid w:val="006A1194"/>
    <w:rsid w:val="006A131B"/>
    <w:rsid w:val="006A1339"/>
    <w:rsid w:val="006A1440"/>
    <w:rsid w:val="006A1552"/>
    <w:rsid w:val="006A15C1"/>
    <w:rsid w:val="006A1868"/>
    <w:rsid w:val="006A1B3F"/>
    <w:rsid w:val="006A1D7C"/>
    <w:rsid w:val="006A1E50"/>
    <w:rsid w:val="006A2224"/>
    <w:rsid w:val="006A2625"/>
    <w:rsid w:val="006A278D"/>
    <w:rsid w:val="006A2E59"/>
    <w:rsid w:val="006A2F9C"/>
    <w:rsid w:val="006A300F"/>
    <w:rsid w:val="006A32CB"/>
    <w:rsid w:val="006A330A"/>
    <w:rsid w:val="006A3364"/>
    <w:rsid w:val="006A35AB"/>
    <w:rsid w:val="006A35D8"/>
    <w:rsid w:val="006A3674"/>
    <w:rsid w:val="006A3709"/>
    <w:rsid w:val="006A39D5"/>
    <w:rsid w:val="006A3A5D"/>
    <w:rsid w:val="006A3D3A"/>
    <w:rsid w:val="006A3E57"/>
    <w:rsid w:val="006A442F"/>
    <w:rsid w:val="006A494F"/>
    <w:rsid w:val="006A4EAA"/>
    <w:rsid w:val="006A523D"/>
    <w:rsid w:val="006A52ED"/>
    <w:rsid w:val="006A5595"/>
    <w:rsid w:val="006A5641"/>
    <w:rsid w:val="006A565A"/>
    <w:rsid w:val="006A57A3"/>
    <w:rsid w:val="006A58D9"/>
    <w:rsid w:val="006A5964"/>
    <w:rsid w:val="006A5AFD"/>
    <w:rsid w:val="006A5D04"/>
    <w:rsid w:val="006A5E20"/>
    <w:rsid w:val="006A5FFA"/>
    <w:rsid w:val="006A610C"/>
    <w:rsid w:val="006A62DD"/>
    <w:rsid w:val="006A6314"/>
    <w:rsid w:val="006A64BC"/>
    <w:rsid w:val="006A64DB"/>
    <w:rsid w:val="006A661A"/>
    <w:rsid w:val="006A6A8F"/>
    <w:rsid w:val="006A6BF0"/>
    <w:rsid w:val="006A6DEC"/>
    <w:rsid w:val="006A6F65"/>
    <w:rsid w:val="006A7039"/>
    <w:rsid w:val="006A7368"/>
    <w:rsid w:val="006A7387"/>
    <w:rsid w:val="006A759E"/>
    <w:rsid w:val="006A75A3"/>
    <w:rsid w:val="006A7734"/>
    <w:rsid w:val="006A77F9"/>
    <w:rsid w:val="006A7D10"/>
    <w:rsid w:val="006B0058"/>
    <w:rsid w:val="006B030E"/>
    <w:rsid w:val="006B06D9"/>
    <w:rsid w:val="006B0981"/>
    <w:rsid w:val="006B0B6C"/>
    <w:rsid w:val="006B0CC7"/>
    <w:rsid w:val="006B0DEA"/>
    <w:rsid w:val="006B0E17"/>
    <w:rsid w:val="006B125B"/>
    <w:rsid w:val="006B14D9"/>
    <w:rsid w:val="006B1736"/>
    <w:rsid w:val="006B184C"/>
    <w:rsid w:val="006B189B"/>
    <w:rsid w:val="006B1ABB"/>
    <w:rsid w:val="006B1F2A"/>
    <w:rsid w:val="006B1FFC"/>
    <w:rsid w:val="006B2088"/>
    <w:rsid w:val="006B2425"/>
    <w:rsid w:val="006B25C8"/>
    <w:rsid w:val="006B2BFB"/>
    <w:rsid w:val="006B31E9"/>
    <w:rsid w:val="006B3241"/>
    <w:rsid w:val="006B3357"/>
    <w:rsid w:val="006B3358"/>
    <w:rsid w:val="006B336F"/>
    <w:rsid w:val="006B33EA"/>
    <w:rsid w:val="006B34B5"/>
    <w:rsid w:val="006B38FC"/>
    <w:rsid w:val="006B3B00"/>
    <w:rsid w:val="006B3C9F"/>
    <w:rsid w:val="006B3CA5"/>
    <w:rsid w:val="006B3CEF"/>
    <w:rsid w:val="006B4037"/>
    <w:rsid w:val="006B406B"/>
    <w:rsid w:val="006B41E7"/>
    <w:rsid w:val="006B424D"/>
    <w:rsid w:val="006B424F"/>
    <w:rsid w:val="006B427C"/>
    <w:rsid w:val="006B4363"/>
    <w:rsid w:val="006B4392"/>
    <w:rsid w:val="006B4713"/>
    <w:rsid w:val="006B48C1"/>
    <w:rsid w:val="006B498E"/>
    <w:rsid w:val="006B4A91"/>
    <w:rsid w:val="006B4AC3"/>
    <w:rsid w:val="006B4BEC"/>
    <w:rsid w:val="006B4C2D"/>
    <w:rsid w:val="006B4EF6"/>
    <w:rsid w:val="006B517F"/>
    <w:rsid w:val="006B51FD"/>
    <w:rsid w:val="006B547E"/>
    <w:rsid w:val="006B56A8"/>
    <w:rsid w:val="006B577A"/>
    <w:rsid w:val="006B5C22"/>
    <w:rsid w:val="006B5EAB"/>
    <w:rsid w:val="006B608A"/>
    <w:rsid w:val="006B6375"/>
    <w:rsid w:val="006B63D3"/>
    <w:rsid w:val="006B6796"/>
    <w:rsid w:val="006B68E7"/>
    <w:rsid w:val="006B6949"/>
    <w:rsid w:val="006B6BBD"/>
    <w:rsid w:val="006B6BF3"/>
    <w:rsid w:val="006B6C4E"/>
    <w:rsid w:val="006B6D7A"/>
    <w:rsid w:val="006B6E44"/>
    <w:rsid w:val="006B6E75"/>
    <w:rsid w:val="006B71EB"/>
    <w:rsid w:val="006B7234"/>
    <w:rsid w:val="006B7267"/>
    <w:rsid w:val="006B72C6"/>
    <w:rsid w:val="006B75AB"/>
    <w:rsid w:val="006B768E"/>
    <w:rsid w:val="006B7899"/>
    <w:rsid w:val="006B7C7D"/>
    <w:rsid w:val="006B7D8B"/>
    <w:rsid w:val="006B7F0E"/>
    <w:rsid w:val="006C02E1"/>
    <w:rsid w:val="006C046E"/>
    <w:rsid w:val="006C05A4"/>
    <w:rsid w:val="006C0A9B"/>
    <w:rsid w:val="006C0B1B"/>
    <w:rsid w:val="006C0E4B"/>
    <w:rsid w:val="006C0E52"/>
    <w:rsid w:val="006C0F3F"/>
    <w:rsid w:val="006C12B5"/>
    <w:rsid w:val="006C14CB"/>
    <w:rsid w:val="006C16F3"/>
    <w:rsid w:val="006C1832"/>
    <w:rsid w:val="006C1911"/>
    <w:rsid w:val="006C1CE1"/>
    <w:rsid w:val="006C2362"/>
    <w:rsid w:val="006C276B"/>
    <w:rsid w:val="006C27EF"/>
    <w:rsid w:val="006C27FB"/>
    <w:rsid w:val="006C292E"/>
    <w:rsid w:val="006C2989"/>
    <w:rsid w:val="006C2ADC"/>
    <w:rsid w:val="006C2BB4"/>
    <w:rsid w:val="006C2CD6"/>
    <w:rsid w:val="006C2DE6"/>
    <w:rsid w:val="006C2E35"/>
    <w:rsid w:val="006C2F0C"/>
    <w:rsid w:val="006C2F37"/>
    <w:rsid w:val="006C3338"/>
    <w:rsid w:val="006C33DE"/>
    <w:rsid w:val="006C33E3"/>
    <w:rsid w:val="006C3549"/>
    <w:rsid w:val="006C35D3"/>
    <w:rsid w:val="006C377E"/>
    <w:rsid w:val="006C38C2"/>
    <w:rsid w:val="006C3907"/>
    <w:rsid w:val="006C3FFB"/>
    <w:rsid w:val="006C400E"/>
    <w:rsid w:val="006C4145"/>
    <w:rsid w:val="006C4755"/>
    <w:rsid w:val="006C4BF1"/>
    <w:rsid w:val="006C4FA7"/>
    <w:rsid w:val="006C5197"/>
    <w:rsid w:val="006C51F5"/>
    <w:rsid w:val="006C5294"/>
    <w:rsid w:val="006C541A"/>
    <w:rsid w:val="006C5683"/>
    <w:rsid w:val="006C57F4"/>
    <w:rsid w:val="006C5CB2"/>
    <w:rsid w:val="006C5F99"/>
    <w:rsid w:val="006C6052"/>
    <w:rsid w:val="006C6640"/>
    <w:rsid w:val="006C6754"/>
    <w:rsid w:val="006C67BC"/>
    <w:rsid w:val="006C683D"/>
    <w:rsid w:val="006C68B4"/>
    <w:rsid w:val="006C6953"/>
    <w:rsid w:val="006C6C00"/>
    <w:rsid w:val="006C6F3F"/>
    <w:rsid w:val="006C7051"/>
    <w:rsid w:val="006C7184"/>
    <w:rsid w:val="006C7225"/>
    <w:rsid w:val="006C73FB"/>
    <w:rsid w:val="006C7460"/>
    <w:rsid w:val="006C74F6"/>
    <w:rsid w:val="006C75F0"/>
    <w:rsid w:val="006C75FF"/>
    <w:rsid w:val="006C7704"/>
    <w:rsid w:val="006C770A"/>
    <w:rsid w:val="006C7710"/>
    <w:rsid w:val="006C7AB7"/>
    <w:rsid w:val="006C7BD3"/>
    <w:rsid w:val="006C7DDF"/>
    <w:rsid w:val="006C7ED7"/>
    <w:rsid w:val="006C7EFE"/>
    <w:rsid w:val="006D0073"/>
    <w:rsid w:val="006D03FE"/>
    <w:rsid w:val="006D06DB"/>
    <w:rsid w:val="006D0864"/>
    <w:rsid w:val="006D092F"/>
    <w:rsid w:val="006D0C9B"/>
    <w:rsid w:val="006D0CDE"/>
    <w:rsid w:val="006D0F5A"/>
    <w:rsid w:val="006D1530"/>
    <w:rsid w:val="006D1893"/>
    <w:rsid w:val="006D19AF"/>
    <w:rsid w:val="006D1B48"/>
    <w:rsid w:val="006D1C53"/>
    <w:rsid w:val="006D1E72"/>
    <w:rsid w:val="006D21E8"/>
    <w:rsid w:val="006D23D4"/>
    <w:rsid w:val="006D278E"/>
    <w:rsid w:val="006D27A9"/>
    <w:rsid w:val="006D2846"/>
    <w:rsid w:val="006D2938"/>
    <w:rsid w:val="006D297B"/>
    <w:rsid w:val="006D2A0E"/>
    <w:rsid w:val="006D2E42"/>
    <w:rsid w:val="006D2FE7"/>
    <w:rsid w:val="006D302A"/>
    <w:rsid w:val="006D31F6"/>
    <w:rsid w:val="006D324A"/>
    <w:rsid w:val="006D33B1"/>
    <w:rsid w:val="006D3607"/>
    <w:rsid w:val="006D3ACD"/>
    <w:rsid w:val="006D3AD9"/>
    <w:rsid w:val="006D3E8A"/>
    <w:rsid w:val="006D3EA8"/>
    <w:rsid w:val="006D3F0F"/>
    <w:rsid w:val="006D4040"/>
    <w:rsid w:val="006D4156"/>
    <w:rsid w:val="006D4317"/>
    <w:rsid w:val="006D4379"/>
    <w:rsid w:val="006D4613"/>
    <w:rsid w:val="006D47FB"/>
    <w:rsid w:val="006D4A9E"/>
    <w:rsid w:val="006D4B5F"/>
    <w:rsid w:val="006D4BA3"/>
    <w:rsid w:val="006D4C77"/>
    <w:rsid w:val="006D4E31"/>
    <w:rsid w:val="006D51CE"/>
    <w:rsid w:val="006D54A9"/>
    <w:rsid w:val="006D5596"/>
    <w:rsid w:val="006D5725"/>
    <w:rsid w:val="006D57BC"/>
    <w:rsid w:val="006D588D"/>
    <w:rsid w:val="006D5901"/>
    <w:rsid w:val="006D59AF"/>
    <w:rsid w:val="006D5A65"/>
    <w:rsid w:val="006D5A7C"/>
    <w:rsid w:val="006D5F69"/>
    <w:rsid w:val="006D63A5"/>
    <w:rsid w:val="006D6AA6"/>
    <w:rsid w:val="006D6D31"/>
    <w:rsid w:val="006D6F63"/>
    <w:rsid w:val="006D709B"/>
    <w:rsid w:val="006D711C"/>
    <w:rsid w:val="006D7168"/>
    <w:rsid w:val="006D74FD"/>
    <w:rsid w:val="006D759A"/>
    <w:rsid w:val="006D771F"/>
    <w:rsid w:val="006D776F"/>
    <w:rsid w:val="006D78FD"/>
    <w:rsid w:val="006D7946"/>
    <w:rsid w:val="006D796C"/>
    <w:rsid w:val="006D7C07"/>
    <w:rsid w:val="006D7EA3"/>
    <w:rsid w:val="006E052B"/>
    <w:rsid w:val="006E0712"/>
    <w:rsid w:val="006E0751"/>
    <w:rsid w:val="006E0AF4"/>
    <w:rsid w:val="006E0C7E"/>
    <w:rsid w:val="006E0CA0"/>
    <w:rsid w:val="006E0D19"/>
    <w:rsid w:val="006E0DB4"/>
    <w:rsid w:val="006E0DCE"/>
    <w:rsid w:val="006E0EBC"/>
    <w:rsid w:val="006E103B"/>
    <w:rsid w:val="006E10DF"/>
    <w:rsid w:val="006E10F4"/>
    <w:rsid w:val="006E1198"/>
    <w:rsid w:val="006E1219"/>
    <w:rsid w:val="006E13F4"/>
    <w:rsid w:val="006E1462"/>
    <w:rsid w:val="006E1849"/>
    <w:rsid w:val="006E1861"/>
    <w:rsid w:val="006E19AD"/>
    <w:rsid w:val="006E19E7"/>
    <w:rsid w:val="006E1A26"/>
    <w:rsid w:val="006E1A2E"/>
    <w:rsid w:val="006E1D6D"/>
    <w:rsid w:val="006E219A"/>
    <w:rsid w:val="006E2280"/>
    <w:rsid w:val="006E2671"/>
    <w:rsid w:val="006E2743"/>
    <w:rsid w:val="006E27CE"/>
    <w:rsid w:val="006E2985"/>
    <w:rsid w:val="006E2991"/>
    <w:rsid w:val="006E29A2"/>
    <w:rsid w:val="006E2CB6"/>
    <w:rsid w:val="006E3241"/>
    <w:rsid w:val="006E336E"/>
    <w:rsid w:val="006E3480"/>
    <w:rsid w:val="006E34F7"/>
    <w:rsid w:val="006E3578"/>
    <w:rsid w:val="006E375D"/>
    <w:rsid w:val="006E3851"/>
    <w:rsid w:val="006E3874"/>
    <w:rsid w:val="006E3AE0"/>
    <w:rsid w:val="006E3B5F"/>
    <w:rsid w:val="006E40EB"/>
    <w:rsid w:val="006E4236"/>
    <w:rsid w:val="006E42B9"/>
    <w:rsid w:val="006E431E"/>
    <w:rsid w:val="006E45C4"/>
    <w:rsid w:val="006E4D03"/>
    <w:rsid w:val="006E519F"/>
    <w:rsid w:val="006E51E8"/>
    <w:rsid w:val="006E5358"/>
    <w:rsid w:val="006E53CA"/>
    <w:rsid w:val="006E5425"/>
    <w:rsid w:val="006E545D"/>
    <w:rsid w:val="006E5643"/>
    <w:rsid w:val="006E564B"/>
    <w:rsid w:val="006E56B4"/>
    <w:rsid w:val="006E5A11"/>
    <w:rsid w:val="006E5C81"/>
    <w:rsid w:val="006E5C96"/>
    <w:rsid w:val="006E6095"/>
    <w:rsid w:val="006E62EC"/>
    <w:rsid w:val="006E6612"/>
    <w:rsid w:val="006E6652"/>
    <w:rsid w:val="006E6AAF"/>
    <w:rsid w:val="006E6C01"/>
    <w:rsid w:val="006E6C18"/>
    <w:rsid w:val="006E6C2A"/>
    <w:rsid w:val="006E6C4D"/>
    <w:rsid w:val="006E6C69"/>
    <w:rsid w:val="006E7086"/>
    <w:rsid w:val="006E70C0"/>
    <w:rsid w:val="006E7834"/>
    <w:rsid w:val="006E7836"/>
    <w:rsid w:val="006E78E5"/>
    <w:rsid w:val="006E78F1"/>
    <w:rsid w:val="006E796C"/>
    <w:rsid w:val="006E7E37"/>
    <w:rsid w:val="006E7E41"/>
    <w:rsid w:val="006E7FAC"/>
    <w:rsid w:val="006F0055"/>
    <w:rsid w:val="006F0207"/>
    <w:rsid w:val="006F0422"/>
    <w:rsid w:val="006F0425"/>
    <w:rsid w:val="006F0529"/>
    <w:rsid w:val="006F05E5"/>
    <w:rsid w:val="006F0778"/>
    <w:rsid w:val="006F086C"/>
    <w:rsid w:val="006F0A71"/>
    <w:rsid w:val="006F0A83"/>
    <w:rsid w:val="006F0B1B"/>
    <w:rsid w:val="006F0C5A"/>
    <w:rsid w:val="006F0D76"/>
    <w:rsid w:val="006F0D98"/>
    <w:rsid w:val="006F0EC8"/>
    <w:rsid w:val="006F11CF"/>
    <w:rsid w:val="006F12BE"/>
    <w:rsid w:val="006F153D"/>
    <w:rsid w:val="006F1635"/>
    <w:rsid w:val="006F1B76"/>
    <w:rsid w:val="006F1C27"/>
    <w:rsid w:val="006F1DC0"/>
    <w:rsid w:val="006F214E"/>
    <w:rsid w:val="006F2313"/>
    <w:rsid w:val="006F2402"/>
    <w:rsid w:val="006F28D3"/>
    <w:rsid w:val="006F291F"/>
    <w:rsid w:val="006F2A0A"/>
    <w:rsid w:val="006F2C0F"/>
    <w:rsid w:val="006F2D7E"/>
    <w:rsid w:val="006F2F0A"/>
    <w:rsid w:val="006F33C6"/>
    <w:rsid w:val="006F35E7"/>
    <w:rsid w:val="006F3B35"/>
    <w:rsid w:val="006F4482"/>
    <w:rsid w:val="006F45C2"/>
    <w:rsid w:val="006F466F"/>
    <w:rsid w:val="006F4A9C"/>
    <w:rsid w:val="006F4BF1"/>
    <w:rsid w:val="006F4C23"/>
    <w:rsid w:val="006F4CA3"/>
    <w:rsid w:val="006F4CA9"/>
    <w:rsid w:val="006F4E75"/>
    <w:rsid w:val="006F50B6"/>
    <w:rsid w:val="006F51ED"/>
    <w:rsid w:val="006F5419"/>
    <w:rsid w:val="006F55EF"/>
    <w:rsid w:val="006F5637"/>
    <w:rsid w:val="006F56C8"/>
    <w:rsid w:val="006F5797"/>
    <w:rsid w:val="006F5981"/>
    <w:rsid w:val="006F5B1A"/>
    <w:rsid w:val="006F5B20"/>
    <w:rsid w:val="006F5B46"/>
    <w:rsid w:val="006F5B95"/>
    <w:rsid w:val="006F5CC5"/>
    <w:rsid w:val="006F5D79"/>
    <w:rsid w:val="006F5F81"/>
    <w:rsid w:val="006F609A"/>
    <w:rsid w:val="006F610A"/>
    <w:rsid w:val="006F61F5"/>
    <w:rsid w:val="006F6806"/>
    <w:rsid w:val="006F684D"/>
    <w:rsid w:val="006F68CC"/>
    <w:rsid w:val="006F694C"/>
    <w:rsid w:val="006F6C1D"/>
    <w:rsid w:val="006F6E0A"/>
    <w:rsid w:val="006F73BF"/>
    <w:rsid w:val="006F772D"/>
    <w:rsid w:val="006F7913"/>
    <w:rsid w:val="006F7D1A"/>
    <w:rsid w:val="006F7DCC"/>
    <w:rsid w:val="006F7E14"/>
    <w:rsid w:val="0070024E"/>
    <w:rsid w:val="00700381"/>
    <w:rsid w:val="007003B7"/>
    <w:rsid w:val="00700412"/>
    <w:rsid w:val="007004EA"/>
    <w:rsid w:val="00700780"/>
    <w:rsid w:val="007008A5"/>
    <w:rsid w:val="007008DB"/>
    <w:rsid w:val="00700C1B"/>
    <w:rsid w:val="00700C41"/>
    <w:rsid w:val="00700C78"/>
    <w:rsid w:val="00700CF9"/>
    <w:rsid w:val="00700E32"/>
    <w:rsid w:val="00700F5F"/>
    <w:rsid w:val="00700FE1"/>
    <w:rsid w:val="007010F7"/>
    <w:rsid w:val="00701134"/>
    <w:rsid w:val="00701363"/>
    <w:rsid w:val="00701420"/>
    <w:rsid w:val="00701A9F"/>
    <w:rsid w:val="00702167"/>
    <w:rsid w:val="00702188"/>
    <w:rsid w:val="007021FF"/>
    <w:rsid w:val="0070230A"/>
    <w:rsid w:val="0070234F"/>
    <w:rsid w:val="007025A7"/>
    <w:rsid w:val="0070264D"/>
    <w:rsid w:val="0070276D"/>
    <w:rsid w:val="00702903"/>
    <w:rsid w:val="00702917"/>
    <w:rsid w:val="00702A2B"/>
    <w:rsid w:val="00702ABD"/>
    <w:rsid w:val="00702CFA"/>
    <w:rsid w:val="00702D7A"/>
    <w:rsid w:val="00702E08"/>
    <w:rsid w:val="00702F65"/>
    <w:rsid w:val="00703003"/>
    <w:rsid w:val="0070329E"/>
    <w:rsid w:val="007034F8"/>
    <w:rsid w:val="00703E6D"/>
    <w:rsid w:val="00703E93"/>
    <w:rsid w:val="00704050"/>
    <w:rsid w:val="00704292"/>
    <w:rsid w:val="007044FF"/>
    <w:rsid w:val="00704AC0"/>
    <w:rsid w:val="00704B39"/>
    <w:rsid w:val="00704D9B"/>
    <w:rsid w:val="00704DD4"/>
    <w:rsid w:val="00704E68"/>
    <w:rsid w:val="00705174"/>
    <w:rsid w:val="007052D9"/>
    <w:rsid w:val="00705350"/>
    <w:rsid w:val="00705369"/>
    <w:rsid w:val="007056CD"/>
    <w:rsid w:val="00705725"/>
    <w:rsid w:val="00705772"/>
    <w:rsid w:val="00705A33"/>
    <w:rsid w:val="00705C1A"/>
    <w:rsid w:val="00705C28"/>
    <w:rsid w:val="00705C7D"/>
    <w:rsid w:val="00705F9C"/>
    <w:rsid w:val="0070611D"/>
    <w:rsid w:val="007062C2"/>
    <w:rsid w:val="0070634C"/>
    <w:rsid w:val="00706589"/>
    <w:rsid w:val="0070671A"/>
    <w:rsid w:val="00706919"/>
    <w:rsid w:val="00706AB5"/>
    <w:rsid w:val="00706D90"/>
    <w:rsid w:val="00706E28"/>
    <w:rsid w:val="00706F6D"/>
    <w:rsid w:val="00706F9F"/>
    <w:rsid w:val="007070CE"/>
    <w:rsid w:val="00707254"/>
    <w:rsid w:val="007074CB"/>
    <w:rsid w:val="00707627"/>
    <w:rsid w:val="007077D7"/>
    <w:rsid w:val="00707C7D"/>
    <w:rsid w:val="00707E6F"/>
    <w:rsid w:val="00707E72"/>
    <w:rsid w:val="00707E90"/>
    <w:rsid w:val="00707FCA"/>
    <w:rsid w:val="00707FE3"/>
    <w:rsid w:val="00710265"/>
    <w:rsid w:val="007105F6"/>
    <w:rsid w:val="007108DD"/>
    <w:rsid w:val="00710E0F"/>
    <w:rsid w:val="00710F61"/>
    <w:rsid w:val="007112F8"/>
    <w:rsid w:val="007113BE"/>
    <w:rsid w:val="00711584"/>
    <w:rsid w:val="007117A3"/>
    <w:rsid w:val="007117CC"/>
    <w:rsid w:val="00711832"/>
    <w:rsid w:val="00711BA1"/>
    <w:rsid w:val="00711CA2"/>
    <w:rsid w:val="00711E39"/>
    <w:rsid w:val="00711EED"/>
    <w:rsid w:val="00711F51"/>
    <w:rsid w:val="00712699"/>
    <w:rsid w:val="00712758"/>
    <w:rsid w:val="00712990"/>
    <w:rsid w:val="00712B22"/>
    <w:rsid w:val="0071311B"/>
    <w:rsid w:val="007132E9"/>
    <w:rsid w:val="00713354"/>
    <w:rsid w:val="007133B9"/>
    <w:rsid w:val="00713431"/>
    <w:rsid w:val="007136F1"/>
    <w:rsid w:val="00713B0B"/>
    <w:rsid w:val="00713C30"/>
    <w:rsid w:val="0071402D"/>
    <w:rsid w:val="0071447F"/>
    <w:rsid w:val="00714489"/>
    <w:rsid w:val="00714665"/>
    <w:rsid w:val="007148BA"/>
    <w:rsid w:val="007149D5"/>
    <w:rsid w:val="00714D33"/>
    <w:rsid w:val="00714DEA"/>
    <w:rsid w:val="00715060"/>
    <w:rsid w:val="007153BD"/>
    <w:rsid w:val="0071549B"/>
    <w:rsid w:val="007154C2"/>
    <w:rsid w:val="00715502"/>
    <w:rsid w:val="00715670"/>
    <w:rsid w:val="0071590E"/>
    <w:rsid w:val="00716185"/>
    <w:rsid w:val="00716289"/>
    <w:rsid w:val="0071629E"/>
    <w:rsid w:val="00716404"/>
    <w:rsid w:val="00716705"/>
    <w:rsid w:val="00716744"/>
    <w:rsid w:val="0071679B"/>
    <w:rsid w:val="007169FC"/>
    <w:rsid w:val="00716B44"/>
    <w:rsid w:val="00716BF7"/>
    <w:rsid w:val="00716CF2"/>
    <w:rsid w:val="00716DF0"/>
    <w:rsid w:val="00716E60"/>
    <w:rsid w:val="00716F58"/>
    <w:rsid w:val="0071700B"/>
    <w:rsid w:val="00717462"/>
    <w:rsid w:val="00717710"/>
    <w:rsid w:val="00717730"/>
    <w:rsid w:val="0071780D"/>
    <w:rsid w:val="007178C1"/>
    <w:rsid w:val="007179E0"/>
    <w:rsid w:val="00717A2C"/>
    <w:rsid w:val="00717C34"/>
    <w:rsid w:val="00717D69"/>
    <w:rsid w:val="0072035B"/>
    <w:rsid w:val="007204C5"/>
    <w:rsid w:val="00720632"/>
    <w:rsid w:val="007207CE"/>
    <w:rsid w:val="0072080C"/>
    <w:rsid w:val="00720829"/>
    <w:rsid w:val="007209E3"/>
    <w:rsid w:val="007210B1"/>
    <w:rsid w:val="0072125D"/>
    <w:rsid w:val="007213CD"/>
    <w:rsid w:val="00721406"/>
    <w:rsid w:val="0072140E"/>
    <w:rsid w:val="00721873"/>
    <w:rsid w:val="007218F4"/>
    <w:rsid w:val="0072199D"/>
    <w:rsid w:val="00721B8F"/>
    <w:rsid w:val="00721C0A"/>
    <w:rsid w:val="00721D6D"/>
    <w:rsid w:val="00721DC3"/>
    <w:rsid w:val="007221AD"/>
    <w:rsid w:val="0072251E"/>
    <w:rsid w:val="0072264B"/>
    <w:rsid w:val="0072278B"/>
    <w:rsid w:val="00722A01"/>
    <w:rsid w:val="00722B70"/>
    <w:rsid w:val="00722C35"/>
    <w:rsid w:val="00722F2B"/>
    <w:rsid w:val="00722F6A"/>
    <w:rsid w:val="00723034"/>
    <w:rsid w:val="0072345C"/>
    <w:rsid w:val="00723D48"/>
    <w:rsid w:val="00723E51"/>
    <w:rsid w:val="00723E90"/>
    <w:rsid w:val="00723F7C"/>
    <w:rsid w:val="00724107"/>
    <w:rsid w:val="00724670"/>
    <w:rsid w:val="007246A6"/>
    <w:rsid w:val="007249BB"/>
    <w:rsid w:val="00724A1D"/>
    <w:rsid w:val="00724B3B"/>
    <w:rsid w:val="00724D00"/>
    <w:rsid w:val="00724D1E"/>
    <w:rsid w:val="00724DFB"/>
    <w:rsid w:val="00724E36"/>
    <w:rsid w:val="00724FE1"/>
    <w:rsid w:val="00725333"/>
    <w:rsid w:val="00725556"/>
    <w:rsid w:val="0072573B"/>
    <w:rsid w:val="00725775"/>
    <w:rsid w:val="00725865"/>
    <w:rsid w:val="007258E2"/>
    <w:rsid w:val="007259B7"/>
    <w:rsid w:val="00725BE0"/>
    <w:rsid w:val="00725DD2"/>
    <w:rsid w:val="00725EEE"/>
    <w:rsid w:val="00725F5E"/>
    <w:rsid w:val="00726467"/>
    <w:rsid w:val="0072650A"/>
    <w:rsid w:val="00726A53"/>
    <w:rsid w:val="00726C1A"/>
    <w:rsid w:val="00726D41"/>
    <w:rsid w:val="00726D6E"/>
    <w:rsid w:val="0072729D"/>
    <w:rsid w:val="007272D6"/>
    <w:rsid w:val="00727336"/>
    <w:rsid w:val="007277EA"/>
    <w:rsid w:val="007278AF"/>
    <w:rsid w:val="00727A77"/>
    <w:rsid w:val="00727C18"/>
    <w:rsid w:val="00727C43"/>
    <w:rsid w:val="00727C75"/>
    <w:rsid w:val="00727D59"/>
    <w:rsid w:val="00727DEE"/>
    <w:rsid w:val="00727F17"/>
    <w:rsid w:val="00727F5E"/>
    <w:rsid w:val="0073014B"/>
    <w:rsid w:val="00730267"/>
    <w:rsid w:val="00730327"/>
    <w:rsid w:val="00730677"/>
    <w:rsid w:val="00730773"/>
    <w:rsid w:val="00730BC2"/>
    <w:rsid w:val="00730C16"/>
    <w:rsid w:val="00730C27"/>
    <w:rsid w:val="00730D32"/>
    <w:rsid w:val="00730E1A"/>
    <w:rsid w:val="00731246"/>
    <w:rsid w:val="007315EB"/>
    <w:rsid w:val="0073160D"/>
    <w:rsid w:val="00731B10"/>
    <w:rsid w:val="00731DEC"/>
    <w:rsid w:val="00731E6C"/>
    <w:rsid w:val="007322E0"/>
    <w:rsid w:val="007322EE"/>
    <w:rsid w:val="007323EA"/>
    <w:rsid w:val="007326A5"/>
    <w:rsid w:val="007327ED"/>
    <w:rsid w:val="0073290F"/>
    <w:rsid w:val="0073292E"/>
    <w:rsid w:val="007329F9"/>
    <w:rsid w:val="00732C3A"/>
    <w:rsid w:val="00733359"/>
    <w:rsid w:val="00733416"/>
    <w:rsid w:val="00733765"/>
    <w:rsid w:val="007337C5"/>
    <w:rsid w:val="00733AEA"/>
    <w:rsid w:val="00733DE0"/>
    <w:rsid w:val="00733EF9"/>
    <w:rsid w:val="0073404E"/>
    <w:rsid w:val="00734076"/>
    <w:rsid w:val="00734165"/>
    <w:rsid w:val="00734241"/>
    <w:rsid w:val="00734408"/>
    <w:rsid w:val="007344E3"/>
    <w:rsid w:val="007346E1"/>
    <w:rsid w:val="0073478B"/>
    <w:rsid w:val="00734D8F"/>
    <w:rsid w:val="0073540D"/>
    <w:rsid w:val="00735426"/>
    <w:rsid w:val="007354FB"/>
    <w:rsid w:val="00735E7E"/>
    <w:rsid w:val="007361F2"/>
    <w:rsid w:val="00736488"/>
    <w:rsid w:val="007367B5"/>
    <w:rsid w:val="00736933"/>
    <w:rsid w:val="0073698A"/>
    <w:rsid w:val="00736AAF"/>
    <w:rsid w:val="00736C0B"/>
    <w:rsid w:val="00736EE0"/>
    <w:rsid w:val="007371F8"/>
    <w:rsid w:val="007372E2"/>
    <w:rsid w:val="007376C0"/>
    <w:rsid w:val="0073780F"/>
    <w:rsid w:val="00737915"/>
    <w:rsid w:val="00737E04"/>
    <w:rsid w:val="007402C3"/>
    <w:rsid w:val="0074043F"/>
    <w:rsid w:val="0074050E"/>
    <w:rsid w:val="00740A14"/>
    <w:rsid w:val="00740AB2"/>
    <w:rsid w:val="00740D4E"/>
    <w:rsid w:val="00740F9D"/>
    <w:rsid w:val="00741117"/>
    <w:rsid w:val="007413D1"/>
    <w:rsid w:val="0074153E"/>
    <w:rsid w:val="0074171D"/>
    <w:rsid w:val="0074190C"/>
    <w:rsid w:val="00741A50"/>
    <w:rsid w:val="00741A7F"/>
    <w:rsid w:val="00741C4C"/>
    <w:rsid w:val="00741FBA"/>
    <w:rsid w:val="007420BD"/>
    <w:rsid w:val="00742143"/>
    <w:rsid w:val="007422C8"/>
    <w:rsid w:val="00742436"/>
    <w:rsid w:val="00742734"/>
    <w:rsid w:val="0074273A"/>
    <w:rsid w:val="00742BF8"/>
    <w:rsid w:val="00742C29"/>
    <w:rsid w:val="00742C6C"/>
    <w:rsid w:val="00742CEE"/>
    <w:rsid w:val="00742DA9"/>
    <w:rsid w:val="007431BB"/>
    <w:rsid w:val="0074335C"/>
    <w:rsid w:val="0074342A"/>
    <w:rsid w:val="007434EC"/>
    <w:rsid w:val="007437DD"/>
    <w:rsid w:val="00743A4D"/>
    <w:rsid w:val="00743B78"/>
    <w:rsid w:val="00743D46"/>
    <w:rsid w:val="00743EC5"/>
    <w:rsid w:val="00743EF6"/>
    <w:rsid w:val="00743F0D"/>
    <w:rsid w:val="007445AE"/>
    <w:rsid w:val="00744630"/>
    <w:rsid w:val="007449B9"/>
    <w:rsid w:val="00744ED6"/>
    <w:rsid w:val="00744F4C"/>
    <w:rsid w:val="007451B9"/>
    <w:rsid w:val="00745230"/>
    <w:rsid w:val="00745239"/>
    <w:rsid w:val="0074534D"/>
    <w:rsid w:val="00745391"/>
    <w:rsid w:val="0074544C"/>
    <w:rsid w:val="007454F2"/>
    <w:rsid w:val="007458E8"/>
    <w:rsid w:val="007458ED"/>
    <w:rsid w:val="00745A72"/>
    <w:rsid w:val="00745AC7"/>
    <w:rsid w:val="00745DC9"/>
    <w:rsid w:val="00745E32"/>
    <w:rsid w:val="007462AB"/>
    <w:rsid w:val="00746700"/>
    <w:rsid w:val="007467E0"/>
    <w:rsid w:val="00746805"/>
    <w:rsid w:val="00746952"/>
    <w:rsid w:val="007469E3"/>
    <w:rsid w:val="00746A3D"/>
    <w:rsid w:val="00746AA8"/>
    <w:rsid w:val="00746E12"/>
    <w:rsid w:val="00746E78"/>
    <w:rsid w:val="00746F17"/>
    <w:rsid w:val="00746F47"/>
    <w:rsid w:val="00747070"/>
    <w:rsid w:val="007471C1"/>
    <w:rsid w:val="00747313"/>
    <w:rsid w:val="007473BF"/>
    <w:rsid w:val="00747466"/>
    <w:rsid w:val="007474D4"/>
    <w:rsid w:val="007475E1"/>
    <w:rsid w:val="00747720"/>
    <w:rsid w:val="00747737"/>
    <w:rsid w:val="00747876"/>
    <w:rsid w:val="00747E2E"/>
    <w:rsid w:val="007500E2"/>
    <w:rsid w:val="007500EC"/>
    <w:rsid w:val="00750196"/>
    <w:rsid w:val="007504B7"/>
    <w:rsid w:val="00750762"/>
    <w:rsid w:val="007507B1"/>
    <w:rsid w:val="00750810"/>
    <w:rsid w:val="00750962"/>
    <w:rsid w:val="007509ED"/>
    <w:rsid w:val="007509EE"/>
    <w:rsid w:val="00750A38"/>
    <w:rsid w:val="00750B21"/>
    <w:rsid w:val="00750B8E"/>
    <w:rsid w:val="00750C14"/>
    <w:rsid w:val="00750D3F"/>
    <w:rsid w:val="007511D1"/>
    <w:rsid w:val="0075144F"/>
    <w:rsid w:val="00751662"/>
    <w:rsid w:val="007516B9"/>
    <w:rsid w:val="0075176D"/>
    <w:rsid w:val="007517D5"/>
    <w:rsid w:val="007517E1"/>
    <w:rsid w:val="007518DC"/>
    <w:rsid w:val="00751EAE"/>
    <w:rsid w:val="00751FE8"/>
    <w:rsid w:val="00751FF6"/>
    <w:rsid w:val="00752141"/>
    <w:rsid w:val="00752156"/>
    <w:rsid w:val="00752298"/>
    <w:rsid w:val="00752873"/>
    <w:rsid w:val="00752A16"/>
    <w:rsid w:val="00752C6C"/>
    <w:rsid w:val="00752DBB"/>
    <w:rsid w:val="00752F71"/>
    <w:rsid w:val="0075324C"/>
    <w:rsid w:val="00753371"/>
    <w:rsid w:val="0075349F"/>
    <w:rsid w:val="007535EA"/>
    <w:rsid w:val="007536A3"/>
    <w:rsid w:val="00753C1B"/>
    <w:rsid w:val="00753CD5"/>
    <w:rsid w:val="00753CDF"/>
    <w:rsid w:val="00753D3C"/>
    <w:rsid w:val="00753DEB"/>
    <w:rsid w:val="00753FE5"/>
    <w:rsid w:val="00754292"/>
    <w:rsid w:val="0075437A"/>
    <w:rsid w:val="007543BF"/>
    <w:rsid w:val="007544A4"/>
    <w:rsid w:val="007546AB"/>
    <w:rsid w:val="00754762"/>
    <w:rsid w:val="007547F5"/>
    <w:rsid w:val="0075481A"/>
    <w:rsid w:val="00754EB1"/>
    <w:rsid w:val="00754F39"/>
    <w:rsid w:val="007551AA"/>
    <w:rsid w:val="0075522C"/>
    <w:rsid w:val="0075536C"/>
    <w:rsid w:val="00755399"/>
    <w:rsid w:val="00755491"/>
    <w:rsid w:val="00755536"/>
    <w:rsid w:val="0075563B"/>
    <w:rsid w:val="007556BD"/>
    <w:rsid w:val="00755F92"/>
    <w:rsid w:val="0075605B"/>
    <w:rsid w:val="00756183"/>
    <w:rsid w:val="00756352"/>
    <w:rsid w:val="007563F7"/>
    <w:rsid w:val="007567C6"/>
    <w:rsid w:val="00756860"/>
    <w:rsid w:val="0075697A"/>
    <w:rsid w:val="00756AED"/>
    <w:rsid w:val="00756BED"/>
    <w:rsid w:val="00756CA8"/>
    <w:rsid w:val="0075702A"/>
    <w:rsid w:val="0075712B"/>
    <w:rsid w:val="007571D3"/>
    <w:rsid w:val="007572C7"/>
    <w:rsid w:val="00757474"/>
    <w:rsid w:val="007574FB"/>
    <w:rsid w:val="00757598"/>
    <w:rsid w:val="00757728"/>
    <w:rsid w:val="00757788"/>
    <w:rsid w:val="007578AC"/>
    <w:rsid w:val="00757AE1"/>
    <w:rsid w:val="00757B00"/>
    <w:rsid w:val="00757E5A"/>
    <w:rsid w:val="00757F1B"/>
    <w:rsid w:val="00757F8A"/>
    <w:rsid w:val="00757FD2"/>
    <w:rsid w:val="007600F7"/>
    <w:rsid w:val="00760381"/>
    <w:rsid w:val="007603EA"/>
    <w:rsid w:val="007604F6"/>
    <w:rsid w:val="007607CB"/>
    <w:rsid w:val="007608AD"/>
    <w:rsid w:val="007608DD"/>
    <w:rsid w:val="00760908"/>
    <w:rsid w:val="00760E3A"/>
    <w:rsid w:val="00760EB3"/>
    <w:rsid w:val="00760F27"/>
    <w:rsid w:val="007610DE"/>
    <w:rsid w:val="007611DB"/>
    <w:rsid w:val="0076121C"/>
    <w:rsid w:val="0076150D"/>
    <w:rsid w:val="00761650"/>
    <w:rsid w:val="00761780"/>
    <w:rsid w:val="00761902"/>
    <w:rsid w:val="00761949"/>
    <w:rsid w:val="0076194D"/>
    <w:rsid w:val="00761A62"/>
    <w:rsid w:val="00761FA8"/>
    <w:rsid w:val="00762040"/>
    <w:rsid w:val="007623D9"/>
    <w:rsid w:val="0076274D"/>
    <w:rsid w:val="0076285D"/>
    <w:rsid w:val="007629E1"/>
    <w:rsid w:val="00762CEE"/>
    <w:rsid w:val="007630EE"/>
    <w:rsid w:val="007632EE"/>
    <w:rsid w:val="0076354C"/>
    <w:rsid w:val="00763780"/>
    <w:rsid w:val="007637AC"/>
    <w:rsid w:val="007637EA"/>
    <w:rsid w:val="0076391D"/>
    <w:rsid w:val="00763EF4"/>
    <w:rsid w:val="007640CC"/>
    <w:rsid w:val="0076459A"/>
    <w:rsid w:val="007645D6"/>
    <w:rsid w:val="00764843"/>
    <w:rsid w:val="007648F1"/>
    <w:rsid w:val="00764945"/>
    <w:rsid w:val="00764964"/>
    <w:rsid w:val="00764BAA"/>
    <w:rsid w:val="00764E97"/>
    <w:rsid w:val="00765026"/>
    <w:rsid w:val="0076502A"/>
    <w:rsid w:val="007651DD"/>
    <w:rsid w:val="007654C3"/>
    <w:rsid w:val="007656FA"/>
    <w:rsid w:val="007657BE"/>
    <w:rsid w:val="00765AEE"/>
    <w:rsid w:val="00765B7C"/>
    <w:rsid w:val="00765CD1"/>
    <w:rsid w:val="00765D06"/>
    <w:rsid w:val="007668EB"/>
    <w:rsid w:val="00766D8A"/>
    <w:rsid w:val="00766F90"/>
    <w:rsid w:val="00767196"/>
    <w:rsid w:val="007673AE"/>
    <w:rsid w:val="007674C5"/>
    <w:rsid w:val="00767539"/>
    <w:rsid w:val="00767630"/>
    <w:rsid w:val="00767695"/>
    <w:rsid w:val="007676D7"/>
    <w:rsid w:val="007676FF"/>
    <w:rsid w:val="00767855"/>
    <w:rsid w:val="00767974"/>
    <w:rsid w:val="00767C3D"/>
    <w:rsid w:val="00767CE6"/>
    <w:rsid w:val="00767CF7"/>
    <w:rsid w:val="00767DF5"/>
    <w:rsid w:val="00770129"/>
    <w:rsid w:val="0077046C"/>
    <w:rsid w:val="00770726"/>
    <w:rsid w:val="00770728"/>
    <w:rsid w:val="00770798"/>
    <w:rsid w:val="00770C49"/>
    <w:rsid w:val="00770EE7"/>
    <w:rsid w:val="00770EFF"/>
    <w:rsid w:val="00771015"/>
    <w:rsid w:val="00771047"/>
    <w:rsid w:val="00771408"/>
    <w:rsid w:val="00771550"/>
    <w:rsid w:val="00771673"/>
    <w:rsid w:val="0077175E"/>
    <w:rsid w:val="00771802"/>
    <w:rsid w:val="0077190D"/>
    <w:rsid w:val="00771BE0"/>
    <w:rsid w:val="00771CA8"/>
    <w:rsid w:val="00771D29"/>
    <w:rsid w:val="00771EF4"/>
    <w:rsid w:val="00772085"/>
    <w:rsid w:val="00772207"/>
    <w:rsid w:val="0077231F"/>
    <w:rsid w:val="007723C7"/>
    <w:rsid w:val="0077278E"/>
    <w:rsid w:val="007727D7"/>
    <w:rsid w:val="007729BE"/>
    <w:rsid w:val="00772BE1"/>
    <w:rsid w:val="00772BF3"/>
    <w:rsid w:val="00772CCB"/>
    <w:rsid w:val="00773300"/>
    <w:rsid w:val="007733E3"/>
    <w:rsid w:val="0077341F"/>
    <w:rsid w:val="00773465"/>
    <w:rsid w:val="00773477"/>
    <w:rsid w:val="00773508"/>
    <w:rsid w:val="00773581"/>
    <w:rsid w:val="0077373D"/>
    <w:rsid w:val="00773BE9"/>
    <w:rsid w:val="00773D77"/>
    <w:rsid w:val="007745A2"/>
    <w:rsid w:val="0077475B"/>
    <w:rsid w:val="00774B04"/>
    <w:rsid w:val="00774BAD"/>
    <w:rsid w:val="00774BE5"/>
    <w:rsid w:val="00774CED"/>
    <w:rsid w:val="00774D39"/>
    <w:rsid w:val="00774DFF"/>
    <w:rsid w:val="00774E66"/>
    <w:rsid w:val="00775083"/>
    <w:rsid w:val="00775124"/>
    <w:rsid w:val="00775237"/>
    <w:rsid w:val="0077528D"/>
    <w:rsid w:val="007752B4"/>
    <w:rsid w:val="0077536A"/>
    <w:rsid w:val="007754B3"/>
    <w:rsid w:val="0077557F"/>
    <w:rsid w:val="007757BD"/>
    <w:rsid w:val="00775A17"/>
    <w:rsid w:val="00775C39"/>
    <w:rsid w:val="00775C4F"/>
    <w:rsid w:val="00775CE0"/>
    <w:rsid w:val="007761BE"/>
    <w:rsid w:val="0077620B"/>
    <w:rsid w:val="007763E9"/>
    <w:rsid w:val="00776568"/>
    <w:rsid w:val="0077658F"/>
    <w:rsid w:val="00776694"/>
    <w:rsid w:val="007766D5"/>
    <w:rsid w:val="007766FC"/>
    <w:rsid w:val="0077674C"/>
    <w:rsid w:val="007767A7"/>
    <w:rsid w:val="0077682E"/>
    <w:rsid w:val="00776981"/>
    <w:rsid w:val="00776B31"/>
    <w:rsid w:val="00776B9C"/>
    <w:rsid w:val="00776BBB"/>
    <w:rsid w:val="00776E00"/>
    <w:rsid w:val="00776E76"/>
    <w:rsid w:val="00776FFD"/>
    <w:rsid w:val="0077713D"/>
    <w:rsid w:val="007772FB"/>
    <w:rsid w:val="00777345"/>
    <w:rsid w:val="007774F5"/>
    <w:rsid w:val="0077770A"/>
    <w:rsid w:val="0077788B"/>
    <w:rsid w:val="00777A56"/>
    <w:rsid w:val="00777AEC"/>
    <w:rsid w:val="00777FF9"/>
    <w:rsid w:val="00780034"/>
    <w:rsid w:val="0078024A"/>
    <w:rsid w:val="0078039B"/>
    <w:rsid w:val="00780564"/>
    <w:rsid w:val="0078056C"/>
    <w:rsid w:val="007805FF"/>
    <w:rsid w:val="0078072D"/>
    <w:rsid w:val="00780A18"/>
    <w:rsid w:val="00780A5B"/>
    <w:rsid w:val="00780B6E"/>
    <w:rsid w:val="00780C80"/>
    <w:rsid w:val="00780E2A"/>
    <w:rsid w:val="00780F0A"/>
    <w:rsid w:val="00781016"/>
    <w:rsid w:val="007810CC"/>
    <w:rsid w:val="007813F2"/>
    <w:rsid w:val="00781482"/>
    <w:rsid w:val="00781490"/>
    <w:rsid w:val="00781ABD"/>
    <w:rsid w:val="00781E4E"/>
    <w:rsid w:val="00781F5D"/>
    <w:rsid w:val="00781FC1"/>
    <w:rsid w:val="0078210A"/>
    <w:rsid w:val="00782178"/>
    <w:rsid w:val="007821FF"/>
    <w:rsid w:val="007822FF"/>
    <w:rsid w:val="0078246D"/>
    <w:rsid w:val="0078251E"/>
    <w:rsid w:val="007825C1"/>
    <w:rsid w:val="0078261A"/>
    <w:rsid w:val="007826A9"/>
    <w:rsid w:val="007829E3"/>
    <w:rsid w:val="00782B0C"/>
    <w:rsid w:val="00782D3D"/>
    <w:rsid w:val="00782EF4"/>
    <w:rsid w:val="00782F22"/>
    <w:rsid w:val="0078310F"/>
    <w:rsid w:val="00783596"/>
    <w:rsid w:val="00783AFE"/>
    <w:rsid w:val="00783B30"/>
    <w:rsid w:val="00783C36"/>
    <w:rsid w:val="00783EF8"/>
    <w:rsid w:val="00784001"/>
    <w:rsid w:val="0078402A"/>
    <w:rsid w:val="00784323"/>
    <w:rsid w:val="0078440E"/>
    <w:rsid w:val="0078441E"/>
    <w:rsid w:val="0078450F"/>
    <w:rsid w:val="00784919"/>
    <w:rsid w:val="00784B4F"/>
    <w:rsid w:val="00784C78"/>
    <w:rsid w:val="00784DD0"/>
    <w:rsid w:val="00784FEC"/>
    <w:rsid w:val="00785109"/>
    <w:rsid w:val="00785202"/>
    <w:rsid w:val="007852A8"/>
    <w:rsid w:val="00785D18"/>
    <w:rsid w:val="00785FF1"/>
    <w:rsid w:val="007860F1"/>
    <w:rsid w:val="0078616A"/>
    <w:rsid w:val="007864B2"/>
    <w:rsid w:val="0078652B"/>
    <w:rsid w:val="00786587"/>
    <w:rsid w:val="007867B0"/>
    <w:rsid w:val="0078696D"/>
    <w:rsid w:val="00786C70"/>
    <w:rsid w:val="00786DAE"/>
    <w:rsid w:val="00786E45"/>
    <w:rsid w:val="0078715C"/>
    <w:rsid w:val="007872C9"/>
    <w:rsid w:val="00787716"/>
    <w:rsid w:val="007878BA"/>
    <w:rsid w:val="007878BB"/>
    <w:rsid w:val="00787993"/>
    <w:rsid w:val="007879F8"/>
    <w:rsid w:val="00787A6F"/>
    <w:rsid w:val="00787B3B"/>
    <w:rsid w:val="00787DDD"/>
    <w:rsid w:val="007900CA"/>
    <w:rsid w:val="0079033A"/>
    <w:rsid w:val="0079049A"/>
    <w:rsid w:val="007904B0"/>
    <w:rsid w:val="007904C8"/>
    <w:rsid w:val="007904FB"/>
    <w:rsid w:val="007905A0"/>
    <w:rsid w:val="007906DC"/>
    <w:rsid w:val="007907B1"/>
    <w:rsid w:val="007908EB"/>
    <w:rsid w:val="00790C13"/>
    <w:rsid w:val="00790DBB"/>
    <w:rsid w:val="00790E1F"/>
    <w:rsid w:val="00790EE6"/>
    <w:rsid w:val="00790F18"/>
    <w:rsid w:val="00791088"/>
    <w:rsid w:val="007910D7"/>
    <w:rsid w:val="0079112C"/>
    <w:rsid w:val="0079189A"/>
    <w:rsid w:val="00791992"/>
    <w:rsid w:val="00791C0F"/>
    <w:rsid w:val="00791EB2"/>
    <w:rsid w:val="00791EDF"/>
    <w:rsid w:val="00791F92"/>
    <w:rsid w:val="00792023"/>
    <w:rsid w:val="007922DB"/>
    <w:rsid w:val="007923A5"/>
    <w:rsid w:val="00792402"/>
    <w:rsid w:val="0079242C"/>
    <w:rsid w:val="0079249B"/>
    <w:rsid w:val="00792607"/>
    <w:rsid w:val="0079284B"/>
    <w:rsid w:val="00792A42"/>
    <w:rsid w:val="00792CF9"/>
    <w:rsid w:val="00792DB0"/>
    <w:rsid w:val="00792E04"/>
    <w:rsid w:val="00792EAD"/>
    <w:rsid w:val="00792F07"/>
    <w:rsid w:val="00793126"/>
    <w:rsid w:val="007933B9"/>
    <w:rsid w:val="00793585"/>
    <w:rsid w:val="00793596"/>
    <w:rsid w:val="0079396B"/>
    <w:rsid w:val="00793A0F"/>
    <w:rsid w:val="00793C42"/>
    <w:rsid w:val="00793C7B"/>
    <w:rsid w:val="00793C9F"/>
    <w:rsid w:val="00793CB6"/>
    <w:rsid w:val="00793CE7"/>
    <w:rsid w:val="00794083"/>
    <w:rsid w:val="007943D5"/>
    <w:rsid w:val="00794666"/>
    <w:rsid w:val="0079466E"/>
    <w:rsid w:val="007946D8"/>
    <w:rsid w:val="00794D4F"/>
    <w:rsid w:val="00794E4F"/>
    <w:rsid w:val="00795087"/>
    <w:rsid w:val="0079528A"/>
    <w:rsid w:val="00795493"/>
    <w:rsid w:val="00795542"/>
    <w:rsid w:val="00795831"/>
    <w:rsid w:val="00795922"/>
    <w:rsid w:val="00795A55"/>
    <w:rsid w:val="00795A91"/>
    <w:rsid w:val="00796018"/>
    <w:rsid w:val="00796153"/>
    <w:rsid w:val="0079636A"/>
    <w:rsid w:val="007964A5"/>
    <w:rsid w:val="007965F5"/>
    <w:rsid w:val="007966CF"/>
    <w:rsid w:val="0079686C"/>
    <w:rsid w:val="00796889"/>
    <w:rsid w:val="00796A10"/>
    <w:rsid w:val="00796C64"/>
    <w:rsid w:val="00796E1B"/>
    <w:rsid w:val="00796FDB"/>
    <w:rsid w:val="0079726B"/>
    <w:rsid w:val="007972E5"/>
    <w:rsid w:val="007973DB"/>
    <w:rsid w:val="00797807"/>
    <w:rsid w:val="00797AED"/>
    <w:rsid w:val="00797EB7"/>
    <w:rsid w:val="00797EF4"/>
    <w:rsid w:val="007A017C"/>
    <w:rsid w:val="007A07D1"/>
    <w:rsid w:val="007A0868"/>
    <w:rsid w:val="007A08B8"/>
    <w:rsid w:val="007A09DC"/>
    <w:rsid w:val="007A0B0E"/>
    <w:rsid w:val="007A0B48"/>
    <w:rsid w:val="007A0CB9"/>
    <w:rsid w:val="007A0E71"/>
    <w:rsid w:val="007A1334"/>
    <w:rsid w:val="007A13E1"/>
    <w:rsid w:val="007A169D"/>
    <w:rsid w:val="007A1A09"/>
    <w:rsid w:val="007A1B47"/>
    <w:rsid w:val="007A20DF"/>
    <w:rsid w:val="007A23C6"/>
    <w:rsid w:val="007A24E1"/>
    <w:rsid w:val="007A251E"/>
    <w:rsid w:val="007A25C9"/>
    <w:rsid w:val="007A26D2"/>
    <w:rsid w:val="007A27DB"/>
    <w:rsid w:val="007A2CD3"/>
    <w:rsid w:val="007A32BC"/>
    <w:rsid w:val="007A340F"/>
    <w:rsid w:val="007A36C2"/>
    <w:rsid w:val="007A3913"/>
    <w:rsid w:val="007A3941"/>
    <w:rsid w:val="007A39E4"/>
    <w:rsid w:val="007A3D87"/>
    <w:rsid w:val="007A41E9"/>
    <w:rsid w:val="007A42E6"/>
    <w:rsid w:val="007A4809"/>
    <w:rsid w:val="007A48F8"/>
    <w:rsid w:val="007A49E5"/>
    <w:rsid w:val="007A4A58"/>
    <w:rsid w:val="007A4A6B"/>
    <w:rsid w:val="007A4D2F"/>
    <w:rsid w:val="007A4DA3"/>
    <w:rsid w:val="007A4ED5"/>
    <w:rsid w:val="007A511B"/>
    <w:rsid w:val="007A5222"/>
    <w:rsid w:val="007A534E"/>
    <w:rsid w:val="007A547B"/>
    <w:rsid w:val="007A5529"/>
    <w:rsid w:val="007A55DC"/>
    <w:rsid w:val="007A56BE"/>
    <w:rsid w:val="007A5763"/>
    <w:rsid w:val="007A5812"/>
    <w:rsid w:val="007A5941"/>
    <w:rsid w:val="007A5955"/>
    <w:rsid w:val="007A5AE1"/>
    <w:rsid w:val="007A5B0B"/>
    <w:rsid w:val="007A5BBF"/>
    <w:rsid w:val="007A5BFD"/>
    <w:rsid w:val="007A5C96"/>
    <w:rsid w:val="007A5D56"/>
    <w:rsid w:val="007A5E13"/>
    <w:rsid w:val="007A5EA0"/>
    <w:rsid w:val="007A618D"/>
    <w:rsid w:val="007A6379"/>
    <w:rsid w:val="007A68A4"/>
    <w:rsid w:val="007A68D3"/>
    <w:rsid w:val="007A6A64"/>
    <w:rsid w:val="007A6CF8"/>
    <w:rsid w:val="007A6D39"/>
    <w:rsid w:val="007A6F50"/>
    <w:rsid w:val="007A7069"/>
    <w:rsid w:val="007A7167"/>
    <w:rsid w:val="007A7302"/>
    <w:rsid w:val="007A737B"/>
    <w:rsid w:val="007A76AB"/>
    <w:rsid w:val="007A7725"/>
    <w:rsid w:val="007A7CA8"/>
    <w:rsid w:val="007A7E33"/>
    <w:rsid w:val="007A7E3E"/>
    <w:rsid w:val="007A7FE5"/>
    <w:rsid w:val="007A7FF2"/>
    <w:rsid w:val="007B00D2"/>
    <w:rsid w:val="007B0718"/>
    <w:rsid w:val="007B07FA"/>
    <w:rsid w:val="007B09C8"/>
    <w:rsid w:val="007B0BD4"/>
    <w:rsid w:val="007B0BEC"/>
    <w:rsid w:val="007B0E80"/>
    <w:rsid w:val="007B1580"/>
    <w:rsid w:val="007B165E"/>
    <w:rsid w:val="007B1BB8"/>
    <w:rsid w:val="007B1D5B"/>
    <w:rsid w:val="007B1E6E"/>
    <w:rsid w:val="007B21D7"/>
    <w:rsid w:val="007B2253"/>
    <w:rsid w:val="007B2334"/>
    <w:rsid w:val="007B234A"/>
    <w:rsid w:val="007B23B0"/>
    <w:rsid w:val="007B2405"/>
    <w:rsid w:val="007B25C6"/>
    <w:rsid w:val="007B26FB"/>
    <w:rsid w:val="007B299C"/>
    <w:rsid w:val="007B2C50"/>
    <w:rsid w:val="007B2C7B"/>
    <w:rsid w:val="007B301D"/>
    <w:rsid w:val="007B3062"/>
    <w:rsid w:val="007B3935"/>
    <w:rsid w:val="007B3949"/>
    <w:rsid w:val="007B3A2B"/>
    <w:rsid w:val="007B3DB9"/>
    <w:rsid w:val="007B4051"/>
    <w:rsid w:val="007B42A5"/>
    <w:rsid w:val="007B4430"/>
    <w:rsid w:val="007B45CD"/>
    <w:rsid w:val="007B47F8"/>
    <w:rsid w:val="007B4912"/>
    <w:rsid w:val="007B4A66"/>
    <w:rsid w:val="007B4B37"/>
    <w:rsid w:val="007B4D0E"/>
    <w:rsid w:val="007B5298"/>
    <w:rsid w:val="007B52A2"/>
    <w:rsid w:val="007B5410"/>
    <w:rsid w:val="007B5691"/>
    <w:rsid w:val="007B56BE"/>
    <w:rsid w:val="007B5744"/>
    <w:rsid w:val="007B58CE"/>
    <w:rsid w:val="007B5A2A"/>
    <w:rsid w:val="007B6123"/>
    <w:rsid w:val="007B6278"/>
    <w:rsid w:val="007B62C2"/>
    <w:rsid w:val="007B64B0"/>
    <w:rsid w:val="007B6588"/>
    <w:rsid w:val="007B6725"/>
    <w:rsid w:val="007B6971"/>
    <w:rsid w:val="007B6D53"/>
    <w:rsid w:val="007B7086"/>
    <w:rsid w:val="007B73C9"/>
    <w:rsid w:val="007B74AA"/>
    <w:rsid w:val="007B74E6"/>
    <w:rsid w:val="007B787F"/>
    <w:rsid w:val="007B7930"/>
    <w:rsid w:val="007B7AC3"/>
    <w:rsid w:val="007B7AC6"/>
    <w:rsid w:val="007B7C89"/>
    <w:rsid w:val="007B7D63"/>
    <w:rsid w:val="007B7D67"/>
    <w:rsid w:val="007B7EFA"/>
    <w:rsid w:val="007C0103"/>
    <w:rsid w:val="007C0535"/>
    <w:rsid w:val="007C0810"/>
    <w:rsid w:val="007C0C4A"/>
    <w:rsid w:val="007C103B"/>
    <w:rsid w:val="007C10C5"/>
    <w:rsid w:val="007C1301"/>
    <w:rsid w:val="007C130E"/>
    <w:rsid w:val="007C137A"/>
    <w:rsid w:val="007C1387"/>
    <w:rsid w:val="007C160D"/>
    <w:rsid w:val="007C1610"/>
    <w:rsid w:val="007C1787"/>
    <w:rsid w:val="007C17DF"/>
    <w:rsid w:val="007C17EB"/>
    <w:rsid w:val="007C1828"/>
    <w:rsid w:val="007C1892"/>
    <w:rsid w:val="007C18AF"/>
    <w:rsid w:val="007C1A5D"/>
    <w:rsid w:val="007C1DAD"/>
    <w:rsid w:val="007C207F"/>
    <w:rsid w:val="007C221A"/>
    <w:rsid w:val="007C247E"/>
    <w:rsid w:val="007C258E"/>
    <w:rsid w:val="007C25F3"/>
    <w:rsid w:val="007C27D8"/>
    <w:rsid w:val="007C27DE"/>
    <w:rsid w:val="007C2881"/>
    <w:rsid w:val="007C29F6"/>
    <w:rsid w:val="007C2B62"/>
    <w:rsid w:val="007C2DEA"/>
    <w:rsid w:val="007C2DF6"/>
    <w:rsid w:val="007C2E27"/>
    <w:rsid w:val="007C3060"/>
    <w:rsid w:val="007C3098"/>
    <w:rsid w:val="007C3329"/>
    <w:rsid w:val="007C3415"/>
    <w:rsid w:val="007C35AB"/>
    <w:rsid w:val="007C36C7"/>
    <w:rsid w:val="007C3950"/>
    <w:rsid w:val="007C3980"/>
    <w:rsid w:val="007C398B"/>
    <w:rsid w:val="007C3AE4"/>
    <w:rsid w:val="007C400F"/>
    <w:rsid w:val="007C42D0"/>
    <w:rsid w:val="007C479D"/>
    <w:rsid w:val="007C48EA"/>
    <w:rsid w:val="007C498A"/>
    <w:rsid w:val="007C49F9"/>
    <w:rsid w:val="007C4A3E"/>
    <w:rsid w:val="007C4AE2"/>
    <w:rsid w:val="007C4ECF"/>
    <w:rsid w:val="007C4FC3"/>
    <w:rsid w:val="007C5022"/>
    <w:rsid w:val="007C5030"/>
    <w:rsid w:val="007C55F9"/>
    <w:rsid w:val="007C5965"/>
    <w:rsid w:val="007C5A30"/>
    <w:rsid w:val="007C5B86"/>
    <w:rsid w:val="007C5D3B"/>
    <w:rsid w:val="007C5DB5"/>
    <w:rsid w:val="007C5F40"/>
    <w:rsid w:val="007C5F9F"/>
    <w:rsid w:val="007C6276"/>
    <w:rsid w:val="007C65B7"/>
    <w:rsid w:val="007C6655"/>
    <w:rsid w:val="007C679E"/>
    <w:rsid w:val="007C688E"/>
    <w:rsid w:val="007C68F6"/>
    <w:rsid w:val="007C6D01"/>
    <w:rsid w:val="007C6E50"/>
    <w:rsid w:val="007C6F8E"/>
    <w:rsid w:val="007C6FF1"/>
    <w:rsid w:val="007C7494"/>
    <w:rsid w:val="007C780E"/>
    <w:rsid w:val="007C7BB7"/>
    <w:rsid w:val="007C7C81"/>
    <w:rsid w:val="007C7D12"/>
    <w:rsid w:val="007C7E63"/>
    <w:rsid w:val="007C7EDE"/>
    <w:rsid w:val="007D0416"/>
    <w:rsid w:val="007D085A"/>
    <w:rsid w:val="007D085F"/>
    <w:rsid w:val="007D08CD"/>
    <w:rsid w:val="007D08EA"/>
    <w:rsid w:val="007D099D"/>
    <w:rsid w:val="007D0A7E"/>
    <w:rsid w:val="007D0ABA"/>
    <w:rsid w:val="007D0AD6"/>
    <w:rsid w:val="007D0B47"/>
    <w:rsid w:val="007D0D03"/>
    <w:rsid w:val="007D1132"/>
    <w:rsid w:val="007D11DC"/>
    <w:rsid w:val="007D124F"/>
    <w:rsid w:val="007D1348"/>
    <w:rsid w:val="007D15B3"/>
    <w:rsid w:val="007D165D"/>
    <w:rsid w:val="007D1772"/>
    <w:rsid w:val="007D186C"/>
    <w:rsid w:val="007D189B"/>
    <w:rsid w:val="007D18F6"/>
    <w:rsid w:val="007D1B62"/>
    <w:rsid w:val="007D1CFA"/>
    <w:rsid w:val="007D1D0A"/>
    <w:rsid w:val="007D1D1E"/>
    <w:rsid w:val="007D1D84"/>
    <w:rsid w:val="007D1EA8"/>
    <w:rsid w:val="007D2051"/>
    <w:rsid w:val="007D208A"/>
    <w:rsid w:val="007D2112"/>
    <w:rsid w:val="007D2388"/>
    <w:rsid w:val="007D250C"/>
    <w:rsid w:val="007D25F6"/>
    <w:rsid w:val="007D278F"/>
    <w:rsid w:val="007D2913"/>
    <w:rsid w:val="007D2A3C"/>
    <w:rsid w:val="007D2BF6"/>
    <w:rsid w:val="007D30A3"/>
    <w:rsid w:val="007D3151"/>
    <w:rsid w:val="007D3515"/>
    <w:rsid w:val="007D36D1"/>
    <w:rsid w:val="007D3808"/>
    <w:rsid w:val="007D3AE2"/>
    <w:rsid w:val="007D3C7B"/>
    <w:rsid w:val="007D3CDC"/>
    <w:rsid w:val="007D3E9F"/>
    <w:rsid w:val="007D3F93"/>
    <w:rsid w:val="007D3FA2"/>
    <w:rsid w:val="007D4189"/>
    <w:rsid w:val="007D42FE"/>
    <w:rsid w:val="007D43D8"/>
    <w:rsid w:val="007D4477"/>
    <w:rsid w:val="007D44DE"/>
    <w:rsid w:val="007D4539"/>
    <w:rsid w:val="007D46AC"/>
    <w:rsid w:val="007D49BC"/>
    <w:rsid w:val="007D4A8B"/>
    <w:rsid w:val="007D4B19"/>
    <w:rsid w:val="007D4B6F"/>
    <w:rsid w:val="007D4E5A"/>
    <w:rsid w:val="007D51D0"/>
    <w:rsid w:val="007D5268"/>
    <w:rsid w:val="007D5318"/>
    <w:rsid w:val="007D53AD"/>
    <w:rsid w:val="007D5506"/>
    <w:rsid w:val="007D555F"/>
    <w:rsid w:val="007D5570"/>
    <w:rsid w:val="007D5670"/>
    <w:rsid w:val="007D57DF"/>
    <w:rsid w:val="007D594D"/>
    <w:rsid w:val="007D5A24"/>
    <w:rsid w:val="007D5AB4"/>
    <w:rsid w:val="007D5B23"/>
    <w:rsid w:val="007D5BDB"/>
    <w:rsid w:val="007D5DDC"/>
    <w:rsid w:val="007D5EEC"/>
    <w:rsid w:val="007D5F17"/>
    <w:rsid w:val="007D6007"/>
    <w:rsid w:val="007D6058"/>
    <w:rsid w:val="007D6347"/>
    <w:rsid w:val="007D63F7"/>
    <w:rsid w:val="007D64F5"/>
    <w:rsid w:val="007D65D8"/>
    <w:rsid w:val="007D66D2"/>
    <w:rsid w:val="007D69E6"/>
    <w:rsid w:val="007D6C40"/>
    <w:rsid w:val="007D6D7C"/>
    <w:rsid w:val="007D6EB4"/>
    <w:rsid w:val="007D70A1"/>
    <w:rsid w:val="007D7137"/>
    <w:rsid w:val="007D71E3"/>
    <w:rsid w:val="007D7275"/>
    <w:rsid w:val="007D78D3"/>
    <w:rsid w:val="007D79D1"/>
    <w:rsid w:val="007D79D9"/>
    <w:rsid w:val="007D7AEE"/>
    <w:rsid w:val="007D7B19"/>
    <w:rsid w:val="007D7C61"/>
    <w:rsid w:val="007D7E2A"/>
    <w:rsid w:val="007D7E8F"/>
    <w:rsid w:val="007E01BF"/>
    <w:rsid w:val="007E0208"/>
    <w:rsid w:val="007E0218"/>
    <w:rsid w:val="007E0242"/>
    <w:rsid w:val="007E0320"/>
    <w:rsid w:val="007E036F"/>
    <w:rsid w:val="007E0C46"/>
    <w:rsid w:val="007E1246"/>
    <w:rsid w:val="007E1378"/>
    <w:rsid w:val="007E13FA"/>
    <w:rsid w:val="007E1409"/>
    <w:rsid w:val="007E1494"/>
    <w:rsid w:val="007E15AC"/>
    <w:rsid w:val="007E1854"/>
    <w:rsid w:val="007E1ABD"/>
    <w:rsid w:val="007E1DAE"/>
    <w:rsid w:val="007E1E82"/>
    <w:rsid w:val="007E1EA7"/>
    <w:rsid w:val="007E1F50"/>
    <w:rsid w:val="007E2019"/>
    <w:rsid w:val="007E2090"/>
    <w:rsid w:val="007E20B5"/>
    <w:rsid w:val="007E2629"/>
    <w:rsid w:val="007E2A35"/>
    <w:rsid w:val="007E2AB8"/>
    <w:rsid w:val="007E33CE"/>
    <w:rsid w:val="007E3445"/>
    <w:rsid w:val="007E36EB"/>
    <w:rsid w:val="007E393A"/>
    <w:rsid w:val="007E3C0F"/>
    <w:rsid w:val="007E3D20"/>
    <w:rsid w:val="007E3E79"/>
    <w:rsid w:val="007E3ECA"/>
    <w:rsid w:val="007E3F83"/>
    <w:rsid w:val="007E45A4"/>
    <w:rsid w:val="007E462E"/>
    <w:rsid w:val="007E48C7"/>
    <w:rsid w:val="007E4923"/>
    <w:rsid w:val="007E4C8F"/>
    <w:rsid w:val="007E4CAE"/>
    <w:rsid w:val="007E4CFE"/>
    <w:rsid w:val="007E4E4C"/>
    <w:rsid w:val="007E4F11"/>
    <w:rsid w:val="007E5141"/>
    <w:rsid w:val="007E5245"/>
    <w:rsid w:val="007E541F"/>
    <w:rsid w:val="007E556F"/>
    <w:rsid w:val="007E5586"/>
    <w:rsid w:val="007E57A1"/>
    <w:rsid w:val="007E58BF"/>
    <w:rsid w:val="007E5E1A"/>
    <w:rsid w:val="007E5E1B"/>
    <w:rsid w:val="007E6178"/>
    <w:rsid w:val="007E6450"/>
    <w:rsid w:val="007E6779"/>
    <w:rsid w:val="007E6A2A"/>
    <w:rsid w:val="007E6B72"/>
    <w:rsid w:val="007E6C7A"/>
    <w:rsid w:val="007E6FE7"/>
    <w:rsid w:val="007E7035"/>
    <w:rsid w:val="007E70BD"/>
    <w:rsid w:val="007E73C2"/>
    <w:rsid w:val="007E74D5"/>
    <w:rsid w:val="007E74F1"/>
    <w:rsid w:val="007E7507"/>
    <w:rsid w:val="007E763A"/>
    <w:rsid w:val="007E76A2"/>
    <w:rsid w:val="007E77B6"/>
    <w:rsid w:val="007E7981"/>
    <w:rsid w:val="007E7A65"/>
    <w:rsid w:val="007E7B37"/>
    <w:rsid w:val="007E7B53"/>
    <w:rsid w:val="007F00E6"/>
    <w:rsid w:val="007F04D1"/>
    <w:rsid w:val="007F0668"/>
    <w:rsid w:val="007F07B4"/>
    <w:rsid w:val="007F0AB8"/>
    <w:rsid w:val="007F0B3F"/>
    <w:rsid w:val="007F0C44"/>
    <w:rsid w:val="007F0C96"/>
    <w:rsid w:val="007F0F3E"/>
    <w:rsid w:val="007F16CB"/>
    <w:rsid w:val="007F1F0B"/>
    <w:rsid w:val="007F2447"/>
    <w:rsid w:val="007F24B6"/>
    <w:rsid w:val="007F27EB"/>
    <w:rsid w:val="007F2AC7"/>
    <w:rsid w:val="007F2E21"/>
    <w:rsid w:val="007F2EB3"/>
    <w:rsid w:val="007F2ED5"/>
    <w:rsid w:val="007F2FC4"/>
    <w:rsid w:val="007F30D8"/>
    <w:rsid w:val="007F3368"/>
    <w:rsid w:val="007F343C"/>
    <w:rsid w:val="007F389E"/>
    <w:rsid w:val="007F3A0C"/>
    <w:rsid w:val="007F3A6B"/>
    <w:rsid w:val="007F3F25"/>
    <w:rsid w:val="007F4182"/>
    <w:rsid w:val="007F4222"/>
    <w:rsid w:val="007F425E"/>
    <w:rsid w:val="007F4C4B"/>
    <w:rsid w:val="007F4CFB"/>
    <w:rsid w:val="007F4D77"/>
    <w:rsid w:val="007F4DF6"/>
    <w:rsid w:val="007F4E35"/>
    <w:rsid w:val="007F50BE"/>
    <w:rsid w:val="007F51D9"/>
    <w:rsid w:val="007F54A0"/>
    <w:rsid w:val="007F57C1"/>
    <w:rsid w:val="007F5897"/>
    <w:rsid w:val="007F58FE"/>
    <w:rsid w:val="007F5DD1"/>
    <w:rsid w:val="007F5ED6"/>
    <w:rsid w:val="007F5F04"/>
    <w:rsid w:val="007F5FC8"/>
    <w:rsid w:val="007F601C"/>
    <w:rsid w:val="007F60FF"/>
    <w:rsid w:val="007F6468"/>
    <w:rsid w:val="007F6658"/>
    <w:rsid w:val="007F69A8"/>
    <w:rsid w:val="007F6B1B"/>
    <w:rsid w:val="007F6CA4"/>
    <w:rsid w:val="007F6E08"/>
    <w:rsid w:val="007F6E28"/>
    <w:rsid w:val="007F6F20"/>
    <w:rsid w:val="007F6FF3"/>
    <w:rsid w:val="007F7068"/>
    <w:rsid w:val="007F7251"/>
    <w:rsid w:val="007F748C"/>
    <w:rsid w:val="007F76A2"/>
    <w:rsid w:val="007F7856"/>
    <w:rsid w:val="007F78B8"/>
    <w:rsid w:val="007F7C7D"/>
    <w:rsid w:val="007F7E84"/>
    <w:rsid w:val="00800139"/>
    <w:rsid w:val="008004D1"/>
    <w:rsid w:val="008004DF"/>
    <w:rsid w:val="00800552"/>
    <w:rsid w:val="00800682"/>
    <w:rsid w:val="00800B97"/>
    <w:rsid w:val="00800BB1"/>
    <w:rsid w:val="00800C1B"/>
    <w:rsid w:val="00800CA0"/>
    <w:rsid w:val="00800F22"/>
    <w:rsid w:val="00800F60"/>
    <w:rsid w:val="008010F6"/>
    <w:rsid w:val="00801210"/>
    <w:rsid w:val="008012EA"/>
    <w:rsid w:val="0080152A"/>
    <w:rsid w:val="008015DD"/>
    <w:rsid w:val="008016FA"/>
    <w:rsid w:val="00801898"/>
    <w:rsid w:val="00801A32"/>
    <w:rsid w:val="00801C7A"/>
    <w:rsid w:val="00801F0F"/>
    <w:rsid w:val="00802091"/>
    <w:rsid w:val="00802119"/>
    <w:rsid w:val="0080215B"/>
    <w:rsid w:val="00802201"/>
    <w:rsid w:val="008023F9"/>
    <w:rsid w:val="00802517"/>
    <w:rsid w:val="0080259E"/>
    <w:rsid w:val="008025C1"/>
    <w:rsid w:val="00802677"/>
    <w:rsid w:val="00802692"/>
    <w:rsid w:val="0080273C"/>
    <w:rsid w:val="00802CCD"/>
    <w:rsid w:val="00802D93"/>
    <w:rsid w:val="00802D99"/>
    <w:rsid w:val="00803006"/>
    <w:rsid w:val="008030D9"/>
    <w:rsid w:val="00803128"/>
    <w:rsid w:val="008031CA"/>
    <w:rsid w:val="0080334D"/>
    <w:rsid w:val="008033ED"/>
    <w:rsid w:val="00803455"/>
    <w:rsid w:val="00803533"/>
    <w:rsid w:val="00803766"/>
    <w:rsid w:val="008037EA"/>
    <w:rsid w:val="0080384C"/>
    <w:rsid w:val="00803985"/>
    <w:rsid w:val="00803C5F"/>
    <w:rsid w:val="00803DD7"/>
    <w:rsid w:val="00803F27"/>
    <w:rsid w:val="008042E2"/>
    <w:rsid w:val="008043DB"/>
    <w:rsid w:val="008046B9"/>
    <w:rsid w:val="0080470E"/>
    <w:rsid w:val="00804978"/>
    <w:rsid w:val="008049AA"/>
    <w:rsid w:val="00804AB9"/>
    <w:rsid w:val="00804B69"/>
    <w:rsid w:val="00804C73"/>
    <w:rsid w:val="008051F2"/>
    <w:rsid w:val="008053B8"/>
    <w:rsid w:val="00805657"/>
    <w:rsid w:val="00805878"/>
    <w:rsid w:val="008058CB"/>
    <w:rsid w:val="00805EB6"/>
    <w:rsid w:val="00805FB0"/>
    <w:rsid w:val="0080609A"/>
    <w:rsid w:val="0080639B"/>
    <w:rsid w:val="0080653D"/>
    <w:rsid w:val="008066C5"/>
    <w:rsid w:val="00807034"/>
    <w:rsid w:val="0080718C"/>
    <w:rsid w:val="008076FE"/>
    <w:rsid w:val="0080773D"/>
    <w:rsid w:val="0080796D"/>
    <w:rsid w:val="008079BF"/>
    <w:rsid w:val="00807C26"/>
    <w:rsid w:val="00807C76"/>
    <w:rsid w:val="008102C4"/>
    <w:rsid w:val="008102E3"/>
    <w:rsid w:val="008102F4"/>
    <w:rsid w:val="00810454"/>
    <w:rsid w:val="008104AE"/>
    <w:rsid w:val="00810586"/>
    <w:rsid w:val="008105DE"/>
    <w:rsid w:val="00810E0B"/>
    <w:rsid w:val="00811017"/>
    <w:rsid w:val="0081153C"/>
    <w:rsid w:val="008117FF"/>
    <w:rsid w:val="00811945"/>
    <w:rsid w:val="00811980"/>
    <w:rsid w:val="00811A33"/>
    <w:rsid w:val="00811AC9"/>
    <w:rsid w:val="00811B47"/>
    <w:rsid w:val="00811E84"/>
    <w:rsid w:val="00812054"/>
    <w:rsid w:val="00812067"/>
    <w:rsid w:val="00812205"/>
    <w:rsid w:val="00812230"/>
    <w:rsid w:val="008122C4"/>
    <w:rsid w:val="008122EE"/>
    <w:rsid w:val="00812340"/>
    <w:rsid w:val="00812489"/>
    <w:rsid w:val="008124A6"/>
    <w:rsid w:val="0081271A"/>
    <w:rsid w:val="008127E6"/>
    <w:rsid w:val="00812863"/>
    <w:rsid w:val="008128E7"/>
    <w:rsid w:val="00812C39"/>
    <w:rsid w:val="0081308C"/>
    <w:rsid w:val="00813305"/>
    <w:rsid w:val="00813375"/>
    <w:rsid w:val="008134FB"/>
    <w:rsid w:val="00813AD1"/>
    <w:rsid w:val="00813AFB"/>
    <w:rsid w:val="00813E88"/>
    <w:rsid w:val="00814020"/>
    <w:rsid w:val="008140AA"/>
    <w:rsid w:val="008140D4"/>
    <w:rsid w:val="0081412A"/>
    <w:rsid w:val="008141C1"/>
    <w:rsid w:val="0081422F"/>
    <w:rsid w:val="0081424C"/>
    <w:rsid w:val="00814307"/>
    <w:rsid w:val="0081434E"/>
    <w:rsid w:val="00814519"/>
    <w:rsid w:val="00814796"/>
    <w:rsid w:val="008148FB"/>
    <w:rsid w:val="00814BEA"/>
    <w:rsid w:val="00814CA4"/>
    <w:rsid w:val="00814FF3"/>
    <w:rsid w:val="008151DA"/>
    <w:rsid w:val="008152B8"/>
    <w:rsid w:val="008152F3"/>
    <w:rsid w:val="00815483"/>
    <w:rsid w:val="008156FF"/>
    <w:rsid w:val="008159F7"/>
    <w:rsid w:val="00815AD6"/>
    <w:rsid w:val="00815ADB"/>
    <w:rsid w:val="00815F48"/>
    <w:rsid w:val="00815F60"/>
    <w:rsid w:val="008160B7"/>
    <w:rsid w:val="0081684E"/>
    <w:rsid w:val="0081685B"/>
    <w:rsid w:val="0081685C"/>
    <w:rsid w:val="00816A47"/>
    <w:rsid w:val="00816E4A"/>
    <w:rsid w:val="00816F18"/>
    <w:rsid w:val="008172B1"/>
    <w:rsid w:val="00817510"/>
    <w:rsid w:val="008178C2"/>
    <w:rsid w:val="008178E9"/>
    <w:rsid w:val="00817A97"/>
    <w:rsid w:val="00817FF8"/>
    <w:rsid w:val="0082005B"/>
    <w:rsid w:val="0082008F"/>
    <w:rsid w:val="00820512"/>
    <w:rsid w:val="008207C4"/>
    <w:rsid w:val="0082093D"/>
    <w:rsid w:val="00820B46"/>
    <w:rsid w:val="00820B67"/>
    <w:rsid w:val="00820B76"/>
    <w:rsid w:val="00820C21"/>
    <w:rsid w:val="00820DF6"/>
    <w:rsid w:val="00821146"/>
    <w:rsid w:val="0082126D"/>
    <w:rsid w:val="00821421"/>
    <w:rsid w:val="00821588"/>
    <w:rsid w:val="00821623"/>
    <w:rsid w:val="0082171E"/>
    <w:rsid w:val="00821968"/>
    <w:rsid w:val="00821A6B"/>
    <w:rsid w:val="00821B1D"/>
    <w:rsid w:val="00821B5A"/>
    <w:rsid w:val="00821D15"/>
    <w:rsid w:val="00821E2B"/>
    <w:rsid w:val="00822040"/>
    <w:rsid w:val="0082213D"/>
    <w:rsid w:val="00822153"/>
    <w:rsid w:val="0082215E"/>
    <w:rsid w:val="008221ED"/>
    <w:rsid w:val="008226C0"/>
    <w:rsid w:val="008227A1"/>
    <w:rsid w:val="00822A12"/>
    <w:rsid w:val="00822A1F"/>
    <w:rsid w:val="00822D75"/>
    <w:rsid w:val="00823279"/>
    <w:rsid w:val="00823365"/>
    <w:rsid w:val="00823460"/>
    <w:rsid w:val="0082352E"/>
    <w:rsid w:val="0082398D"/>
    <w:rsid w:val="008239E9"/>
    <w:rsid w:val="00823AD3"/>
    <w:rsid w:val="00823B92"/>
    <w:rsid w:val="00823E5F"/>
    <w:rsid w:val="00824105"/>
    <w:rsid w:val="008241E7"/>
    <w:rsid w:val="0082437B"/>
    <w:rsid w:val="0082448D"/>
    <w:rsid w:val="00824D15"/>
    <w:rsid w:val="00824E16"/>
    <w:rsid w:val="00825023"/>
    <w:rsid w:val="00825071"/>
    <w:rsid w:val="0082548B"/>
    <w:rsid w:val="008254F4"/>
    <w:rsid w:val="008255FB"/>
    <w:rsid w:val="00825681"/>
    <w:rsid w:val="008256C6"/>
    <w:rsid w:val="008259EA"/>
    <w:rsid w:val="00825AFC"/>
    <w:rsid w:val="00825BC7"/>
    <w:rsid w:val="00825BDF"/>
    <w:rsid w:val="00825C3D"/>
    <w:rsid w:val="00825F0F"/>
    <w:rsid w:val="00826087"/>
    <w:rsid w:val="0082633D"/>
    <w:rsid w:val="0082678C"/>
    <w:rsid w:val="00826A40"/>
    <w:rsid w:val="00826A42"/>
    <w:rsid w:val="00826BC4"/>
    <w:rsid w:val="00826F42"/>
    <w:rsid w:val="00827055"/>
    <w:rsid w:val="00827200"/>
    <w:rsid w:val="0082730D"/>
    <w:rsid w:val="00827344"/>
    <w:rsid w:val="00827355"/>
    <w:rsid w:val="00827425"/>
    <w:rsid w:val="008274CE"/>
    <w:rsid w:val="0082778F"/>
    <w:rsid w:val="008277C4"/>
    <w:rsid w:val="00827A83"/>
    <w:rsid w:val="00827BCF"/>
    <w:rsid w:val="00827ECE"/>
    <w:rsid w:val="008300FA"/>
    <w:rsid w:val="0083023C"/>
    <w:rsid w:val="00830297"/>
    <w:rsid w:val="00830372"/>
    <w:rsid w:val="008304B3"/>
    <w:rsid w:val="00830663"/>
    <w:rsid w:val="00830794"/>
    <w:rsid w:val="00830917"/>
    <w:rsid w:val="00830D29"/>
    <w:rsid w:val="00830DB1"/>
    <w:rsid w:val="00830DDF"/>
    <w:rsid w:val="00830E18"/>
    <w:rsid w:val="00830E61"/>
    <w:rsid w:val="00830EDF"/>
    <w:rsid w:val="00830F22"/>
    <w:rsid w:val="00830F37"/>
    <w:rsid w:val="008310AF"/>
    <w:rsid w:val="0083119B"/>
    <w:rsid w:val="00831295"/>
    <w:rsid w:val="0083136C"/>
    <w:rsid w:val="008315E5"/>
    <w:rsid w:val="008316FA"/>
    <w:rsid w:val="008318FA"/>
    <w:rsid w:val="00831CE2"/>
    <w:rsid w:val="00831F37"/>
    <w:rsid w:val="00832234"/>
    <w:rsid w:val="008324AA"/>
    <w:rsid w:val="00832572"/>
    <w:rsid w:val="00832784"/>
    <w:rsid w:val="00832887"/>
    <w:rsid w:val="00832AEB"/>
    <w:rsid w:val="00832C4A"/>
    <w:rsid w:val="00832EB0"/>
    <w:rsid w:val="0083354A"/>
    <w:rsid w:val="00833640"/>
    <w:rsid w:val="00833710"/>
    <w:rsid w:val="008337B0"/>
    <w:rsid w:val="0083386C"/>
    <w:rsid w:val="0083388F"/>
    <w:rsid w:val="00833966"/>
    <w:rsid w:val="00833A78"/>
    <w:rsid w:val="00833B6C"/>
    <w:rsid w:val="00833D79"/>
    <w:rsid w:val="00833FC1"/>
    <w:rsid w:val="0083427D"/>
    <w:rsid w:val="0083441D"/>
    <w:rsid w:val="008345B8"/>
    <w:rsid w:val="008346E7"/>
    <w:rsid w:val="008347FF"/>
    <w:rsid w:val="0083481A"/>
    <w:rsid w:val="00834933"/>
    <w:rsid w:val="008349E2"/>
    <w:rsid w:val="00834CAF"/>
    <w:rsid w:val="00834D10"/>
    <w:rsid w:val="0083502B"/>
    <w:rsid w:val="008351A4"/>
    <w:rsid w:val="008351D9"/>
    <w:rsid w:val="00835378"/>
    <w:rsid w:val="0083540E"/>
    <w:rsid w:val="0083549E"/>
    <w:rsid w:val="0083558F"/>
    <w:rsid w:val="0083562C"/>
    <w:rsid w:val="0083564B"/>
    <w:rsid w:val="00835798"/>
    <w:rsid w:val="00835B23"/>
    <w:rsid w:val="008361EE"/>
    <w:rsid w:val="0083638A"/>
    <w:rsid w:val="008364F1"/>
    <w:rsid w:val="008365B8"/>
    <w:rsid w:val="008367F6"/>
    <w:rsid w:val="00837005"/>
    <w:rsid w:val="0083715B"/>
    <w:rsid w:val="008372C4"/>
    <w:rsid w:val="00837345"/>
    <w:rsid w:val="008375D3"/>
    <w:rsid w:val="0083766B"/>
    <w:rsid w:val="00837673"/>
    <w:rsid w:val="00837720"/>
    <w:rsid w:val="00837736"/>
    <w:rsid w:val="008377B7"/>
    <w:rsid w:val="00837BD0"/>
    <w:rsid w:val="00837CC6"/>
    <w:rsid w:val="00840021"/>
    <w:rsid w:val="0084019A"/>
    <w:rsid w:val="008405C6"/>
    <w:rsid w:val="0084096B"/>
    <w:rsid w:val="00840B0D"/>
    <w:rsid w:val="00840C92"/>
    <w:rsid w:val="00840DBB"/>
    <w:rsid w:val="00840E34"/>
    <w:rsid w:val="008416A8"/>
    <w:rsid w:val="0084176B"/>
    <w:rsid w:val="0084188F"/>
    <w:rsid w:val="00841F12"/>
    <w:rsid w:val="00841F83"/>
    <w:rsid w:val="00842300"/>
    <w:rsid w:val="008423C5"/>
    <w:rsid w:val="008426FC"/>
    <w:rsid w:val="00842709"/>
    <w:rsid w:val="008427D8"/>
    <w:rsid w:val="00842ACD"/>
    <w:rsid w:val="00842B8E"/>
    <w:rsid w:val="00842C1F"/>
    <w:rsid w:val="00842F77"/>
    <w:rsid w:val="00843179"/>
    <w:rsid w:val="008432EB"/>
    <w:rsid w:val="00843390"/>
    <w:rsid w:val="008434D2"/>
    <w:rsid w:val="008435B1"/>
    <w:rsid w:val="0084378D"/>
    <w:rsid w:val="008438CE"/>
    <w:rsid w:val="00843A19"/>
    <w:rsid w:val="00843A60"/>
    <w:rsid w:val="00843ED5"/>
    <w:rsid w:val="0084403A"/>
    <w:rsid w:val="00844143"/>
    <w:rsid w:val="008441A2"/>
    <w:rsid w:val="00844241"/>
    <w:rsid w:val="0084452B"/>
    <w:rsid w:val="008445C9"/>
    <w:rsid w:val="008446D6"/>
    <w:rsid w:val="00844774"/>
    <w:rsid w:val="00844D4D"/>
    <w:rsid w:val="00844D60"/>
    <w:rsid w:val="00844F16"/>
    <w:rsid w:val="00845126"/>
    <w:rsid w:val="008451B6"/>
    <w:rsid w:val="0084533A"/>
    <w:rsid w:val="0084534C"/>
    <w:rsid w:val="008454AD"/>
    <w:rsid w:val="0084550B"/>
    <w:rsid w:val="008456CE"/>
    <w:rsid w:val="00845E67"/>
    <w:rsid w:val="00845EA4"/>
    <w:rsid w:val="008460CC"/>
    <w:rsid w:val="008462E8"/>
    <w:rsid w:val="00846368"/>
    <w:rsid w:val="008464F7"/>
    <w:rsid w:val="00846676"/>
    <w:rsid w:val="00846794"/>
    <w:rsid w:val="008469AA"/>
    <w:rsid w:val="008469FE"/>
    <w:rsid w:val="00846B1C"/>
    <w:rsid w:val="00846B33"/>
    <w:rsid w:val="00846D4A"/>
    <w:rsid w:val="00847023"/>
    <w:rsid w:val="0084709A"/>
    <w:rsid w:val="0084721A"/>
    <w:rsid w:val="00847267"/>
    <w:rsid w:val="00847441"/>
    <w:rsid w:val="008474BB"/>
    <w:rsid w:val="0084761D"/>
    <w:rsid w:val="008476E9"/>
    <w:rsid w:val="008477FD"/>
    <w:rsid w:val="00847E4D"/>
    <w:rsid w:val="00847EB3"/>
    <w:rsid w:val="00850164"/>
    <w:rsid w:val="0085016E"/>
    <w:rsid w:val="008504AD"/>
    <w:rsid w:val="008506E8"/>
    <w:rsid w:val="00850DA3"/>
    <w:rsid w:val="00850DAC"/>
    <w:rsid w:val="00850EBC"/>
    <w:rsid w:val="00850F6B"/>
    <w:rsid w:val="0085132F"/>
    <w:rsid w:val="00851338"/>
    <w:rsid w:val="0085143C"/>
    <w:rsid w:val="00851485"/>
    <w:rsid w:val="008514FC"/>
    <w:rsid w:val="008519F5"/>
    <w:rsid w:val="00851B2C"/>
    <w:rsid w:val="00851B6D"/>
    <w:rsid w:val="00851C66"/>
    <w:rsid w:val="00851D37"/>
    <w:rsid w:val="00851EEB"/>
    <w:rsid w:val="00851F42"/>
    <w:rsid w:val="0085206A"/>
    <w:rsid w:val="00852308"/>
    <w:rsid w:val="008525E1"/>
    <w:rsid w:val="00852615"/>
    <w:rsid w:val="008528B1"/>
    <w:rsid w:val="00852984"/>
    <w:rsid w:val="00852AEF"/>
    <w:rsid w:val="00852BE1"/>
    <w:rsid w:val="00852BF0"/>
    <w:rsid w:val="00852FA0"/>
    <w:rsid w:val="008530CD"/>
    <w:rsid w:val="00853345"/>
    <w:rsid w:val="0085340B"/>
    <w:rsid w:val="008537C3"/>
    <w:rsid w:val="00853846"/>
    <w:rsid w:val="0085395E"/>
    <w:rsid w:val="00853A6F"/>
    <w:rsid w:val="00853AF5"/>
    <w:rsid w:val="00853B35"/>
    <w:rsid w:val="00853B5F"/>
    <w:rsid w:val="00853B8C"/>
    <w:rsid w:val="00853BAC"/>
    <w:rsid w:val="00853E50"/>
    <w:rsid w:val="00853F4C"/>
    <w:rsid w:val="00854220"/>
    <w:rsid w:val="00854269"/>
    <w:rsid w:val="00854422"/>
    <w:rsid w:val="008544C3"/>
    <w:rsid w:val="008544D8"/>
    <w:rsid w:val="0085455D"/>
    <w:rsid w:val="008549F8"/>
    <w:rsid w:val="00854C34"/>
    <w:rsid w:val="00854E26"/>
    <w:rsid w:val="00854F0F"/>
    <w:rsid w:val="00855040"/>
    <w:rsid w:val="00855198"/>
    <w:rsid w:val="00855206"/>
    <w:rsid w:val="00855292"/>
    <w:rsid w:val="00855297"/>
    <w:rsid w:val="00855631"/>
    <w:rsid w:val="00855656"/>
    <w:rsid w:val="008556CD"/>
    <w:rsid w:val="0085591D"/>
    <w:rsid w:val="00855CDF"/>
    <w:rsid w:val="00855D72"/>
    <w:rsid w:val="00855D78"/>
    <w:rsid w:val="00855EF8"/>
    <w:rsid w:val="00855FA4"/>
    <w:rsid w:val="00856554"/>
    <w:rsid w:val="008565A4"/>
    <w:rsid w:val="008565D1"/>
    <w:rsid w:val="0085666A"/>
    <w:rsid w:val="00856671"/>
    <w:rsid w:val="0085674E"/>
    <w:rsid w:val="00856895"/>
    <w:rsid w:val="00856B7E"/>
    <w:rsid w:val="00856CFF"/>
    <w:rsid w:val="00856F19"/>
    <w:rsid w:val="00856F30"/>
    <w:rsid w:val="00856F87"/>
    <w:rsid w:val="0085700F"/>
    <w:rsid w:val="00857126"/>
    <w:rsid w:val="0085725F"/>
    <w:rsid w:val="00857262"/>
    <w:rsid w:val="008572C6"/>
    <w:rsid w:val="00857363"/>
    <w:rsid w:val="008574F4"/>
    <w:rsid w:val="008575BE"/>
    <w:rsid w:val="00857806"/>
    <w:rsid w:val="00857928"/>
    <w:rsid w:val="00857C11"/>
    <w:rsid w:val="00857C9A"/>
    <w:rsid w:val="00857C9B"/>
    <w:rsid w:val="00857EBA"/>
    <w:rsid w:val="00857FB3"/>
    <w:rsid w:val="008604FE"/>
    <w:rsid w:val="00860534"/>
    <w:rsid w:val="00860546"/>
    <w:rsid w:val="0086057C"/>
    <w:rsid w:val="0086059E"/>
    <w:rsid w:val="0086081B"/>
    <w:rsid w:val="0086084A"/>
    <w:rsid w:val="008608E3"/>
    <w:rsid w:val="00860968"/>
    <w:rsid w:val="00860A0E"/>
    <w:rsid w:val="00860BED"/>
    <w:rsid w:val="00860ECF"/>
    <w:rsid w:val="0086101E"/>
    <w:rsid w:val="00861046"/>
    <w:rsid w:val="0086136A"/>
    <w:rsid w:val="00861459"/>
    <w:rsid w:val="00861769"/>
    <w:rsid w:val="0086178F"/>
    <w:rsid w:val="00861F2C"/>
    <w:rsid w:val="00862084"/>
    <w:rsid w:val="008621A0"/>
    <w:rsid w:val="008621B8"/>
    <w:rsid w:val="0086240A"/>
    <w:rsid w:val="00862576"/>
    <w:rsid w:val="008625F4"/>
    <w:rsid w:val="00862EBD"/>
    <w:rsid w:val="00863331"/>
    <w:rsid w:val="00863332"/>
    <w:rsid w:val="008638B5"/>
    <w:rsid w:val="008638E3"/>
    <w:rsid w:val="00863B5C"/>
    <w:rsid w:val="00863B89"/>
    <w:rsid w:val="00863BF3"/>
    <w:rsid w:val="00863D1B"/>
    <w:rsid w:val="00863F40"/>
    <w:rsid w:val="0086402C"/>
    <w:rsid w:val="0086429A"/>
    <w:rsid w:val="0086434D"/>
    <w:rsid w:val="008643B0"/>
    <w:rsid w:val="00864741"/>
    <w:rsid w:val="008647B6"/>
    <w:rsid w:val="00864A42"/>
    <w:rsid w:val="00864AC5"/>
    <w:rsid w:val="00864B42"/>
    <w:rsid w:val="00864CE4"/>
    <w:rsid w:val="00865055"/>
    <w:rsid w:val="00865221"/>
    <w:rsid w:val="00865460"/>
    <w:rsid w:val="008655DA"/>
    <w:rsid w:val="00865834"/>
    <w:rsid w:val="00865BA2"/>
    <w:rsid w:val="00865D54"/>
    <w:rsid w:val="00865DAE"/>
    <w:rsid w:val="00865E7B"/>
    <w:rsid w:val="00866069"/>
    <w:rsid w:val="00866205"/>
    <w:rsid w:val="0086638E"/>
    <w:rsid w:val="008663B6"/>
    <w:rsid w:val="00866562"/>
    <w:rsid w:val="0086667B"/>
    <w:rsid w:val="0086673F"/>
    <w:rsid w:val="00866782"/>
    <w:rsid w:val="008667EA"/>
    <w:rsid w:val="008668C0"/>
    <w:rsid w:val="00866EAE"/>
    <w:rsid w:val="00866F7A"/>
    <w:rsid w:val="008670B7"/>
    <w:rsid w:val="008672AA"/>
    <w:rsid w:val="0086752F"/>
    <w:rsid w:val="00867634"/>
    <w:rsid w:val="0086764F"/>
    <w:rsid w:val="00867853"/>
    <w:rsid w:val="008678A9"/>
    <w:rsid w:val="008679B6"/>
    <w:rsid w:val="008679F4"/>
    <w:rsid w:val="00867CD2"/>
    <w:rsid w:val="00867DDB"/>
    <w:rsid w:val="0087003E"/>
    <w:rsid w:val="0087008C"/>
    <w:rsid w:val="00870104"/>
    <w:rsid w:val="0087013B"/>
    <w:rsid w:val="00870984"/>
    <w:rsid w:val="00870AE0"/>
    <w:rsid w:val="00870DFF"/>
    <w:rsid w:val="00870E1A"/>
    <w:rsid w:val="00870F0B"/>
    <w:rsid w:val="00870FD1"/>
    <w:rsid w:val="0087118D"/>
    <w:rsid w:val="0087132F"/>
    <w:rsid w:val="00871449"/>
    <w:rsid w:val="008716C7"/>
    <w:rsid w:val="008719C4"/>
    <w:rsid w:val="00871E3C"/>
    <w:rsid w:val="00871F28"/>
    <w:rsid w:val="00871FD9"/>
    <w:rsid w:val="00872155"/>
    <w:rsid w:val="00872341"/>
    <w:rsid w:val="008723F7"/>
    <w:rsid w:val="00872493"/>
    <w:rsid w:val="0087289F"/>
    <w:rsid w:val="00872B58"/>
    <w:rsid w:val="00872C3C"/>
    <w:rsid w:val="00872D00"/>
    <w:rsid w:val="00872D88"/>
    <w:rsid w:val="00872E81"/>
    <w:rsid w:val="00873221"/>
    <w:rsid w:val="008735C6"/>
    <w:rsid w:val="00873798"/>
    <w:rsid w:val="008739CE"/>
    <w:rsid w:val="00873AEA"/>
    <w:rsid w:val="00873BF3"/>
    <w:rsid w:val="00873DF0"/>
    <w:rsid w:val="00873E88"/>
    <w:rsid w:val="00874220"/>
    <w:rsid w:val="00874644"/>
    <w:rsid w:val="008746B1"/>
    <w:rsid w:val="008748C5"/>
    <w:rsid w:val="00874977"/>
    <w:rsid w:val="008749B9"/>
    <w:rsid w:val="00874AD9"/>
    <w:rsid w:val="00875090"/>
    <w:rsid w:val="008750E5"/>
    <w:rsid w:val="008750E6"/>
    <w:rsid w:val="00875129"/>
    <w:rsid w:val="008752F3"/>
    <w:rsid w:val="008753BC"/>
    <w:rsid w:val="0087545D"/>
    <w:rsid w:val="0087549B"/>
    <w:rsid w:val="008755AD"/>
    <w:rsid w:val="00875651"/>
    <w:rsid w:val="0087571E"/>
    <w:rsid w:val="0087572A"/>
    <w:rsid w:val="008759EA"/>
    <w:rsid w:val="00875A6D"/>
    <w:rsid w:val="00875AC9"/>
    <w:rsid w:val="00875AE9"/>
    <w:rsid w:val="00875BA5"/>
    <w:rsid w:val="00875E8A"/>
    <w:rsid w:val="00875EA5"/>
    <w:rsid w:val="0087608A"/>
    <w:rsid w:val="0087647B"/>
    <w:rsid w:val="0087650F"/>
    <w:rsid w:val="008765A3"/>
    <w:rsid w:val="008765AE"/>
    <w:rsid w:val="008765F1"/>
    <w:rsid w:val="00876685"/>
    <w:rsid w:val="00876704"/>
    <w:rsid w:val="008768EA"/>
    <w:rsid w:val="0087692D"/>
    <w:rsid w:val="008769C1"/>
    <w:rsid w:val="00876B27"/>
    <w:rsid w:val="00876CDA"/>
    <w:rsid w:val="00876D05"/>
    <w:rsid w:val="00876D86"/>
    <w:rsid w:val="0087742B"/>
    <w:rsid w:val="008776D2"/>
    <w:rsid w:val="00877813"/>
    <w:rsid w:val="00877A23"/>
    <w:rsid w:val="00877A3D"/>
    <w:rsid w:val="00877A85"/>
    <w:rsid w:val="00877F1C"/>
    <w:rsid w:val="008800AE"/>
    <w:rsid w:val="0088027A"/>
    <w:rsid w:val="008808D8"/>
    <w:rsid w:val="00880995"/>
    <w:rsid w:val="00880A50"/>
    <w:rsid w:val="00880C42"/>
    <w:rsid w:val="00880E21"/>
    <w:rsid w:val="00880E32"/>
    <w:rsid w:val="00880ED2"/>
    <w:rsid w:val="00880FF7"/>
    <w:rsid w:val="00881035"/>
    <w:rsid w:val="008813CE"/>
    <w:rsid w:val="0088148B"/>
    <w:rsid w:val="008814C2"/>
    <w:rsid w:val="00881619"/>
    <w:rsid w:val="008816E7"/>
    <w:rsid w:val="0088180D"/>
    <w:rsid w:val="00881B35"/>
    <w:rsid w:val="00881B7D"/>
    <w:rsid w:val="00881BE2"/>
    <w:rsid w:val="00881F90"/>
    <w:rsid w:val="008823EB"/>
    <w:rsid w:val="008823FD"/>
    <w:rsid w:val="008826A8"/>
    <w:rsid w:val="008826D6"/>
    <w:rsid w:val="00882AD6"/>
    <w:rsid w:val="00883133"/>
    <w:rsid w:val="0088324C"/>
    <w:rsid w:val="008834B8"/>
    <w:rsid w:val="008834E8"/>
    <w:rsid w:val="00883594"/>
    <w:rsid w:val="00883861"/>
    <w:rsid w:val="00883B45"/>
    <w:rsid w:val="00883C41"/>
    <w:rsid w:val="00884850"/>
    <w:rsid w:val="00884D08"/>
    <w:rsid w:val="00884E34"/>
    <w:rsid w:val="00884F10"/>
    <w:rsid w:val="00884F65"/>
    <w:rsid w:val="0088508D"/>
    <w:rsid w:val="00885117"/>
    <w:rsid w:val="008852C6"/>
    <w:rsid w:val="008854FE"/>
    <w:rsid w:val="00885595"/>
    <w:rsid w:val="008855B5"/>
    <w:rsid w:val="00885B31"/>
    <w:rsid w:val="00885C14"/>
    <w:rsid w:val="00885C38"/>
    <w:rsid w:val="00885FAF"/>
    <w:rsid w:val="00885FEF"/>
    <w:rsid w:val="008863D1"/>
    <w:rsid w:val="008864B0"/>
    <w:rsid w:val="008866CC"/>
    <w:rsid w:val="00886733"/>
    <w:rsid w:val="00886994"/>
    <w:rsid w:val="00886AB6"/>
    <w:rsid w:val="00886E99"/>
    <w:rsid w:val="0088756F"/>
    <w:rsid w:val="008877CD"/>
    <w:rsid w:val="008878A0"/>
    <w:rsid w:val="00887B43"/>
    <w:rsid w:val="00887BEC"/>
    <w:rsid w:val="00887CCF"/>
    <w:rsid w:val="00887D01"/>
    <w:rsid w:val="00887D4F"/>
    <w:rsid w:val="00887E63"/>
    <w:rsid w:val="00887F0A"/>
    <w:rsid w:val="00887F8C"/>
    <w:rsid w:val="00890112"/>
    <w:rsid w:val="00890154"/>
    <w:rsid w:val="008901F2"/>
    <w:rsid w:val="008904CF"/>
    <w:rsid w:val="008906F8"/>
    <w:rsid w:val="00890756"/>
    <w:rsid w:val="0089088C"/>
    <w:rsid w:val="008908C6"/>
    <w:rsid w:val="0089090D"/>
    <w:rsid w:val="00890BBA"/>
    <w:rsid w:val="00890C3B"/>
    <w:rsid w:val="00890C75"/>
    <w:rsid w:val="00890EE8"/>
    <w:rsid w:val="0089109B"/>
    <w:rsid w:val="008911AA"/>
    <w:rsid w:val="00891212"/>
    <w:rsid w:val="008915E5"/>
    <w:rsid w:val="008916B3"/>
    <w:rsid w:val="0089179A"/>
    <w:rsid w:val="00891A33"/>
    <w:rsid w:val="00891B5B"/>
    <w:rsid w:val="00891BD7"/>
    <w:rsid w:val="00891CB0"/>
    <w:rsid w:val="00892017"/>
    <w:rsid w:val="00892024"/>
    <w:rsid w:val="0089214A"/>
    <w:rsid w:val="008921A4"/>
    <w:rsid w:val="00892306"/>
    <w:rsid w:val="0089239E"/>
    <w:rsid w:val="008923F0"/>
    <w:rsid w:val="00892422"/>
    <w:rsid w:val="00892AB6"/>
    <w:rsid w:val="00892B2E"/>
    <w:rsid w:val="0089305E"/>
    <w:rsid w:val="00893107"/>
    <w:rsid w:val="008931EB"/>
    <w:rsid w:val="008931FC"/>
    <w:rsid w:val="00893315"/>
    <w:rsid w:val="008933C1"/>
    <w:rsid w:val="008933C8"/>
    <w:rsid w:val="00893650"/>
    <w:rsid w:val="0089366B"/>
    <w:rsid w:val="00893A3C"/>
    <w:rsid w:val="00893E6A"/>
    <w:rsid w:val="00893FFC"/>
    <w:rsid w:val="0089419E"/>
    <w:rsid w:val="00894228"/>
    <w:rsid w:val="0089440C"/>
    <w:rsid w:val="0089456A"/>
    <w:rsid w:val="00894D57"/>
    <w:rsid w:val="00894D84"/>
    <w:rsid w:val="00894DB2"/>
    <w:rsid w:val="00894E3B"/>
    <w:rsid w:val="00895182"/>
    <w:rsid w:val="008951D0"/>
    <w:rsid w:val="0089537A"/>
    <w:rsid w:val="00895A3B"/>
    <w:rsid w:val="00895B71"/>
    <w:rsid w:val="00895B9D"/>
    <w:rsid w:val="00895CF7"/>
    <w:rsid w:val="00895F7A"/>
    <w:rsid w:val="00896048"/>
    <w:rsid w:val="00896078"/>
    <w:rsid w:val="00896298"/>
    <w:rsid w:val="008962AD"/>
    <w:rsid w:val="00896428"/>
    <w:rsid w:val="0089652A"/>
    <w:rsid w:val="008968A4"/>
    <w:rsid w:val="00896C26"/>
    <w:rsid w:val="00896EE6"/>
    <w:rsid w:val="008970B0"/>
    <w:rsid w:val="008972AA"/>
    <w:rsid w:val="008974BE"/>
    <w:rsid w:val="008975A6"/>
    <w:rsid w:val="00897758"/>
    <w:rsid w:val="008979C6"/>
    <w:rsid w:val="00897CB3"/>
    <w:rsid w:val="00897DF3"/>
    <w:rsid w:val="008A0066"/>
    <w:rsid w:val="008A01E1"/>
    <w:rsid w:val="008A0310"/>
    <w:rsid w:val="008A03B0"/>
    <w:rsid w:val="008A03E5"/>
    <w:rsid w:val="008A03FC"/>
    <w:rsid w:val="008A0458"/>
    <w:rsid w:val="008A05AA"/>
    <w:rsid w:val="008A08D8"/>
    <w:rsid w:val="008A099C"/>
    <w:rsid w:val="008A0B83"/>
    <w:rsid w:val="008A0C10"/>
    <w:rsid w:val="008A0CFC"/>
    <w:rsid w:val="008A136C"/>
    <w:rsid w:val="008A13AC"/>
    <w:rsid w:val="008A13D6"/>
    <w:rsid w:val="008A14FC"/>
    <w:rsid w:val="008A1960"/>
    <w:rsid w:val="008A1BBC"/>
    <w:rsid w:val="008A1CE3"/>
    <w:rsid w:val="008A1E25"/>
    <w:rsid w:val="008A214C"/>
    <w:rsid w:val="008A21AF"/>
    <w:rsid w:val="008A2B37"/>
    <w:rsid w:val="008A2CF0"/>
    <w:rsid w:val="008A2D26"/>
    <w:rsid w:val="008A2D79"/>
    <w:rsid w:val="008A3023"/>
    <w:rsid w:val="008A3155"/>
    <w:rsid w:val="008A3163"/>
    <w:rsid w:val="008A350C"/>
    <w:rsid w:val="008A3524"/>
    <w:rsid w:val="008A388B"/>
    <w:rsid w:val="008A39A7"/>
    <w:rsid w:val="008A3A2F"/>
    <w:rsid w:val="008A3B2E"/>
    <w:rsid w:val="008A3B62"/>
    <w:rsid w:val="008A3CFB"/>
    <w:rsid w:val="008A3DC9"/>
    <w:rsid w:val="008A4021"/>
    <w:rsid w:val="008A4360"/>
    <w:rsid w:val="008A459D"/>
    <w:rsid w:val="008A47B8"/>
    <w:rsid w:val="008A47E1"/>
    <w:rsid w:val="008A4878"/>
    <w:rsid w:val="008A4F7A"/>
    <w:rsid w:val="008A512C"/>
    <w:rsid w:val="008A5141"/>
    <w:rsid w:val="008A5256"/>
    <w:rsid w:val="008A552C"/>
    <w:rsid w:val="008A56C6"/>
    <w:rsid w:val="008A5BC2"/>
    <w:rsid w:val="008A5D02"/>
    <w:rsid w:val="008A5EBA"/>
    <w:rsid w:val="008A6009"/>
    <w:rsid w:val="008A60D5"/>
    <w:rsid w:val="008A63A9"/>
    <w:rsid w:val="008A645A"/>
    <w:rsid w:val="008A66C3"/>
    <w:rsid w:val="008A6751"/>
    <w:rsid w:val="008A685B"/>
    <w:rsid w:val="008A6BA7"/>
    <w:rsid w:val="008A6C28"/>
    <w:rsid w:val="008A6C89"/>
    <w:rsid w:val="008A6FC3"/>
    <w:rsid w:val="008A7209"/>
    <w:rsid w:val="008A723F"/>
    <w:rsid w:val="008A7310"/>
    <w:rsid w:val="008A74EC"/>
    <w:rsid w:val="008A789D"/>
    <w:rsid w:val="008A78FF"/>
    <w:rsid w:val="008A79F4"/>
    <w:rsid w:val="008A7A84"/>
    <w:rsid w:val="008A7B26"/>
    <w:rsid w:val="008A7B34"/>
    <w:rsid w:val="008A7C67"/>
    <w:rsid w:val="008A7DD6"/>
    <w:rsid w:val="008A7DEF"/>
    <w:rsid w:val="008A7F63"/>
    <w:rsid w:val="008A7F88"/>
    <w:rsid w:val="008B01B0"/>
    <w:rsid w:val="008B0334"/>
    <w:rsid w:val="008B07EA"/>
    <w:rsid w:val="008B08A2"/>
    <w:rsid w:val="008B0D9A"/>
    <w:rsid w:val="008B0E18"/>
    <w:rsid w:val="008B0EB0"/>
    <w:rsid w:val="008B0FC9"/>
    <w:rsid w:val="008B1055"/>
    <w:rsid w:val="008B119A"/>
    <w:rsid w:val="008B134D"/>
    <w:rsid w:val="008B1356"/>
    <w:rsid w:val="008B13A3"/>
    <w:rsid w:val="008B1404"/>
    <w:rsid w:val="008B16C5"/>
    <w:rsid w:val="008B16DF"/>
    <w:rsid w:val="008B16EE"/>
    <w:rsid w:val="008B1758"/>
    <w:rsid w:val="008B1CF1"/>
    <w:rsid w:val="008B1DCA"/>
    <w:rsid w:val="008B1DFC"/>
    <w:rsid w:val="008B208C"/>
    <w:rsid w:val="008B2208"/>
    <w:rsid w:val="008B224F"/>
    <w:rsid w:val="008B25B8"/>
    <w:rsid w:val="008B2631"/>
    <w:rsid w:val="008B2741"/>
    <w:rsid w:val="008B27E6"/>
    <w:rsid w:val="008B29FD"/>
    <w:rsid w:val="008B2A2C"/>
    <w:rsid w:val="008B2A2F"/>
    <w:rsid w:val="008B2A32"/>
    <w:rsid w:val="008B2AEA"/>
    <w:rsid w:val="008B318E"/>
    <w:rsid w:val="008B364B"/>
    <w:rsid w:val="008B3812"/>
    <w:rsid w:val="008B3B88"/>
    <w:rsid w:val="008B3CE9"/>
    <w:rsid w:val="008B3D91"/>
    <w:rsid w:val="008B3ECE"/>
    <w:rsid w:val="008B3EFF"/>
    <w:rsid w:val="008B41CC"/>
    <w:rsid w:val="008B43C6"/>
    <w:rsid w:val="008B44C0"/>
    <w:rsid w:val="008B458C"/>
    <w:rsid w:val="008B45E4"/>
    <w:rsid w:val="008B4790"/>
    <w:rsid w:val="008B4AEA"/>
    <w:rsid w:val="008B4D70"/>
    <w:rsid w:val="008B4E85"/>
    <w:rsid w:val="008B50A0"/>
    <w:rsid w:val="008B5421"/>
    <w:rsid w:val="008B5478"/>
    <w:rsid w:val="008B58C2"/>
    <w:rsid w:val="008B5B63"/>
    <w:rsid w:val="008B5BE7"/>
    <w:rsid w:val="008B5C3D"/>
    <w:rsid w:val="008B61CC"/>
    <w:rsid w:val="008B62C4"/>
    <w:rsid w:val="008B64B0"/>
    <w:rsid w:val="008B652B"/>
    <w:rsid w:val="008B66D5"/>
    <w:rsid w:val="008B6A4F"/>
    <w:rsid w:val="008B6A62"/>
    <w:rsid w:val="008B6CB8"/>
    <w:rsid w:val="008B6F0A"/>
    <w:rsid w:val="008B7203"/>
    <w:rsid w:val="008B7267"/>
    <w:rsid w:val="008B753F"/>
    <w:rsid w:val="008B757B"/>
    <w:rsid w:val="008B76C7"/>
    <w:rsid w:val="008B79CA"/>
    <w:rsid w:val="008B7A11"/>
    <w:rsid w:val="008B7AF6"/>
    <w:rsid w:val="008B7C23"/>
    <w:rsid w:val="008B7CA7"/>
    <w:rsid w:val="008C03D3"/>
    <w:rsid w:val="008C049B"/>
    <w:rsid w:val="008C0523"/>
    <w:rsid w:val="008C075C"/>
    <w:rsid w:val="008C091D"/>
    <w:rsid w:val="008C0AA9"/>
    <w:rsid w:val="008C0DDC"/>
    <w:rsid w:val="008C0E7A"/>
    <w:rsid w:val="008C11E0"/>
    <w:rsid w:val="008C11F8"/>
    <w:rsid w:val="008C12AE"/>
    <w:rsid w:val="008C157F"/>
    <w:rsid w:val="008C1895"/>
    <w:rsid w:val="008C18E8"/>
    <w:rsid w:val="008C199F"/>
    <w:rsid w:val="008C19D2"/>
    <w:rsid w:val="008C1C8A"/>
    <w:rsid w:val="008C1D60"/>
    <w:rsid w:val="008C1E5D"/>
    <w:rsid w:val="008C1EAB"/>
    <w:rsid w:val="008C21F0"/>
    <w:rsid w:val="008C22C9"/>
    <w:rsid w:val="008C236E"/>
    <w:rsid w:val="008C2479"/>
    <w:rsid w:val="008C24AD"/>
    <w:rsid w:val="008C24BB"/>
    <w:rsid w:val="008C259E"/>
    <w:rsid w:val="008C263A"/>
    <w:rsid w:val="008C28CA"/>
    <w:rsid w:val="008C2BFA"/>
    <w:rsid w:val="008C2D52"/>
    <w:rsid w:val="008C2DA6"/>
    <w:rsid w:val="008C2F14"/>
    <w:rsid w:val="008C3248"/>
    <w:rsid w:val="008C3B06"/>
    <w:rsid w:val="008C3D28"/>
    <w:rsid w:val="008C3FF6"/>
    <w:rsid w:val="008C407D"/>
    <w:rsid w:val="008C4441"/>
    <w:rsid w:val="008C4629"/>
    <w:rsid w:val="008C4639"/>
    <w:rsid w:val="008C47C0"/>
    <w:rsid w:val="008C49C7"/>
    <w:rsid w:val="008C4A44"/>
    <w:rsid w:val="008C4AA0"/>
    <w:rsid w:val="008C4ACD"/>
    <w:rsid w:val="008C4BB8"/>
    <w:rsid w:val="008C4D27"/>
    <w:rsid w:val="008C4DC6"/>
    <w:rsid w:val="008C4E8B"/>
    <w:rsid w:val="008C4FE6"/>
    <w:rsid w:val="008C534A"/>
    <w:rsid w:val="008C5534"/>
    <w:rsid w:val="008C5619"/>
    <w:rsid w:val="008C56DE"/>
    <w:rsid w:val="008C58A5"/>
    <w:rsid w:val="008C5A73"/>
    <w:rsid w:val="008C5AB8"/>
    <w:rsid w:val="008C5B81"/>
    <w:rsid w:val="008C5B9F"/>
    <w:rsid w:val="008C5CBA"/>
    <w:rsid w:val="008C5D14"/>
    <w:rsid w:val="008C5D2B"/>
    <w:rsid w:val="008C5D2E"/>
    <w:rsid w:val="008C602D"/>
    <w:rsid w:val="008C6169"/>
    <w:rsid w:val="008C6307"/>
    <w:rsid w:val="008C630D"/>
    <w:rsid w:val="008C663A"/>
    <w:rsid w:val="008C6946"/>
    <w:rsid w:val="008C697B"/>
    <w:rsid w:val="008C6A5C"/>
    <w:rsid w:val="008C6BC3"/>
    <w:rsid w:val="008C6F0F"/>
    <w:rsid w:val="008C727D"/>
    <w:rsid w:val="008C759B"/>
    <w:rsid w:val="008C75A2"/>
    <w:rsid w:val="008C7679"/>
    <w:rsid w:val="008C7877"/>
    <w:rsid w:val="008C7A6D"/>
    <w:rsid w:val="008C7C29"/>
    <w:rsid w:val="008C7E43"/>
    <w:rsid w:val="008C7FED"/>
    <w:rsid w:val="008D060F"/>
    <w:rsid w:val="008D09CF"/>
    <w:rsid w:val="008D0BCF"/>
    <w:rsid w:val="008D0D01"/>
    <w:rsid w:val="008D0D1D"/>
    <w:rsid w:val="008D0E95"/>
    <w:rsid w:val="008D0EC7"/>
    <w:rsid w:val="008D1174"/>
    <w:rsid w:val="008D11BE"/>
    <w:rsid w:val="008D172F"/>
    <w:rsid w:val="008D185C"/>
    <w:rsid w:val="008D1D31"/>
    <w:rsid w:val="008D1E14"/>
    <w:rsid w:val="008D23EA"/>
    <w:rsid w:val="008D23ED"/>
    <w:rsid w:val="008D2456"/>
    <w:rsid w:val="008D270C"/>
    <w:rsid w:val="008D2930"/>
    <w:rsid w:val="008D2CF3"/>
    <w:rsid w:val="008D2F7F"/>
    <w:rsid w:val="008D33D4"/>
    <w:rsid w:val="008D3682"/>
    <w:rsid w:val="008D36EE"/>
    <w:rsid w:val="008D3776"/>
    <w:rsid w:val="008D377D"/>
    <w:rsid w:val="008D381D"/>
    <w:rsid w:val="008D3881"/>
    <w:rsid w:val="008D3983"/>
    <w:rsid w:val="008D3A38"/>
    <w:rsid w:val="008D3B03"/>
    <w:rsid w:val="008D3CFB"/>
    <w:rsid w:val="008D3D2B"/>
    <w:rsid w:val="008D4047"/>
    <w:rsid w:val="008D4339"/>
    <w:rsid w:val="008D4530"/>
    <w:rsid w:val="008D47D9"/>
    <w:rsid w:val="008D49BF"/>
    <w:rsid w:val="008D4A1C"/>
    <w:rsid w:val="008D4CBD"/>
    <w:rsid w:val="008D4EE2"/>
    <w:rsid w:val="008D511F"/>
    <w:rsid w:val="008D552C"/>
    <w:rsid w:val="008D5556"/>
    <w:rsid w:val="008D55A4"/>
    <w:rsid w:val="008D55A8"/>
    <w:rsid w:val="008D574D"/>
    <w:rsid w:val="008D5D9F"/>
    <w:rsid w:val="008D5F15"/>
    <w:rsid w:val="008D5FCC"/>
    <w:rsid w:val="008D618E"/>
    <w:rsid w:val="008D63CE"/>
    <w:rsid w:val="008D64B9"/>
    <w:rsid w:val="008D6AAA"/>
    <w:rsid w:val="008D6C87"/>
    <w:rsid w:val="008D6D7F"/>
    <w:rsid w:val="008D6DC2"/>
    <w:rsid w:val="008D6F40"/>
    <w:rsid w:val="008D6F73"/>
    <w:rsid w:val="008D6FFB"/>
    <w:rsid w:val="008D7857"/>
    <w:rsid w:val="008D7895"/>
    <w:rsid w:val="008D7ADD"/>
    <w:rsid w:val="008D7B02"/>
    <w:rsid w:val="008D7C4B"/>
    <w:rsid w:val="008D7D15"/>
    <w:rsid w:val="008D7D3B"/>
    <w:rsid w:val="008D7EC0"/>
    <w:rsid w:val="008D7EFD"/>
    <w:rsid w:val="008E0070"/>
    <w:rsid w:val="008E033D"/>
    <w:rsid w:val="008E03D7"/>
    <w:rsid w:val="008E06F7"/>
    <w:rsid w:val="008E0779"/>
    <w:rsid w:val="008E07E4"/>
    <w:rsid w:val="008E0FF6"/>
    <w:rsid w:val="008E11B0"/>
    <w:rsid w:val="008E1309"/>
    <w:rsid w:val="008E134A"/>
    <w:rsid w:val="008E13E2"/>
    <w:rsid w:val="008E1451"/>
    <w:rsid w:val="008E15E1"/>
    <w:rsid w:val="008E1796"/>
    <w:rsid w:val="008E1808"/>
    <w:rsid w:val="008E1AA8"/>
    <w:rsid w:val="008E1EDA"/>
    <w:rsid w:val="008E201F"/>
    <w:rsid w:val="008E272F"/>
    <w:rsid w:val="008E2751"/>
    <w:rsid w:val="008E2A24"/>
    <w:rsid w:val="008E2A55"/>
    <w:rsid w:val="008E2AF7"/>
    <w:rsid w:val="008E2C66"/>
    <w:rsid w:val="008E2D40"/>
    <w:rsid w:val="008E2D6B"/>
    <w:rsid w:val="008E2F27"/>
    <w:rsid w:val="008E2F89"/>
    <w:rsid w:val="008E31DB"/>
    <w:rsid w:val="008E3237"/>
    <w:rsid w:val="008E32C5"/>
    <w:rsid w:val="008E3443"/>
    <w:rsid w:val="008E3497"/>
    <w:rsid w:val="008E3621"/>
    <w:rsid w:val="008E383E"/>
    <w:rsid w:val="008E39A2"/>
    <w:rsid w:val="008E3B95"/>
    <w:rsid w:val="008E3CA4"/>
    <w:rsid w:val="008E3F83"/>
    <w:rsid w:val="008E4071"/>
    <w:rsid w:val="008E4156"/>
    <w:rsid w:val="008E4283"/>
    <w:rsid w:val="008E4592"/>
    <w:rsid w:val="008E45F5"/>
    <w:rsid w:val="008E4739"/>
    <w:rsid w:val="008E477E"/>
    <w:rsid w:val="008E47C0"/>
    <w:rsid w:val="008E4962"/>
    <w:rsid w:val="008E4A43"/>
    <w:rsid w:val="008E4A54"/>
    <w:rsid w:val="008E4E68"/>
    <w:rsid w:val="008E5253"/>
    <w:rsid w:val="008E52B3"/>
    <w:rsid w:val="008E545D"/>
    <w:rsid w:val="008E55CE"/>
    <w:rsid w:val="008E5615"/>
    <w:rsid w:val="008E583E"/>
    <w:rsid w:val="008E5B67"/>
    <w:rsid w:val="008E5E01"/>
    <w:rsid w:val="008E5E75"/>
    <w:rsid w:val="008E5EB2"/>
    <w:rsid w:val="008E6083"/>
    <w:rsid w:val="008E60E1"/>
    <w:rsid w:val="008E6366"/>
    <w:rsid w:val="008E637D"/>
    <w:rsid w:val="008E6404"/>
    <w:rsid w:val="008E6645"/>
    <w:rsid w:val="008E6679"/>
    <w:rsid w:val="008E69C1"/>
    <w:rsid w:val="008E6A8C"/>
    <w:rsid w:val="008E6B72"/>
    <w:rsid w:val="008E6CC7"/>
    <w:rsid w:val="008E6D1E"/>
    <w:rsid w:val="008E7234"/>
    <w:rsid w:val="008E7267"/>
    <w:rsid w:val="008E7689"/>
    <w:rsid w:val="008E7873"/>
    <w:rsid w:val="008E7916"/>
    <w:rsid w:val="008E7BAE"/>
    <w:rsid w:val="008E7C81"/>
    <w:rsid w:val="008E7C93"/>
    <w:rsid w:val="008E7CEC"/>
    <w:rsid w:val="008E7E75"/>
    <w:rsid w:val="008F0007"/>
    <w:rsid w:val="008F0508"/>
    <w:rsid w:val="008F066E"/>
    <w:rsid w:val="008F08C3"/>
    <w:rsid w:val="008F0967"/>
    <w:rsid w:val="008F09C4"/>
    <w:rsid w:val="008F0AEF"/>
    <w:rsid w:val="008F0FE2"/>
    <w:rsid w:val="008F124A"/>
    <w:rsid w:val="008F1306"/>
    <w:rsid w:val="008F14FC"/>
    <w:rsid w:val="008F15B5"/>
    <w:rsid w:val="008F17BB"/>
    <w:rsid w:val="008F194C"/>
    <w:rsid w:val="008F197F"/>
    <w:rsid w:val="008F19F8"/>
    <w:rsid w:val="008F1C0D"/>
    <w:rsid w:val="008F1DC9"/>
    <w:rsid w:val="008F1EF2"/>
    <w:rsid w:val="008F1FE5"/>
    <w:rsid w:val="008F223A"/>
    <w:rsid w:val="008F22C8"/>
    <w:rsid w:val="008F2373"/>
    <w:rsid w:val="008F23A3"/>
    <w:rsid w:val="008F265C"/>
    <w:rsid w:val="008F28AC"/>
    <w:rsid w:val="008F28F1"/>
    <w:rsid w:val="008F2921"/>
    <w:rsid w:val="008F2A3C"/>
    <w:rsid w:val="008F2A80"/>
    <w:rsid w:val="008F2AB1"/>
    <w:rsid w:val="008F2C75"/>
    <w:rsid w:val="008F2D74"/>
    <w:rsid w:val="008F2DB7"/>
    <w:rsid w:val="008F2F97"/>
    <w:rsid w:val="008F3016"/>
    <w:rsid w:val="008F318A"/>
    <w:rsid w:val="008F346F"/>
    <w:rsid w:val="008F360A"/>
    <w:rsid w:val="008F39A3"/>
    <w:rsid w:val="008F3ACB"/>
    <w:rsid w:val="008F3FA3"/>
    <w:rsid w:val="008F421D"/>
    <w:rsid w:val="008F4323"/>
    <w:rsid w:val="008F43C8"/>
    <w:rsid w:val="008F4821"/>
    <w:rsid w:val="008F4867"/>
    <w:rsid w:val="008F48F4"/>
    <w:rsid w:val="008F4AE3"/>
    <w:rsid w:val="008F4B15"/>
    <w:rsid w:val="008F4B64"/>
    <w:rsid w:val="008F4BCF"/>
    <w:rsid w:val="008F55B0"/>
    <w:rsid w:val="008F57F3"/>
    <w:rsid w:val="008F5912"/>
    <w:rsid w:val="008F595D"/>
    <w:rsid w:val="008F5A20"/>
    <w:rsid w:val="008F6120"/>
    <w:rsid w:val="008F615F"/>
    <w:rsid w:val="008F6847"/>
    <w:rsid w:val="008F6ED9"/>
    <w:rsid w:val="008F71E4"/>
    <w:rsid w:val="008F7500"/>
    <w:rsid w:val="008F7542"/>
    <w:rsid w:val="008F7805"/>
    <w:rsid w:val="008F7808"/>
    <w:rsid w:val="008F7992"/>
    <w:rsid w:val="008F7AF5"/>
    <w:rsid w:val="008F7CB2"/>
    <w:rsid w:val="008F7F69"/>
    <w:rsid w:val="0090022B"/>
    <w:rsid w:val="00900454"/>
    <w:rsid w:val="00900468"/>
    <w:rsid w:val="009004DD"/>
    <w:rsid w:val="009004E1"/>
    <w:rsid w:val="00900975"/>
    <w:rsid w:val="00900AAC"/>
    <w:rsid w:val="00900B54"/>
    <w:rsid w:val="00900C6F"/>
    <w:rsid w:val="00900D23"/>
    <w:rsid w:val="00900FAD"/>
    <w:rsid w:val="00901078"/>
    <w:rsid w:val="009010FF"/>
    <w:rsid w:val="0090129A"/>
    <w:rsid w:val="0090164D"/>
    <w:rsid w:val="009018DD"/>
    <w:rsid w:val="0090193E"/>
    <w:rsid w:val="009019FD"/>
    <w:rsid w:val="00901A71"/>
    <w:rsid w:val="00901C3F"/>
    <w:rsid w:val="00901D8D"/>
    <w:rsid w:val="00901DFF"/>
    <w:rsid w:val="00901E42"/>
    <w:rsid w:val="009020F7"/>
    <w:rsid w:val="00902535"/>
    <w:rsid w:val="009025AD"/>
    <w:rsid w:val="00902854"/>
    <w:rsid w:val="0090287F"/>
    <w:rsid w:val="00902954"/>
    <w:rsid w:val="00902C47"/>
    <w:rsid w:val="00902DFC"/>
    <w:rsid w:val="00902FE8"/>
    <w:rsid w:val="00903000"/>
    <w:rsid w:val="009031D4"/>
    <w:rsid w:val="009033B4"/>
    <w:rsid w:val="009033EE"/>
    <w:rsid w:val="009034CE"/>
    <w:rsid w:val="00903577"/>
    <w:rsid w:val="009035C3"/>
    <w:rsid w:val="00903E1D"/>
    <w:rsid w:val="00903E20"/>
    <w:rsid w:val="00903F57"/>
    <w:rsid w:val="00903F8A"/>
    <w:rsid w:val="0090427F"/>
    <w:rsid w:val="009042FF"/>
    <w:rsid w:val="0090439F"/>
    <w:rsid w:val="00904AE1"/>
    <w:rsid w:val="00904F80"/>
    <w:rsid w:val="0090521F"/>
    <w:rsid w:val="0090529A"/>
    <w:rsid w:val="009052E2"/>
    <w:rsid w:val="00905419"/>
    <w:rsid w:val="0090558A"/>
    <w:rsid w:val="009055F3"/>
    <w:rsid w:val="00905610"/>
    <w:rsid w:val="00905661"/>
    <w:rsid w:val="009057B6"/>
    <w:rsid w:val="0090592C"/>
    <w:rsid w:val="00905A06"/>
    <w:rsid w:val="00905CEC"/>
    <w:rsid w:val="00905EC6"/>
    <w:rsid w:val="00905F07"/>
    <w:rsid w:val="009061D1"/>
    <w:rsid w:val="009067A0"/>
    <w:rsid w:val="00906953"/>
    <w:rsid w:val="00906AD0"/>
    <w:rsid w:val="00906B3C"/>
    <w:rsid w:val="00906B9D"/>
    <w:rsid w:val="00906F7A"/>
    <w:rsid w:val="00907181"/>
    <w:rsid w:val="009071C0"/>
    <w:rsid w:val="009071F6"/>
    <w:rsid w:val="0090738E"/>
    <w:rsid w:val="009075E8"/>
    <w:rsid w:val="00907830"/>
    <w:rsid w:val="00907C2F"/>
    <w:rsid w:val="00907D17"/>
    <w:rsid w:val="00907E12"/>
    <w:rsid w:val="009102BE"/>
    <w:rsid w:val="009102E0"/>
    <w:rsid w:val="00910385"/>
    <w:rsid w:val="00910499"/>
    <w:rsid w:val="00910785"/>
    <w:rsid w:val="00910804"/>
    <w:rsid w:val="009109A5"/>
    <w:rsid w:val="00910D18"/>
    <w:rsid w:val="00910E3A"/>
    <w:rsid w:val="00910E95"/>
    <w:rsid w:val="009112DF"/>
    <w:rsid w:val="00911465"/>
    <w:rsid w:val="009118C0"/>
    <w:rsid w:val="00911AAC"/>
    <w:rsid w:val="00911AEB"/>
    <w:rsid w:val="00911F83"/>
    <w:rsid w:val="00912842"/>
    <w:rsid w:val="0091293F"/>
    <w:rsid w:val="00912A27"/>
    <w:rsid w:val="00912A34"/>
    <w:rsid w:val="00912A77"/>
    <w:rsid w:val="00912A99"/>
    <w:rsid w:val="00912B5B"/>
    <w:rsid w:val="00912B7A"/>
    <w:rsid w:val="00912BC6"/>
    <w:rsid w:val="00912F82"/>
    <w:rsid w:val="00913243"/>
    <w:rsid w:val="00913325"/>
    <w:rsid w:val="009133C0"/>
    <w:rsid w:val="0091345F"/>
    <w:rsid w:val="009134D1"/>
    <w:rsid w:val="009136C6"/>
    <w:rsid w:val="00913734"/>
    <w:rsid w:val="00913AA3"/>
    <w:rsid w:val="00913BB6"/>
    <w:rsid w:val="00913BEE"/>
    <w:rsid w:val="00913D43"/>
    <w:rsid w:val="00913D66"/>
    <w:rsid w:val="00913EA5"/>
    <w:rsid w:val="00913F91"/>
    <w:rsid w:val="00913F9B"/>
    <w:rsid w:val="00913FB6"/>
    <w:rsid w:val="0091403E"/>
    <w:rsid w:val="009141DF"/>
    <w:rsid w:val="009141FA"/>
    <w:rsid w:val="0091451B"/>
    <w:rsid w:val="00914712"/>
    <w:rsid w:val="00914948"/>
    <w:rsid w:val="009149C4"/>
    <w:rsid w:val="009149CE"/>
    <w:rsid w:val="00914A08"/>
    <w:rsid w:val="00914B6F"/>
    <w:rsid w:val="00914C4F"/>
    <w:rsid w:val="00914C85"/>
    <w:rsid w:val="00914CB8"/>
    <w:rsid w:val="00914EE7"/>
    <w:rsid w:val="00915025"/>
    <w:rsid w:val="00915287"/>
    <w:rsid w:val="00915303"/>
    <w:rsid w:val="00915720"/>
    <w:rsid w:val="00915733"/>
    <w:rsid w:val="00915743"/>
    <w:rsid w:val="00915838"/>
    <w:rsid w:val="0091595B"/>
    <w:rsid w:val="00915A23"/>
    <w:rsid w:val="00915A33"/>
    <w:rsid w:val="00915DA7"/>
    <w:rsid w:val="00915F40"/>
    <w:rsid w:val="00915FC3"/>
    <w:rsid w:val="0091616C"/>
    <w:rsid w:val="00916194"/>
    <w:rsid w:val="0091643D"/>
    <w:rsid w:val="009166BD"/>
    <w:rsid w:val="0091677B"/>
    <w:rsid w:val="009168B2"/>
    <w:rsid w:val="00916936"/>
    <w:rsid w:val="00916A28"/>
    <w:rsid w:val="00916C52"/>
    <w:rsid w:val="00916C73"/>
    <w:rsid w:val="00916D4D"/>
    <w:rsid w:val="00917084"/>
    <w:rsid w:val="00917472"/>
    <w:rsid w:val="009174DC"/>
    <w:rsid w:val="009178A8"/>
    <w:rsid w:val="009178EB"/>
    <w:rsid w:val="00917E05"/>
    <w:rsid w:val="00917E9E"/>
    <w:rsid w:val="00917F14"/>
    <w:rsid w:val="00917F96"/>
    <w:rsid w:val="00917FA6"/>
    <w:rsid w:val="00920119"/>
    <w:rsid w:val="009201D7"/>
    <w:rsid w:val="009203B2"/>
    <w:rsid w:val="00920501"/>
    <w:rsid w:val="00920522"/>
    <w:rsid w:val="009206B9"/>
    <w:rsid w:val="009206DF"/>
    <w:rsid w:val="00920927"/>
    <w:rsid w:val="0092099C"/>
    <w:rsid w:val="00920CCD"/>
    <w:rsid w:val="00920D18"/>
    <w:rsid w:val="00920D19"/>
    <w:rsid w:val="00920E30"/>
    <w:rsid w:val="00920EF9"/>
    <w:rsid w:val="009211AA"/>
    <w:rsid w:val="009212E3"/>
    <w:rsid w:val="00921349"/>
    <w:rsid w:val="00921520"/>
    <w:rsid w:val="0092154C"/>
    <w:rsid w:val="009218E5"/>
    <w:rsid w:val="00921958"/>
    <w:rsid w:val="00921AB0"/>
    <w:rsid w:val="00921F24"/>
    <w:rsid w:val="009220F9"/>
    <w:rsid w:val="0092213C"/>
    <w:rsid w:val="00922146"/>
    <w:rsid w:val="0092261C"/>
    <w:rsid w:val="00922BE8"/>
    <w:rsid w:val="00922CF4"/>
    <w:rsid w:val="00922DCE"/>
    <w:rsid w:val="0092307C"/>
    <w:rsid w:val="009230EC"/>
    <w:rsid w:val="00923268"/>
    <w:rsid w:val="009232B0"/>
    <w:rsid w:val="0092368A"/>
    <w:rsid w:val="00923A3F"/>
    <w:rsid w:val="00923B10"/>
    <w:rsid w:val="00923B18"/>
    <w:rsid w:val="00923B87"/>
    <w:rsid w:val="00923D58"/>
    <w:rsid w:val="00924651"/>
    <w:rsid w:val="009247AE"/>
    <w:rsid w:val="009247F9"/>
    <w:rsid w:val="00924861"/>
    <w:rsid w:val="00924AA2"/>
    <w:rsid w:val="00924B41"/>
    <w:rsid w:val="00924BA6"/>
    <w:rsid w:val="00924F95"/>
    <w:rsid w:val="009251C4"/>
    <w:rsid w:val="00925270"/>
    <w:rsid w:val="009252C5"/>
    <w:rsid w:val="009253BF"/>
    <w:rsid w:val="009253DC"/>
    <w:rsid w:val="0092553E"/>
    <w:rsid w:val="009257BF"/>
    <w:rsid w:val="009258A8"/>
    <w:rsid w:val="0092597E"/>
    <w:rsid w:val="00925A02"/>
    <w:rsid w:val="00925D7B"/>
    <w:rsid w:val="00925DA2"/>
    <w:rsid w:val="00925DC5"/>
    <w:rsid w:val="00925E0B"/>
    <w:rsid w:val="00925F42"/>
    <w:rsid w:val="00925F4D"/>
    <w:rsid w:val="009260B9"/>
    <w:rsid w:val="0092619D"/>
    <w:rsid w:val="00926260"/>
    <w:rsid w:val="0092637A"/>
    <w:rsid w:val="00926562"/>
    <w:rsid w:val="009266AC"/>
    <w:rsid w:val="00926755"/>
    <w:rsid w:val="00926914"/>
    <w:rsid w:val="00926B4C"/>
    <w:rsid w:val="00926C97"/>
    <w:rsid w:val="00926DBB"/>
    <w:rsid w:val="00926E42"/>
    <w:rsid w:val="00926F6D"/>
    <w:rsid w:val="0092711E"/>
    <w:rsid w:val="00927185"/>
    <w:rsid w:val="0092739C"/>
    <w:rsid w:val="00927464"/>
    <w:rsid w:val="00927617"/>
    <w:rsid w:val="0092778C"/>
    <w:rsid w:val="00927824"/>
    <w:rsid w:val="009279AC"/>
    <w:rsid w:val="00927E6F"/>
    <w:rsid w:val="00927F23"/>
    <w:rsid w:val="00930204"/>
    <w:rsid w:val="0093034F"/>
    <w:rsid w:val="00930596"/>
    <w:rsid w:val="009305DC"/>
    <w:rsid w:val="00930879"/>
    <w:rsid w:val="00930DA2"/>
    <w:rsid w:val="0093140D"/>
    <w:rsid w:val="0093154A"/>
    <w:rsid w:val="009316C4"/>
    <w:rsid w:val="0093173F"/>
    <w:rsid w:val="00931949"/>
    <w:rsid w:val="00931A36"/>
    <w:rsid w:val="00931FBA"/>
    <w:rsid w:val="00931FC9"/>
    <w:rsid w:val="00931FF3"/>
    <w:rsid w:val="0093242E"/>
    <w:rsid w:val="00932527"/>
    <w:rsid w:val="00932548"/>
    <w:rsid w:val="0093265A"/>
    <w:rsid w:val="00932767"/>
    <w:rsid w:val="00932890"/>
    <w:rsid w:val="009329CE"/>
    <w:rsid w:val="00932A13"/>
    <w:rsid w:val="00932A14"/>
    <w:rsid w:val="00932AB3"/>
    <w:rsid w:val="00932ACF"/>
    <w:rsid w:val="00932BD9"/>
    <w:rsid w:val="00932D96"/>
    <w:rsid w:val="00932F7F"/>
    <w:rsid w:val="009330DD"/>
    <w:rsid w:val="00933158"/>
    <w:rsid w:val="009333AB"/>
    <w:rsid w:val="0093351E"/>
    <w:rsid w:val="009338CB"/>
    <w:rsid w:val="00933927"/>
    <w:rsid w:val="00933A00"/>
    <w:rsid w:val="00933A58"/>
    <w:rsid w:val="00933BDF"/>
    <w:rsid w:val="00934068"/>
    <w:rsid w:val="00934180"/>
    <w:rsid w:val="00934554"/>
    <w:rsid w:val="00934631"/>
    <w:rsid w:val="00934651"/>
    <w:rsid w:val="009347D5"/>
    <w:rsid w:val="009349ED"/>
    <w:rsid w:val="00934AA6"/>
    <w:rsid w:val="00934BF4"/>
    <w:rsid w:val="00934C51"/>
    <w:rsid w:val="00934D66"/>
    <w:rsid w:val="00935292"/>
    <w:rsid w:val="009356DF"/>
    <w:rsid w:val="0093587D"/>
    <w:rsid w:val="00935BB4"/>
    <w:rsid w:val="00935C1A"/>
    <w:rsid w:val="00935D74"/>
    <w:rsid w:val="00935FD6"/>
    <w:rsid w:val="00936023"/>
    <w:rsid w:val="009362F4"/>
    <w:rsid w:val="00936311"/>
    <w:rsid w:val="0093631E"/>
    <w:rsid w:val="009364A8"/>
    <w:rsid w:val="009368F7"/>
    <w:rsid w:val="009369FF"/>
    <w:rsid w:val="00936B96"/>
    <w:rsid w:val="00936E9E"/>
    <w:rsid w:val="00936F04"/>
    <w:rsid w:val="0093727F"/>
    <w:rsid w:val="009372D0"/>
    <w:rsid w:val="00937382"/>
    <w:rsid w:val="009373AC"/>
    <w:rsid w:val="009373AE"/>
    <w:rsid w:val="009374CD"/>
    <w:rsid w:val="0093752F"/>
    <w:rsid w:val="00937648"/>
    <w:rsid w:val="00937706"/>
    <w:rsid w:val="00937723"/>
    <w:rsid w:val="009377F7"/>
    <w:rsid w:val="009378A6"/>
    <w:rsid w:val="009379A0"/>
    <w:rsid w:val="009379CD"/>
    <w:rsid w:val="00937B4E"/>
    <w:rsid w:val="00937E5C"/>
    <w:rsid w:val="00937E88"/>
    <w:rsid w:val="00937F53"/>
    <w:rsid w:val="00940077"/>
    <w:rsid w:val="009400C2"/>
    <w:rsid w:val="0094030B"/>
    <w:rsid w:val="009403B2"/>
    <w:rsid w:val="00940441"/>
    <w:rsid w:val="00940B21"/>
    <w:rsid w:val="00940B37"/>
    <w:rsid w:val="00940BE6"/>
    <w:rsid w:val="00940CFF"/>
    <w:rsid w:val="00940EDE"/>
    <w:rsid w:val="00941028"/>
    <w:rsid w:val="0094104F"/>
    <w:rsid w:val="00941408"/>
    <w:rsid w:val="0094145A"/>
    <w:rsid w:val="00941523"/>
    <w:rsid w:val="00941524"/>
    <w:rsid w:val="00941617"/>
    <w:rsid w:val="00941677"/>
    <w:rsid w:val="009416ED"/>
    <w:rsid w:val="0094170F"/>
    <w:rsid w:val="0094199E"/>
    <w:rsid w:val="009419A7"/>
    <w:rsid w:val="00941A04"/>
    <w:rsid w:val="00941D5C"/>
    <w:rsid w:val="00941E7C"/>
    <w:rsid w:val="00941EC0"/>
    <w:rsid w:val="00941F0D"/>
    <w:rsid w:val="00941F21"/>
    <w:rsid w:val="00942275"/>
    <w:rsid w:val="00942547"/>
    <w:rsid w:val="00942878"/>
    <w:rsid w:val="009429EB"/>
    <w:rsid w:val="00942A06"/>
    <w:rsid w:val="00942A21"/>
    <w:rsid w:val="00942B83"/>
    <w:rsid w:val="00942CE5"/>
    <w:rsid w:val="00942D3D"/>
    <w:rsid w:val="00942D78"/>
    <w:rsid w:val="00942EDE"/>
    <w:rsid w:val="00942FEB"/>
    <w:rsid w:val="009430CF"/>
    <w:rsid w:val="009430EA"/>
    <w:rsid w:val="00943288"/>
    <w:rsid w:val="009432FD"/>
    <w:rsid w:val="0094348F"/>
    <w:rsid w:val="009434C6"/>
    <w:rsid w:val="00943725"/>
    <w:rsid w:val="009437C7"/>
    <w:rsid w:val="00943A6C"/>
    <w:rsid w:val="00943B6D"/>
    <w:rsid w:val="00943DBF"/>
    <w:rsid w:val="00943EDA"/>
    <w:rsid w:val="00944114"/>
    <w:rsid w:val="0094419D"/>
    <w:rsid w:val="009441F1"/>
    <w:rsid w:val="00944282"/>
    <w:rsid w:val="009445C3"/>
    <w:rsid w:val="0094462D"/>
    <w:rsid w:val="009449B9"/>
    <w:rsid w:val="00944BA3"/>
    <w:rsid w:val="00944C08"/>
    <w:rsid w:val="00944E6C"/>
    <w:rsid w:val="00944F21"/>
    <w:rsid w:val="009450CE"/>
    <w:rsid w:val="0094527F"/>
    <w:rsid w:val="00945390"/>
    <w:rsid w:val="009453B7"/>
    <w:rsid w:val="00945581"/>
    <w:rsid w:val="009456BD"/>
    <w:rsid w:val="0094572E"/>
    <w:rsid w:val="00945827"/>
    <w:rsid w:val="00945A30"/>
    <w:rsid w:val="00945A9B"/>
    <w:rsid w:val="00945F45"/>
    <w:rsid w:val="00945F4B"/>
    <w:rsid w:val="00946209"/>
    <w:rsid w:val="009463F6"/>
    <w:rsid w:val="0094671A"/>
    <w:rsid w:val="009469D9"/>
    <w:rsid w:val="00947262"/>
    <w:rsid w:val="00947265"/>
    <w:rsid w:val="0094728E"/>
    <w:rsid w:val="009472E9"/>
    <w:rsid w:val="009474C1"/>
    <w:rsid w:val="00947912"/>
    <w:rsid w:val="00947A04"/>
    <w:rsid w:val="00947BFC"/>
    <w:rsid w:val="00947C15"/>
    <w:rsid w:val="00950A46"/>
    <w:rsid w:val="00950AF7"/>
    <w:rsid w:val="00950DC8"/>
    <w:rsid w:val="00950DFF"/>
    <w:rsid w:val="00950E88"/>
    <w:rsid w:val="00950E8B"/>
    <w:rsid w:val="00950FE5"/>
    <w:rsid w:val="009510A2"/>
    <w:rsid w:val="00951118"/>
    <w:rsid w:val="00951335"/>
    <w:rsid w:val="00951396"/>
    <w:rsid w:val="009516D6"/>
    <w:rsid w:val="0095174D"/>
    <w:rsid w:val="009517E9"/>
    <w:rsid w:val="00951E7B"/>
    <w:rsid w:val="00951E9D"/>
    <w:rsid w:val="009520D1"/>
    <w:rsid w:val="0095210E"/>
    <w:rsid w:val="009522DB"/>
    <w:rsid w:val="009524CB"/>
    <w:rsid w:val="00952638"/>
    <w:rsid w:val="0095269B"/>
    <w:rsid w:val="00952808"/>
    <w:rsid w:val="009529EA"/>
    <w:rsid w:val="00952AA1"/>
    <w:rsid w:val="00952B35"/>
    <w:rsid w:val="00952BA1"/>
    <w:rsid w:val="00952C61"/>
    <w:rsid w:val="00952E4B"/>
    <w:rsid w:val="00952E84"/>
    <w:rsid w:val="00952F7D"/>
    <w:rsid w:val="00952FCC"/>
    <w:rsid w:val="009530D8"/>
    <w:rsid w:val="0095330A"/>
    <w:rsid w:val="00953389"/>
    <w:rsid w:val="0095360F"/>
    <w:rsid w:val="00953C76"/>
    <w:rsid w:val="00953E03"/>
    <w:rsid w:val="00953F0D"/>
    <w:rsid w:val="00953FF1"/>
    <w:rsid w:val="009542C2"/>
    <w:rsid w:val="0095453E"/>
    <w:rsid w:val="00954592"/>
    <w:rsid w:val="0095474E"/>
    <w:rsid w:val="0095482E"/>
    <w:rsid w:val="00954968"/>
    <w:rsid w:val="00954A60"/>
    <w:rsid w:val="00954BDE"/>
    <w:rsid w:val="00954CE7"/>
    <w:rsid w:val="00954D5E"/>
    <w:rsid w:val="00954D62"/>
    <w:rsid w:val="00954EBC"/>
    <w:rsid w:val="009550B9"/>
    <w:rsid w:val="0095519F"/>
    <w:rsid w:val="0095527A"/>
    <w:rsid w:val="009552D7"/>
    <w:rsid w:val="00955393"/>
    <w:rsid w:val="0095551E"/>
    <w:rsid w:val="009555AC"/>
    <w:rsid w:val="009555DB"/>
    <w:rsid w:val="009558A5"/>
    <w:rsid w:val="009559BE"/>
    <w:rsid w:val="009559BF"/>
    <w:rsid w:val="009559CB"/>
    <w:rsid w:val="00955A7E"/>
    <w:rsid w:val="00955B4A"/>
    <w:rsid w:val="0095638F"/>
    <w:rsid w:val="0095643C"/>
    <w:rsid w:val="009564DD"/>
    <w:rsid w:val="0095687E"/>
    <w:rsid w:val="00956B15"/>
    <w:rsid w:val="00956DAF"/>
    <w:rsid w:val="00956EC8"/>
    <w:rsid w:val="009571D8"/>
    <w:rsid w:val="0095722F"/>
    <w:rsid w:val="0095732C"/>
    <w:rsid w:val="00957799"/>
    <w:rsid w:val="00957849"/>
    <w:rsid w:val="00957915"/>
    <w:rsid w:val="00957B51"/>
    <w:rsid w:val="00957D36"/>
    <w:rsid w:val="00957E37"/>
    <w:rsid w:val="00957FD1"/>
    <w:rsid w:val="0096028B"/>
    <w:rsid w:val="0096029F"/>
    <w:rsid w:val="0096053E"/>
    <w:rsid w:val="009606E3"/>
    <w:rsid w:val="00960807"/>
    <w:rsid w:val="0096082C"/>
    <w:rsid w:val="00960AD3"/>
    <w:rsid w:val="00960E2C"/>
    <w:rsid w:val="00961001"/>
    <w:rsid w:val="009613AB"/>
    <w:rsid w:val="00961788"/>
    <w:rsid w:val="009617F4"/>
    <w:rsid w:val="00961A7F"/>
    <w:rsid w:val="00961E32"/>
    <w:rsid w:val="00961E78"/>
    <w:rsid w:val="00962173"/>
    <w:rsid w:val="00962354"/>
    <w:rsid w:val="0096259E"/>
    <w:rsid w:val="009625A7"/>
    <w:rsid w:val="009627F8"/>
    <w:rsid w:val="00962970"/>
    <w:rsid w:val="00962A1D"/>
    <w:rsid w:val="00962B14"/>
    <w:rsid w:val="00962BE2"/>
    <w:rsid w:val="00962C3A"/>
    <w:rsid w:val="00962E97"/>
    <w:rsid w:val="00962EBD"/>
    <w:rsid w:val="0096328F"/>
    <w:rsid w:val="00963297"/>
    <w:rsid w:val="00963BF8"/>
    <w:rsid w:val="00963C92"/>
    <w:rsid w:val="00963CD5"/>
    <w:rsid w:val="00963F91"/>
    <w:rsid w:val="00964104"/>
    <w:rsid w:val="00964163"/>
    <w:rsid w:val="00964224"/>
    <w:rsid w:val="00964261"/>
    <w:rsid w:val="009644FB"/>
    <w:rsid w:val="00964652"/>
    <w:rsid w:val="00964714"/>
    <w:rsid w:val="00964777"/>
    <w:rsid w:val="00964BA1"/>
    <w:rsid w:val="00964C4A"/>
    <w:rsid w:val="00964DD4"/>
    <w:rsid w:val="00964F46"/>
    <w:rsid w:val="0096518A"/>
    <w:rsid w:val="009652B9"/>
    <w:rsid w:val="00965552"/>
    <w:rsid w:val="009655CB"/>
    <w:rsid w:val="009657C5"/>
    <w:rsid w:val="00965AF4"/>
    <w:rsid w:val="00965B2E"/>
    <w:rsid w:val="00965B88"/>
    <w:rsid w:val="00965C66"/>
    <w:rsid w:val="009662BC"/>
    <w:rsid w:val="00966407"/>
    <w:rsid w:val="00966480"/>
    <w:rsid w:val="0096682B"/>
    <w:rsid w:val="0096683E"/>
    <w:rsid w:val="009669F5"/>
    <w:rsid w:val="00966F22"/>
    <w:rsid w:val="00966F68"/>
    <w:rsid w:val="00967235"/>
    <w:rsid w:val="00967361"/>
    <w:rsid w:val="00967479"/>
    <w:rsid w:val="009675E0"/>
    <w:rsid w:val="0096761B"/>
    <w:rsid w:val="0096785A"/>
    <w:rsid w:val="009678C9"/>
    <w:rsid w:val="00967991"/>
    <w:rsid w:val="00970014"/>
    <w:rsid w:val="0097051A"/>
    <w:rsid w:val="0097092F"/>
    <w:rsid w:val="00970BCA"/>
    <w:rsid w:val="00970E29"/>
    <w:rsid w:val="009712F9"/>
    <w:rsid w:val="0097137A"/>
    <w:rsid w:val="00971399"/>
    <w:rsid w:val="00971922"/>
    <w:rsid w:val="00971A08"/>
    <w:rsid w:val="00971AE9"/>
    <w:rsid w:val="00971DCB"/>
    <w:rsid w:val="00972111"/>
    <w:rsid w:val="009721E9"/>
    <w:rsid w:val="00972452"/>
    <w:rsid w:val="00972546"/>
    <w:rsid w:val="0097264B"/>
    <w:rsid w:val="009726D5"/>
    <w:rsid w:val="00972C5A"/>
    <w:rsid w:val="00972D50"/>
    <w:rsid w:val="00972FE0"/>
    <w:rsid w:val="009732B7"/>
    <w:rsid w:val="00973323"/>
    <w:rsid w:val="00973388"/>
    <w:rsid w:val="009733CD"/>
    <w:rsid w:val="0097352B"/>
    <w:rsid w:val="00973590"/>
    <w:rsid w:val="0097370F"/>
    <w:rsid w:val="00973882"/>
    <w:rsid w:val="00973926"/>
    <w:rsid w:val="00973A9C"/>
    <w:rsid w:val="00973B14"/>
    <w:rsid w:val="00973DC3"/>
    <w:rsid w:val="00973F01"/>
    <w:rsid w:val="00973F2B"/>
    <w:rsid w:val="00974201"/>
    <w:rsid w:val="00974330"/>
    <w:rsid w:val="009744A5"/>
    <w:rsid w:val="009744D9"/>
    <w:rsid w:val="0097484C"/>
    <w:rsid w:val="00974929"/>
    <w:rsid w:val="00974A33"/>
    <w:rsid w:val="00974B31"/>
    <w:rsid w:val="00974B46"/>
    <w:rsid w:val="00974DA6"/>
    <w:rsid w:val="00974E06"/>
    <w:rsid w:val="00975020"/>
    <w:rsid w:val="0097508F"/>
    <w:rsid w:val="009752F3"/>
    <w:rsid w:val="009753BE"/>
    <w:rsid w:val="00975409"/>
    <w:rsid w:val="00975616"/>
    <w:rsid w:val="0097563A"/>
    <w:rsid w:val="00975674"/>
    <w:rsid w:val="0097569C"/>
    <w:rsid w:val="0097585E"/>
    <w:rsid w:val="00975CC4"/>
    <w:rsid w:val="00975D37"/>
    <w:rsid w:val="00976024"/>
    <w:rsid w:val="00976160"/>
    <w:rsid w:val="0097632E"/>
    <w:rsid w:val="009766AD"/>
    <w:rsid w:val="00976911"/>
    <w:rsid w:val="0097716B"/>
    <w:rsid w:val="0097721D"/>
    <w:rsid w:val="009773F3"/>
    <w:rsid w:val="00977419"/>
    <w:rsid w:val="00977641"/>
    <w:rsid w:val="009776D7"/>
    <w:rsid w:val="00977732"/>
    <w:rsid w:val="0097777D"/>
    <w:rsid w:val="00977832"/>
    <w:rsid w:val="009778AB"/>
    <w:rsid w:val="00977951"/>
    <w:rsid w:val="00977EC7"/>
    <w:rsid w:val="009804A7"/>
    <w:rsid w:val="009804E7"/>
    <w:rsid w:val="009805D3"/>
    <w:rsid w:val="00980697"/>
    <w:rsid w:val="009807BA"/>
    <w:rsid w:val="009809DC"/>
    <w:rsid w:val="00980BDC"/>
    <w:rsid w:val="00980ED5"/>
    <w:rsid w:val="009810E0"/>
    <w:rsid w:val="0098126B"/>
    <w:rsid w:val="00981389"/>
    <w:rsid w:val="009813CA"/>
    <w:rsid w:val="009815B1"/>
    <w:rsid w:val="009816A8"/>
    <w:rsid w:val="0098175D"/>
    <w:rsid w:val="00981B04"/>
    <w:rsid w:val="00981C2D"/>
    <w:rsid w:val="00981C30"/>
    <w:rsid w:val="00981D5D"/>
    <w:rsid w:val="00982104"/>
    <w:rsid w:val="00982176"/>
    <w:rsid w:val="009822A7"/>
    <w:rsid w:val="00982A0E"/>
    <w:rsid w:val="00982B50"/>
    <w:rsid w:val="00982D27"/>
    <w:rsid w:val="00983030"/>
    <w:rsid w:val="009830F0"/>
    <w:rsid w:val="0098327B"/>
    <w:rsid w:val="009833FF"/>
    <w:rsid w:val="009835E7"/>
    <w:rsid w:val="00983686"/>
    <w:rsid w:val="00983749"/>
    <w:rsid w:val="009837E4"/>
    <w:rsid w:val="00983925"/>
    <w:rsid w:val="00983A67"/>
    <w:rsid w:val="00983DB6"/>
    <w:rsid w:val="0098418D"/>
    <w:rsid w:val="0098432D"/>
    <w:rsid w:val="009843A2"/>
    <w:rsid w:val="009843D2"/>
    <w:rsid w:val="00984414"/>
    <w:rsid w:val="009844AB"/>
    <w:rsid w:val="00984770"/>
    <w:rsid w:val="00984928"/>
    <w:rsid w:val="00984951"/>
    <w:rsid w:val="00984981"/>
    <w:rsid w:val="00984FBB"/>
    <w:rsid w:val="00985378"/>
    <w:rsid w:val="009854CE"/>
    <w:rsid w:val="00985598"/>
    <w:rsid w:val="00985825"/>
    <w:rsid w:val="009859C0"/>
    <w:rsid w:val="00985C02"/>
    <w:rsid w:val="00985D08"/>
    <w:rsid w:val="00985E35"/>
    <w:rsid w:val="00985F87"/>
    <w:rsid w:val="00986212"/>
    <w:rsid w:val="009863A6"/>
    <w:rsid w:val="009864A1"/>
    <w:rsid w:val="00986D96"/>
    <w:rsid w:val="009870F3"/>
    <w:rsid w:val="00987143"/>
    <w:rsid w:val="0098740B"/>
    <w:rsid w:val="009876B5"/>
    <w:rsid w:val="009878E7"/>
    <w:rsid w:val="009878EC"/>
    <w:rsid w:val="009878FB"/>
    <w:rsid w:val="00987A49"/>
    <w:rsid w:val="00987B02"/>
    <w:rsid w:val="00987B31"/>
    <w:rsid w:val="00987D50"/>
    <w:rsid w:val="00987D52"/>
    <w:rsid w:val="00987E30"/>
    <w:rsid w:val="00987F16"/>
    <w:rsid w:val="0099010D"/>
    <w:rsid w:val="009901D6"/>
    <w:rsid w:val="0099025B"/>
    <w:rsid w:val="00990407"/>
    <w:rsid w:val="0099097C"/>
    <w:rsid w:val="00990A90"/>
    <w:rsid w:val="00990B8C"/>
    <w:rsid w:val="00990E4E"/>
    <w:rsid w:val="0099149A"/>
    <w:rsid w:val="00991611"/>
    <w:rsid w:val="00991730"/>
    <w:rsid w:val="00991855"/>
    <w:rsid w:val="009918EA"/>
    <w:rsid w:val="00991A27"/>
    <w:rsid w:val="00991B18"/>
    <w:rsid w:val="00991B34"/>
    <w:rsid w:val="00991E07"/>
    <w:rsid w:val="00991F30"/>
    <w:rsid w:val="00992089"/>
    <w:rsid w:val="0099211D"/>
    <w:rsid w:val="009921E4"/>
    <w:rsid w:val="0099242F"/>
    <w:rsid w:val="009925D9"/>
    <w:rsid w:val="009926C9"/>
    <w:rsid w:val="009929F2"/>
    <w:rsid w:val="00992EB5"/>
    <w:rsid w:val="00992EC3"/>
    <w:rsid w:val="00992F5E"/>
    <w:rsid w:val="00993115"/>
    <w:rsid w:val="0099313B"/>
    <w:rsid w:val="00993207"/>
    <w:rsid w:val="0099374A"/>
    <w:rsid w:val="00993D39"/>
    <w:rsid w:val="00993DBE"/>
    <w:rsid w:val="00993F4B"/>
    <w:rsid w:val="0099411E"/>
    <w:rsid w:val="0099420C"/>
    <w:rsid w:val="009944FA"/>
    <w:rsid w:val="0099451B"/>
    <w:rsid w:val="00994611"/>
    <w:rsid w:val="00994D0D"/>
    <w:rsid w:val="00994D1E"/>
    <w:rsid w:val="00994E9B"/>
    <w:rsid w:val="00994EC3"/>
    <w:rsid w:val="009952ED"/>
    <w:rsid w:val="0099533C"/>
    <w:rsid w:val="00995432"/>
    <w:rsid w:val="00995459"/>
    <w:rsid w:val="00995811"/>
    <w:rsid w:val="00995880"/>
    <w:rsid w:val="009959B0"/>
    <w:rsid w:val="00995A03"/>
    <w:rsid w:val="00995C1B"/>
    <w:rsid w:val="00995DFB"/>
    <w:rsid w:val="00995FC0"/>
    <w:rsid w:val="00996786"/>
    <w:rsid w:val="00996878"/>
    <w:rsid w:val="00996A85"/>
    <w:rsid w:val="00996AD6"/>
    <w:rsid w:val="00996CFE"/>
    <w:rsid w:val="00996ED3"/>
    <w:rsid w:val="0099703E"/>
    <w:rsid w:val="0099719A"/>
    <w:rsid w:val="00997548"/>
    <w:rsid w:val="00997699"/>
    <w:rsid w:val="009977BE"/>
    <w:rsid w:val="00997A1F"/>
    <w:rsid w:val="00997C61"/>
    <w:rsid w:val="00997CE1"/>
    <w:rsid w:val="00997D0E"/>
    <w:rsid w:val="00997D72"/>
    <w:rsid w:val="00997DB0"/>
    <w:rsid w:val="00997E62"/>
    <w:rsid w:val="00997EDE"/>
    <w:rsid w:val="009A00A3"/>
    <w:rsid w:val="009A01F5"/>
    <w:rsid w:val="009A032C"/>
    <w:rsid w:val="009A03FF"/>
    <w:rsid w:val="009A043A"/>
    <w:rsid w:val="009A0737"/>
    <w:rsid w:val="009A08F0"/>
    <w:rsid w:val="009A09E4"/>
    <w:rsid w:val="009A0B24"/>
    <w:rsid w:val="009A0BBB"/>
    <w:rsid w:val="009A0CD8"/>
    <w:rsid w:val="009A0F8D"/>
    <w:rsid w:val="009A0FAE"/>
    <w:rsid w:val="009A0FB5"/>
    <w:rsid w:val="009A1367"/>
    <w:rsid w:val="009A13ED"/>
    <w:rsid w:val="009A149C"/>
    <w:rsid w:val="009A1629"/>
    <w:rsid w:val="009A1651"/>
    <w:rsid w:val="009A16ED"/>
    <w:rsid w:val="009A1710"/>
    <w:rsid w:val="009A1E43"/>
    <w:rsid w:val="009A1F82"/>
    <w:rsid w:val="009A1FF0"/>
    <w:rsid w:val="009A24CE"/>
    <w:rsid w:val="009A293E"/>
    <w:rsid w:val="009A2A00"/>
    <w:rsid w:val="009A2A3A"/>
    <w:rsid w:val="009A2B53"/>
    <w:rsid w:val="009A2CEF"/>
    <w:rsid w:val="009A2D43"/>
    <w:rsid w:val="009A2EF8"/>
    <w:rsid w:val="009A2EFA"/>
    <w:rsid w:val="009A32C9"/>
    <w:rsid w:val="009A3497"/>
    <w:rsid w:val="009A357F"/>
    <w:rsid w:val="009A3615"/>
    <w:rsid w:val="009A3807"/>
    <w:rsid w:val="009A3D22"/>
    <w:rsid w:val="009A40E4"/>
    <w:rsid w:val="009A40FB"/>
    <w:rsid w:val="009A4328"/>
    <w:rsid w:val="009A4517"/>
    <w:rsid w:val="009A45EB"/>
    <w:rsid w:val="009A46F9"/>
    <w:rsid w:val="009A472A"/>
    <w:rsid w:val="009A477F"/>
    <w:rsid w:val="009A47D0"/>
    <w:rsid w:val="009A486D"/>
    <w:rsid w:val="009A4899"/>
    <w:rsid w:val="009A4975"/>
    <w:rsid w:val="009A4A24"/>
    <w:rsid w:val="009A4B4E"/>
    <w:rsid w:val="009A4BF0"/>
    <w:rsid w:val="009A4C01"/>
    <w:rsid w:val="009A4C87"/>
    <w:rsid w:val="009A4D57"/>
    <w:rsid w:val="009A4E6C"/>
    <w:rsid w:val="009A52F1"/>
    <w:rsid w:val="009A5493"/>
    <w:rsid w:val="009A591A"/>
    <w:rsid w:val="009A596B"/>
    <w:rsid w:val="009A5AB8"/>
    <w:rsid w:val="009A5BBB"/>
    <w:rsid w:val="009A5FE0"/>
    <w:rsid w:val="009A60AF"/>
    <w:rsid w:val="009A621C"/>
    <w:rsid w:val="009A6244"/>
    <w:rsid w:val="009A6689"/>
    <w:rsid w:val="009A6745"/>
    <w:rsid w:val="009A6846"/>
    <w:rsid w:val="009A6892"/>
    <w:rsid w:val="009A70F8"/>
    <w:rsid w:val="009A7393"/>
    <w:rsid w:val="009A7478"/>
    <w:rsid w:val="009A74B8"/>
    <w:rsid w:val="009A74C2"/>
    <w:rsid w:val="009A76F4"/>
    <w:rsid w:val="009A7879"/>
    <w:rsid w:val="009A7948"/>
    <w:rsid w:val="009A796F"/>
    <w:rsid w:val="009A7AAA"/>
    <w:rsid w:val="009A7AE2"/>
    <w:rsid w:val="009B00B1"/>
    <w:rsid w:val="009B00F8"/>
    <w:rsid w:val="009B0119"/>
    <w:rsid w:val="009B0182"/>
    <w:rsid w:val="009B02E9"/>
    <w:rsid w:val="009B049D"/>
    <w:rsid w:val="009B08DF"/>
    <w:rsid w:val="009B0ADC"/>
    <w:rsid w:val="009B0BE9"/>
    <w:rsid w:val="009B0D67"/>
    <w:rsid w:val="009B0E1D"/>
    <w:rsid w:val="009B0E31"/>
    <w:rsid w:val="009B0FBC"/>
    <w:rsid w:val="009B10FB"/>
    <w:rsid w:val="009B11C2"/>
    <w:rsid w:val="009B12EC"/>
    <w:rsid w:val="009B1A78"/>
    <w:rsid w:val="009B1ECB"/>
    <w:rsid w:val="009B1FF4"/>
    <w:rsid w:val="009B2000"/>
    <w:rsid w:val="009B2262"/>
    <w:rsid w:val="009B2332"/>
    <w:rsid w:val="009B2596"/>
    <w:rsid w:val="009B2854"/>
    <w:rsid w:val="009B2A92"/>
    <w:rsid w:val="009B2B7F"/>
    <w:rsid w:val="009B2C7C"/>
    <w:rsid w:val="009B2CF7"/>
    <w:rsid w:val="009B2EAD"/>
    <w:rsid w:val="009B2FBB"/>
    <w:rsid w:val="009B302B"/>
    <w:rsid w:val="009B327D"/>
    <w:rsid w:val="009B3648"/>
    <w:rsid w:val="009B38A3"/>
    <w:rsid w:val="009B3B3A"/>
    <w:rsid w:val="009B3BB3"/>
    <w:rsid w:val="009B3E0D"/>
    <w:rsid w:val="009B3E4D"/>
    <w:rsid w:val="009B3E8B"/>
    <w:rsid w:val="009B3FE5"/>
    <w:rsid w:val="009B4138"/>
    <w:rsid w:val="009B4163"/>
    <w:rsid w:val="009B451C"/>
    <w:rsid w:val="009B4575"/>
    <w:rsid w:val="009B463D"/>
    <w:rsid w:val="009B47D5"/>
    <w:rsid w:val="009B4865"/>
    <w:rsid w:val="009B4997"/>
    <w:rsid w:val="009B49EB"/>
    <w:rsid w:val="009B49FE"/>
    <w:rsid w:val="009B4AEA"/>
    <w:rsid w:val="009B4E06"/>
    <w:rsid w:val="009B5027"/>
    <w:rsid w:val="009B5130"/>
    <w:rsid w:val="009B5197"/>
    <w:rsid w:val="009B51B8"/>
    <w:rsid w:val="009B521D"/>
    <w:rsid w:val="009B5425"/>
    <w:rsid w:val="009B54E0"/>
    <w:rsid w:val="009B560E"/>
    <w:rsid w:val="009B5704"/>
    <w:rsid w:val="009B58AA"/>
    <w:rsid w:val="009B5E79"/>
    <w:rsid w:val="009B5F33"/>
    <w:rsid w:val="009B5F5B"/>
    <w:rsid w:val="009B5F5F"/>
    <w:rsid w:val="009B5FEF"/>
    <w:rsid w:val="009B61ED"/>
    <w:rsid w:val="009B6402"/>
    <w:rsid w:val="009B680A"/>
    <w:rsid w:val="009B685A"/>
    <w:rsid w:val="009B69F8"/>
    <w:rsid w:val="009B6AED"/>
    <w:rsid w:val="009B6BA6"/>
    <w:rsid w:val="009B6DF4"/>
    <w:rsid w:val="009B6FA4"/>
    <w:rsid w:val="009B7022"/>
    <w:rsid w:val="009B74BB"/>
    <w:rsid w:val="009B751E"/>
    <w:rsid w:val="009B7585"/>
    <w:rsid w:val="009B766F"/>
    <w:rsid w:val="009B7794"/>
    <w:rsid w:val="009B798A"/>
    <w:rsid w:val="009B7CB5"/>
    <w:rsid w:val="009B7D42"/>
    <w:rsid w:val="009C0059"/>
    <w:rsid w:val="009C00C3"/>
    <w:rsid w:val="009C00D5"/>
    <w:rsid w:val="009C03C9"/>
    <w:rsid w:val="009C04A7"/>
    <w:rsid w:val="009C0697"/>
    <w:rsid w:val="009C071A"/>
    <w:rsid w:val="009C0781"/>
    <w:rsid w:val="009C08B4"/>
    <w:rsid w:val="009C0C95"/>
    <w:rsid w:val="009C0ED0"/>
    <w:rsid w:val="009C0F9D"/>
    <w:rsid w:val="009C0FBF"/>
    <w:rsid w:val="009C1047"/>
    <w:rsid w:val="009C10C1"/>
    <w:rsid w:val="009C1739"/>
    <w:rsid w:val="009C1867"/>
    <w:rsid w:val="009C1C42"/>
    <w:rsid w:val="009C1EC7"/>
    <w:rsid w:val="009C23F7"/>
    <w:rsid w:val="009C2516"/>
    <w:rsid w:val="009C254A"/>
    <w:rsid w:val="009C2628"/>
    <w:rsid w:val="009C274B"/>
    <w:rsid w:val="009C28E4"/>
    <w:rsid w:val="009C2BBA"/>
    <w:rsid w:val="009C2E1B"/>
    <w:rsid w:val="009C2F80"/>
    <w:rsid w:val="009C304D"/>
    <w:rsid w:val="009C30E6"/>
    <w:rsid w:val="009C3844"/>
    <w:rsid w:val="009C3D4C"/>
    <w:rsid w:val="009C3F7C"/>
    <w:rsid w:val="009C44A4"/>
    <w:rsid w:val="009C4A1C"/>
    <w:rsid w:val="009C4BB0"/>
    <w:rsid w:val="009C4BBA"/>
    <w:rsid w:val="009C4C58"/>
    <w:rsid w:val="009C4E0D"/>
    <w:rsid w:val="009C4F8F"/>
    <w:rsid w:val="009C501E"/>
    <w:rsid w:val="009C50AD"/>
    <w:rsid w:val="009C52D0"/>
    <w:rsid w:val="009C5623"/>
    <w:rsid w:val="009C57C4"/>
    <w:rsid w:val="009C5818"/>
    <w:rsid w:val="009C582D"/>
    <w:rsid w:val="009C5887"/>
    <w:rsid w:val="009C5B0A"/>
    <w:rsid w:val="009C5C4B"/>
    <w:rsid w:val="009C5D42"/>
    <w:rsid w:val="009C5E01"/>
    <w:rsid w:val="009C5EB2"/>
    <w:rsid w:val="009C5EE4"/>
    <w:rsid w:val="009C611D"/>
    <w:rsid w:val="009C614F"/>
    <w:rsid w:val="009C61B9"/>
    <w:rsid w:val="009C6287"/>
    <w:rsid w:val="009C63A9"/>
    <w:rsid w:val="009C63C7"/>
    <w:rsid w:val="009C649A"/>
    <w:rsid w:val="009C64AC"/>
    <w:rsid w:val="009C6AA1"/>
    <w:rsid w:val="009C7095"/>
    <w:rsid w:val="009C71EC"/>
    <w:rsid w:val="009C7319"/>
    <w:rsid w:val="009C73FB"/>
    <w:rsid w:val="009C78CE"/>
    <w:rsid w:val="009C7AA2"/>
    <w:rsid w:val="009C7E6F"/>
    <w:rsid w:val="009C7FD5"/>
    <w:rsid w:val="009D0404"/>
    <w:rsid w:val="009D0667"/>
    <w:rsid w:val="009D0764"/>
    <w:rsid w:val="009D0840"/>
    <w:rsid w:val="009D0889"/>
    <w:rsid w:val="009D08B8"/>
    <w:rsid w:val="009D09FA"/>
    <w:rsid w:val="009D0AAC"/>
    <w:rsid w:val="009D0ACA"/>
    <w:rsid w:val="009D0CB4"/>
    <w:rsid w:val="009D0EB5"/>
    <w:rsid w:val="009D0FEA"/>
    <w:rsid w:val="009D11EE"/>
    <w:rsid w:val="009D121E"/>
    <w:rsid w:val="009D14FD"/>
    <w:rsid w:val="009D1632"/>
    <w:rsid w:val="009D1760"/>
    <w:rsid w:val="009D1A07"/>
    <w:rsid w:val="009D1B02"/>
    <w:rsid w:val="009D1C4F"/>
    <w:rsid w:val="009D1C74"/>
    <w:rsid w:val="009D2010"/>
    <w:rsid w:val="009D27AB"/>
    <w:rsid w:val="009D28AA"/>
    <w:rsid w:val="009D2990"/>
    <w:rsid w:val="009D299D"/>
    <w:rsid w:val="009D3065"/>
    <w:rsid w:val="009D30C4"/>
    <w:rsid w:val="009D33FB"/>
    <w:rsid w:val="009D3409"/>
    <w:rsid w:val="009D3563"/>
    <w:rsid w:val="009D3657"/>
    <w:rsid w:val="009D36AA"/>
    <w:rsid w:val="009D375B"/>
    <w:rsid w:val="009D3831"/>
    <w:rsid w:val="009D3A2B"/>
    <w:rsid w:val="009D3BA9"/>
    <w:rsid w:val="009D3EF1"/>
    <w:rsid w:val="009D3F55"/>
    <w:rsid w:val="009D3FF3"/>
    <w:rsid w:val="009D41A1"/>
    <w:rsid w:val="009D4238"/>
    <w:rsid w:val="009D43B2"/>
    <w:rsid w:val="009D4F89"/>
    <w:rsid w:val="009D51B4"/>
    <w:rsid w:val="009D55A6"/>
    <w:rsid w:val="009D56F6"/>
    <w:rsid w:val="009D5758"/>
    <w:rsid w:val="009D5A57"/>
    <w:rsid w:val="009D5AD2"/>
    <w:rsid w:val="009D5AD6"/>
    <w:rsid w:val="009D5EA3"/>
    <w:rsid w:val="009D5F43"/>
    <w:rsid w:val="009D60E9"/>
    <w:rsid w:val="009D60FD"/>
    <w:rsid w:val="009D64E8"/>
    <w:rsid w:val="009D6527"/>
    <w:rsid w:val="009D66DF"/>
    <w:rsid w:val="009D682A"/>
    <w:rsid w:val="009D68DF"/>
    <w:rsid w:val="009D6C4B"/>
    <w:rsid w:val="009D6D4C"/>
    <w:rsid w:val="009D6EBC"/>
    <w:rsid w:val="009D6EFB"/>
    <w:rsid w:val="009D7015"/>
    <w:rsid w:val="009D7144"/>
    <w:rsid w:val="009D750A"/>
    <w:rsid w:val="009D7561"/>
    <w:rsid w:val="009D76DD"/>
    <w:rsid w:val="009D7855"/>
    <w:rsid w:val="009D786E"/>
    <w:rsid w:val="009D789B"/>
    <w:rsid w:val="009D7A5B"/>
    <w:rsid w:val="009D7C8E"/>
    <w:rsid w:val="009D7CE0"/>
    <w:rsid w:val="009D7CEC"/>
    <w:rsid w:val="009D7E2A"/>
    <w:rsid w:val="009D7F80"/>
    <w:rsid w:val="009E0008"/>
    <w:rsid w:val="009E0210"/>
    <w:rsid w:val="009E03FF"/>
    <w:rsid w:val="009E0578"/>
    <w:rsid w:val="009E076A"/>
    <w:rsid w:val="009E096F"/>
    <w:rsid w:val="009E0D02"/>
    <w:rsid w:val="009E0D48"/>
    <w:rsid w:val="009E0D7D"/>
    <w:rsid w:val="009E12CF"/>
    <w:rsid w:val="009E1514"/>
    <w:rsid w:val="009E1551"/>
    <w:rsid w:val="009E1EF4"/>
    <w:rsid w:val="009E1FA0"/>
    <w:rsid w:val="009E2012"/>
    <w:rsid w:val="009E20CB"/>
    <w:rsid w:val="009E218E"/>
    <w:rsid w:val="009E21D2"/>
    <w:rsid w:val="009E2284"/>
    <w:rsid w:val="009E24E3"/>
    <w:rsid w:val="009E256B"/>
    <w:rsid w:val="009E2684"/>
    <w:rsid w:val="009E26B5"/>
    <w:rsid w:val="009E2759"/>
    <w:rsid w:val="009E2A5D"/>
    <w:rsid w:val="009E2A9A"/>
    <w:rsid w:val="009E2ABE"/>
    <w:rsid w:val="009E2B20"/>
    <w:rsid w:val="009E2DBA"/>
    <w:rsid w:val="009E2E1F"/>
    <w:rsid w:val="009E2FB0"/>
    <w:rsid w:val="009E3339"/>
    <w:rsid w:val="009E3361"/>
    <w:rsid w:val="009E3439"/>
    <w:rsid w:val="009E3466"/>
    <w:rsid w:val="009E38DD"/>
    <w:rsid w:val="009E38E6"/>
    <w:rsid w:val="009E3AD1"/>
    <w:rsid w:val="009E3C45"/>
    <w:rsid w:val="009E4353"/>
    <w:rsid w:val="009E44CA"/>
    <w:rsid w:val="009E47CD"/>
    <w:rsid w:val="009E4CBD"/>
    <w:rsid w:val="009E4DCC"/>
    <w:rsid w:val="009E4EA6"/>
    <w:rsid w:val="009E51B7"/>
    <w:rsid w:val="009E51CF"/>
    <w:rsid w:val="009E5589"/>
    <w:rsid w:val="009E5742"/>
    <w:rsid w:val="009E585B"/>
    <w:rsid w:val="009E5A55"/>
    <w:rsid w:val="009E5AED"/>
    <w:rsid w:val="009E5FB3"/>
    <w:rsid w:val="009E6159"/>
    <w:rsid w:val="009E6181"/>
    <w:rsid w:val="009E6290"/>
    <w:rsid w:val="009E6815"/>
    <w:rsid w:val="009E6CB4"/>
    <w:rsid w:val="009E6FE8"/>
    <w:rsid w:val="009E7945"/>
    <w:rsid w:val="009E7C76"/>
    <w:rsid w:val="009E7C8F"/>
    <w:rsid w:val="009E7D15"/>
    <w:rsid w:val="009E7D94"/>
    <w:rsid w:val="009F0081"/>
    <w:rsid w:val="009F01E3"/>
    <w:rsid w:val="009F03C5"/>
    <w:rsid w:val="009F0469"/>
    <w:rsid w:val="009F0476"/>
    <w:rsid w:val="009F04F4"/>
    <w:rsid w:val="009F0592"/>
    <w:rsid w:val="009F0A4F"/>
    <w:rsid w:val="009F0A67"/>
    <w:rsid w:val="009F0C1F"/>
    <w:rsid w:val="009F0C24"/>
    <w:rsid w:val="009F0D69"/>
    <w:rsid w:val="009F0F04"/>
    <w:rsid w:val="009F0F36"/>
    <w:rsid w:val="009F0FC9"/>
    <w:rsid w:val="009F10AA"/>
    <w:rsid w:val="009F115D"/>
    <w:rsid w:val="009F120A"/>
    <w:rsid w:val="009F14EC"/>
    <w:rsid w:val="009F1746"/>
    <w:rsid w:val="009F19B9"/>
    <w:rsid w:val="009F1BC4"/>
    <w:rsid w:val="009F1E2F"/>
    <w:rsid w:val="009F217F"/>
    <w:rsid w:val="009F21FD"/>
    <w:rsid w:val="009F245B"/>
    <w:rsid w:val="009F2806"/>
    <w:rsid w:val="009F284C"/>
    <w:rsid w:val="009F28EA"/>
    <w:rsid w:val="009F2A66"/>
    <w:rsid w:val="009F2AAB"/>
    <w:rsid w:val="009F2B63"/>
    <w:rsid w:val="009F2B74"/>
    <w:rsid w:val="009F2C2B"/>
    <w:rsid w:val="009F2D52"/>
    <w:rsid w:val="009F317F"/>
    <w:rsid w:val="009F335F"/>
    <w:rsid w:val="009F33B4"/>
    <w:rsid w:val="009F350B"/>
    <w:rsid w:val="009F361B"/>
    <w:rsid w:val="009F3953"/>
    <w:rsid w:val="009F39D6"/>
    <w:rsid w:val="009F3B7E"/>
    <w:rsid w:val="009F3E0B"/>
    <w:rsid w:val="009F3E27"/>
    <w:rsid w:val="009F3EB5"/>
    <w:rsid w:val="009F40EA"/>
    <w:rsid w:val="009F42B7"/>
    <w:rsid w:val="009F42B8"/>
    <w:rsid w:val="009F43CD"/>
    <w:rsid w:val="009F4433"/>
    <w:rsid w:val="009F44AB"/>
    <w:rsid w:val="009F44C5"/>
    <w:rsid w:val="009F47BF"/>
    <w:rsid w:val="009F4899"/>
    <w:rsid w:val="009F48FC"/>
    <w:rsid w:val="009F49AE"/>
    <w:rsid w:val="009F4B1D"/>
    <w:rsid w:val="009F4D9A"/>
    <w:rsid w:val="009F4DDF"/>
    <w:rsid w:val="009F5142"/>
    <w:rsid w:val="009F51F8"/>
    <w:rsid w:val="009F52DE"/>
    <w:rsid w:val="009F539B"/>
    <w:rsid w:val="009F5409"/>
    <w:rsid w:val="009F548E"/>
    <w:rsid w:val="009F555B"/>
    <w:rsid w:val="009F5635"/>
    <w:rsid w:val="009F5B47"/>
    <w:rsid w:val="009F5C2C"/>
    <w:rsid w:val="009F5EE4"/>
    <w:rsid w:val="009F62FD"/>
    <w:rsid w:val="009F63DC"/>
    <w:rsid w:val="009F64A7"/>
    <w:rsid w:val="009F657F"/>
    <w:rsid w:val="009F6677"/>
    <w:rsid w:val="009F67F5"/>
    <w:rsid w:val="009F69B8"/>
    <w:rsid w:val="009F6A5B"/>
    <w:rsid w:val="009F6C26"/>
    <w:rsid w:val="009F6C4A"/>
    <w:rsid w:val="009F6E55"/>
    <w:rsid w:val="009F70D3"/>
    <w:rsid w:val="009F712D"/>
    <w:rsid w:val="009F76AD"/>
    <w:rsid w:val="009F79F4"/>
    <w:rsid w:val="009F7B3B"/>
    <w:rsid w:val="00A0028F"/>
    <w:rsid w:val="00A00542"/>
    <w:rsid w:val="00A0066E"/>
    <w:rsid w:val="00A007AF"/>
    <w:rsid w:val="00A007D9"/>
    <w:rsid w:val="00A0088C"/>
    <w:rsid w:val="00A00898"/>
    <w:rsid w:val="00A008D9"/>
    <w:rsid w:val="00A00DD6"/>
    <w:rsid w:val="00A00ECB"/>
    <w:rsid w:val="00A011B0"/>
    <w:rsid w:val="00A01365"/>
    <w:rsid w:val="00A014FE"/>
    <w:rsid w:val="00A0154C"/>
    <w:rsid w:val="00A01673"/>
    <w:rsid w:val="00A0171A"/>
    <w:rsid w:val="00A017A1"/>
    <w:rsid w:val="00A0196D"/>
    <w:rsid w:val="00A01C60"/>
    <w:rsid w:val="00A01D03"/>
    <w:rsid w:val="00A01E01"/>
    <w:rsid w:val="00A01F62"/>
    <w:rsid w:val="00A01FB7"/>
    <w:rsid w:val="00A020A9"/>
    <w:rsid w:val="00A02244"/>
    <w:rsid w:val="00A02366"/>
    <w:rsid w:val="00A024A8"/>
    <w:rsid w:val="00A02608"/>
    <w:rsid w:val="00A02A63"/>
    <w:rsid w:val="00A02CFA"/>
    <w:rsid w:val="00A02D56"/>
    <w:rsid w:val="00A02E72"/>
    <w:rsid w:val="00A02EEC"/>
    <w:rsid w:val="00A031A4"/>
    <w:rsid w:val="00A03265"/>
    <w:rsid w:val="00A03321"/>
    <w:rsid w:val="00A03945"/>
    <w:rsid w:val="00A039D3"/>
    <w:rsid w:val="00A039E3"/>
    <w:rsid w:val="00A03A02"/>
    <w:rsid w:val="00A03C01"/>
    <w:rsid w:val="00A03DB3"/>
    <w:rsid w:val="00A03E36"/>
    <w:rsid w:val="00A03F6E"/>
    <w:rsid w:val="00A041F9"/>
    <w:rsid w:val="00A0422E"/>
    <w:rsid w:val="00A04688"/>
    <w:rsid w:val="00A047E3"/>
    <w:rsid w:val="00A04858"/>
    <w:rsid w:val="00A04C89"/>
    <w:rsid w:val="00A04FB5"/>
    <w:rsid w:val="00A0501A"/>
    <w:rsid w:val="00A053D0"/>
    <w:rsid w:val="00A055BA"/>
    <w:rsid w:val="00A057F7"/>
    <w:rsid w:val="00A05A08"/>
    <w:rsid w:val="00A05A0D"/>
    <w:rsid w:val="00A05CD3"/>
    <w:rsid w:val="00A05D8C"/>
    <w:rsid w:val="00A05E27"/>
    <w:rsid w:val="00A05E86"/>
    <w:rsid w:val="00A060C3"/>
    <w:rsid w:val="00A0629E"/>
    <w:rsid w:val="00A06470"/>
    <w:rsid w:val="00A064AA"/>
    <w:rsid w:val="00A065CF"/>
    <w:rsid w:val="00A065DF"/>
    <w:rsid w:val="00A066C2"/>
    <w:rsid w:val="00A06A12"/>
    <w:rsid w:val="00A06AB6"/>
    <w:rsid w:val="00A06D85"/>
    <w:rsid w:val="00A06E8C"/>
    <w:rsid w:val="00A071CF"/>
    <w:rsid w:val="00A07240"/>
    <w:rsid w:val="00A0729A"/>
    <w:rsid w:val="00A07576"/>
    <w:rsid w:val="00A07800"/>
    <w:rsid w:val="00A078EB"/>
    <w:rsid w:val="00A079B8"/>
    <w:rsid w:val="00A07A41"/>
    <w:rsid w:val="00A07B6C"/>
    <w:rsid w:val="00A07B90"/>
    <w:rsid w:val="00A07C58"/>
    <w:rsid w:val="00A07CFE"/>
    <w:rsid w:val="00A102C8"/>
    <w:rsid w:val="00A10509"/>
    <w:rsid w:val="00A105D0"/>
    <w:rsid w:val="00A107FC"/>
    <w:rsid w:val="00A10956"/>
    <w:rsid w:val="00A10A91"/>
    <w:rsid w:val="00A10B65"/>
    <w:rsid w:val="00A10CD9"/>
    <w:rsid w:val="00A10D07"/>
    <w:rsid w:val="00A10D39"/>
    <w:rsid w:val="00A10D4B"/>
    <w:rsid w:val="00A10D6B"/>
    <w:rsid w:val="00A10DE5"/>
    <w:rsid w:val="00A10EC5"/>
    <w:rsid w:val="00A10F54"/>
    <w:rsid w:val="00A110BB"/>
    <w:rsid w:val="00A110D6"/>
    <w:rsid w:val="00A111C7"/>
    <w:rsid w:val="00A11267"/>
    <w:rsid w:val="00A113CE"/>
    <w:rsid w:val="00A1160A"/>
    <w:rsid w:val="00A11748"/>
    <w:rsid w:val="00A1185B"/>
    <w:rsid w:val="00A118CF"/>
    <w:rsid w:val="00A118D1"/>
    <w:rsid w:val="00A119C9"/>
    <w:rsid w:val="00A11C05"/>
    <w:rsid w:val="00A11D0F"/>
    <w:rsid w:val="00A11E6F"/>
    <w:rsid w:val="00A12027"/>
    <w:rsid w:val="00A1221F"/>
    <w:rsid w:val="00A1226C"/>
    <w:rsid w:val="00A124C2"/>
    <w:rsid w:val="00A124C3"/>
    <w:rsid w:val="00A1265E"/>
    <w:rsid w:val="00A12731"/>
    <w:rsid w:val="00A1292D"/>
    <w:rsid w:val="00A129B2"/>
    <w:rsid w:val="00A129C6"/>
    <w:rsid w:val="00A12D4F"/>
    <w:rsid w:val="00A12D92"/>
    <w:rsid w:val="00A1303E"/>
    <w:rsid w:val="00A13410"/>
    <w:rsid w:val="00A1345A"/>
    <w:rsid w:val="00A135ED"/>
    <w:rsid w:val="00A1374B"/>
    <w:rsid w:val="00A1391B"/>
    <w:rsid w:val="00A139F8"/>
    <w:rsid w:val="00A13C18"/>
    <w:rsid w:val="00A13C5A"/>
    <w:rsid w:val="00A13C69"/>
    <w:rsid w:val="00A13D40"/>
    <w:rsid w:val="00A13D56"/>
    <w:rsid w:val="00A141E7"/>
    <w:rsid w:val="00A14394"/>
    <w:rsid w:val="00A14554"/>
    <w:rsid w:val="00A1455E"/>
    <w:rsid w:val="00A145C0"/>
    <w:rsid w:val="00A147B1"/>
    <w:rsid w:val="00A147D7"/>
    <w:rsid w:val="00A14905"/>
    <w:rsid w:val="00A149AC"/>
    <w:rsid w:val="00A14AE6"/>
    <w:rsid w:val="00A14B07"/>
    <w:rsid w:val="00A14E98"/>
    <w:rsid w:val="00A14F65"/>
    <w:rsid w:val="00A1502D"/>
    <w:rsid w:val="00A15137"/>
    <w:rsid w:val="00A1515D"/>
    <w:rsid w:val="00A15402"/>
    <w:rsid w:val="00A154B8"/>
    <w:rsid w:val="00A1550E"/>
    <w:rsid w:val="00A1561C"/>
    <w:rsid w:val="00A158D2"/>
    <w:rsid w:val="00A15A67"/>
    <w:rsid w:val="00A15BFC"/>
    <w:rsid w:val="00A15DF7"/>
    <w:rsid w:val="00A162BD"/>
    <w:rsid w:val="00A1632B"/>
    <w:rsid w:val="00A167C1"/>
    <w:rsid w:val="00A1684B"/>
    <w:rsid w:val="00A168BA"/>
    <w:rsid w:val="00A16D95"/>
    <w:rsid w:val="00A16DDB"/>
    <w:rsid w:val="00A16E03"/>
    <w:rsid w:val="00A16F0B"/>
    <w:rsid w:val="00A1727A"/>
    <w:rsid w:val="00A17402"/>
    <w:rsid w:val="00A1756C"/>
    <w:rsid w:val="00A176BC"/>
    <w:rsid w:val="00A1796A"/>
    <w:rsid w:val="00A1798A"/>
    <w:rsid w:val="00A179C8"/>
    <w:rsid w:val="00A17C63"/>
    <w:rsid w:val="00A17C6B"/>
    <w:rsid w:val="00A17F54"/>
    <w:rsid w:val="00A17FC1"/>
    <w:rsid w:val="00A20196"/>
    <w:rsid w:val="00A20407"/>
    <w:rsid w:val="00A2043B"/>
    <w:rsid w:val="00A20E70"/>
    <w:rsid w:val="00A21244"/>
    <w:rsid w:val="00A2152A"/>
    <w:rsid w:val="00A217CA"/>
    <w:rsid w:val="00A21832"/>
    <w:rsid w:val="00A21892"/>
    <w:rsid w:val="00A21C49"/>
    <w:rsid w:val="00A21E64"/>
    <w:rsid w:val="00A2202D"/>
    <w:rsid w:val="00A220D3"/>
    <w:rsid w:val="00A221AA"/>
    <w:rsid w:val="00A2271A"/>
    <w:rsid w:val="00A22747"/>
    <w:rsid w:val="00A22756"/>
    <w:rsid w:val="00A227C2"/>
    <w:rsid w:val="00A22865"/>
    <w:rsid w:val="00A2286C"/>
    <w:rsid w:val="00A2286E"/>
    <w:rsid w:val="00A22971"/>
    <w:rsid w:val="00A229DF"/>
    <w:rsid w:val="00A22A06"/>
    <w:rsid w:val="00A22DCF"/>
    <w:rsid w:val="00A22F09"/>
    <w:rsid w:val="00A22F40"/>
    <w:rsid w:val="00A22FF1"/>
    <w:rsid w:val="00A234DD"/>
    <w:rsid w:val="00A235B0"/>
    <w:rsid w:val="00A237EF"/>
    <w:rsid w:val="00A23954"/>
    <w:rsid w:val="00A239DC"/>
    <w:rsid w:val="00A239EE"/>
    <w:rsid w:val="00A23B9B"/>
    <w:rsid w:val="00A23C57"/>
    <w:rsid w:val="00A23D03"/>
    <w:rsid w:val="00A23E1A"/>
    <w:rsid w:val="00A23EE0"/>
    <w:rsid w:val="00A23FD3"/>
    <w:rsid w:val="00A240D2"/>
    <w:rsid w:val="00A241D1"/>
    <w:rsid w:val="00A24674"/>
    <w:rsid w:val="00A24751"/>
    <w:rsid w:val="00A248C7"/>
    <w:rsid w:val="00A249FE"/>
    <w:rsid w:val="00A24B2D"/>
    <w:rsid w:val="00A24BF0"/>
    <w:rsid w:val="00A24CE3"/>
    <w:rsid w:val="00A24F04"/>
    <w:rsid w:val="00A24F1A"/>
    <w:rsid w:val="00A2504E"/>
    <w:rsid w:val="00A250D6"/>
    <w:rsid w:val="00A251F1"/>
    <w:rsid w:val="00A2522D"/>
    <w:rsid w:val="00A2569D"/>
    <w:rsid w:val="00A256CB"/>
    <w:rsid w:val="00A25D37"/>
    <w:rsid w:val="00A25D3E"/>
    <w:rsid w:val="00A25D96"/>
    <w:rsid w:val="00A25FA0"/>
    <w:rsid w:val="00A25FEC"/>
    <w:rsid w:val="00A26220"/>
    <w:rsid w:val="00A26315"/>
    <w:rsid w:val="00A264BA"/>
    <w:rsid w:val="00A266D4"/>
    <w:rsid w:val="00A26710"/>
    <w:rsid w:val="00A26716"/>
    <w:rsid w:val="00A2694F"/>
    <w:rsid w:val="00A26AA2"/>
    <w:rsid w:val="00A26D9E"/>
    <w:rsid w:val="00A26F20"/>
    <w:rsid w:val="00A27172"/>
    <w:rsid w:val="00A2762A"/>
    <w:rsid w:val="00A27905"/>
    <w:rsid w:val="00A30623"/>
    <w:rsid w:val="00A30803"/>
    <w:rsid w:val="00A309DB"/>
    <w:rsid w:val="00A30AD6"/>
    <w:rsid w:val="00A30B6A"/>
    <w:rsid w:val="00A30D26"/>
    <w:rsid w:val="00A30D2F"/>
    <w:rsid w:val="00A30EE8"/>
    <w:rsid w:val="00A314A7"/>
    <w:rsid w:val="00A316E3"/>
    <w:rsid w:val="00A31737"/>
    <w:rsid w:val="00A31B59"/>
    <w:rsid w:val="00A31E56"/>
    <w:rsid w:val="00A31EC7"/>
    <w:rsid w:val="00A31FBA"/>
    <w:rsid w:val="00A32174"/>
    <w:rsid w:val="00A32313"/>
    <w:rsid w:val="00A32314"/>
    <w:rsid w:val="00A323FC"/>
    <w:rsid w:val="00A325D0"/>
    <w:rsid w:val="00A328C9"/>
    <w:rsid w:val="00A32B1D"/>
    <w:rsid w:val="00A32BA8"/>
    <w:rsid w:val="00A32E44"/>
    <w:rsid w:val="00A32F80"/>
    <w:rsid w:val="00A3334C"/>
    <w:rsid w:val="00A334AA"/>
    <w:rsid w:val="00A33525"/>
    <w:rsid w:val="00A33586"/>
    <w:rsid w:val="00A336F4"/>
    <w:rsid w:val="00A33719"/>
    <w:rsid w:val="00A33731"/>
    <w:rsid w:val="00A33927"/>
    <w:rsid w:val="00A3409C"/>
    <w:rsid w:val="00A343EE"/>
    <w:rsid w:val="00A34456"/>
    <w:rsid w:val="00A344BF"/>
    <w:rsid w:val="00A344E9"/>
    <w:rsid w:val="00A34501"/>
    <w:rsid w:val="00A3455A"/>
    <w:rsid w:val="00A346D4"/>
    <w:rsid w:val="00A34971"/>
    <w:rsid w:val="00A3499E"/>
    <w:rsid w:val="00A350DE"/>
    <w:rsid w:val="00A35396"/>
    <w:rsid w:val="00A3551A"/>
    <w:rsid w:val="00A355A8"/>
    <w:rsid w:val="00A355C5"/>
    <w:rsid w:val="00A3564D"/>
    <w:rsid w:val="00A35A44"/>
    <w:rsid w:val="00A35B59"/>
    <w:rsid w:val="00A35D00"/>
    <w:rsid w:val="00A360F0"/>
    <w:rsid w:val="00A360F2"/>
    <w:rsid w:val="00A36380"/>
    <w:rsid w:val="00A3642E"/>
    <w:rsid w:val="00A36460"/>
    <w:rsid w:val="00A364A0"/>
    <w:rsid w:val="00A3651A"/>
    <w:rsid w:val="00A365F2"/>
    <w:rsid w:val="00A36620"/>
    <w:rsid w:val="00A36872"/>
    <w:rsid w:val="00A368F5"/>
    <w:rsid w:val="00A36CB9"/>
    <w:rsid w:val="00A36FD9"/>
    <w:rsid w:val="00A37160"/>
    <w:rsid w:val="00A374E7"/>
    <w:rsid w:val="00A3760A"/>
    <w:rsid w:val="00A376CF"/>
    <w:rsid w:val="00A3772B"/>
    <w:rsid w:val="00A37778"/>
    <w:rsid w:val="00A3780A"/>
    <w:rsid w:val="00A3781D"/>
    <w:rsid w:val="00A378C2"/>
    <w:rsid w:val="00A378D3"/>
    <w:rsid w:val="00A37ADA"/>
    <w:rsid w:val="00A37DC1"/>
    <w:rsid w:val="00A37FCC"/>
    <w:rsid w:val="00A400B2"/>
    <w:rsid w:val="00A4031B"/>
    <w:rsid w:val="00A4037E"/>
    <w:rsid w:val="00A403F0"/>
    <w:rsid w:val="00A4072A"/>
    <w:rsid w:val="00A4075F"/>
    <w:rsid w:val="00A40807"/>
    <w:rsid w:val="00A40CF4"/>
    <w:rsid w:val="00A41066"/>
    <w:rsid w:val="00A41095"/>
    <w:rsid w:val="00A4119A"/>
    <w:rsid w:val="00A41323"/>
    <w:rsid w:val="00A415F7"/>
    <w:rsid w:val="00A41607"/>
    <w:rsid w:val="00A416C8"/>
    <w:rsid w:val="00A416FE"/>
    <w:rsid w:val="00A41758"/>
    <w:rsid w:val="00A419FF"/>
    <w:rsid w:val="00A41B7E"/>
    <w:rsid w:val="00A41C61"/>
    <w:rsid w:val="00A41E2E"/>
    <w:rsid w:val="00A41EFB"/>
    <w:rsid w:val="00A4246F"/>
    <w:rsid w:val="00A42483"/>
    <w:rsid w:val="00A428CB"/>
    <w:rsid w:val="00A42E97"/>
    <w:rsid w:val="00A42F50"/>
    <w:rsid w:val="00A432B0"/>
    <w:rsid w:val="00A434F0"/>
    <w:rsid w:val="00A435C3"/>
    <w:rsid w:val="00A43863"/>
    <w:rsid w:val="00A43B18"/>
    <w:rsid w:val="00A43B83"/>
    <w:rsid w:val="00A43C6F"/>
    <w:rsid w:val="00A440F0"/>
    <w:rsid w:val="00A441B7"/>
    <w:rsid w:val="00A44290"/>
    <w:rsid w:val="00A442C1"/>
    <w:rsid w:val="00A44401"/>
    <w:rsid w:val="00A445D8"/>
    <w:rsid w:val="00A4466D"/>
    <w:rsid w:val="00A44981"/>
    <w:rsid w:val="00A44AC3"/>
    <w:rsid w:val="00A45065"/>
    <w:rsid w:val="00A45195"/>
    <w:rsid w:val="00A45444"/>
    <w:rsid w:val="00A454BB"/>
    <w:rsid w:val="00A45623"/>
    <w:rsid w:val="00A4574A"/>
    <w:rsid w:val="00A457CE"/>
    <w:rsid w:val="00A45938"/>
    <w:rsid w:val="00A4593B"/>
    <w:rsid w:val="00A45CBE"/>
    <w:rsid w:val="00A45DDD"/>
    <w:rsid w:val="00A45DFE"/>
    <w:rsid w:val="00A45E09"/>
    <w:rsid w:val="00A4625D"/>
    <w:rsid w:val="00A46400"/>
    <w:rsid w:val="00A464EB"/>
    <w:rsid w:val="00A466BF"/>
    <w:rsid w:val="00A466CB"/>
    <w:rsid w:val="00A46E19"/>
    <w:rsid w:val="00A46FAA"/>
    <w:rsid w:val="00A47038"/>
    <w:rsid w:val="00A47085"/>
    <w:rsid w:val="00A4708B"/>
    <w:rsid w:val="00A47090"/>
    <w:rsid w:val="00A4733D"/>
    <w:rsid w:val="00A47352"/>
    <w:rsid w:val="00A473CA"/>
    <w:rsid w:val="00A47529"/>
    <w:rsid w:val="00A475E2"/>
    <w:rsid w:val="00A4761F"/>
    <w:rsid w:val="00A47698"/>
    <w:rsid w:val="00A477D8"/>
    <w:rsid w:val="00A479E4"/>
    <w:rsid w:val="00A47C2D"/>
    <w:rsid w:val="00A47EC8"/>
    <w:rsid w:val="00A47F36"/>
    <w:rsid w:val="00A47F3C"/>
    <w:rsid w:val="00A47FE8"/>
    <w:rsid w:val="00A5042C"/>
    <w:rsid w:val="00A507C5"/>
    <w:rsid w:val="00A50994"/>
    <w:rsid w:val="00A509B1"/>
    <w:rsid w:val="00A50A17"/>
    <w:rsid w:val="00A50A5C"/>
    <w:rsid w:val="00A50B4E"/>
    <w:rsid w:val="00A510DF"/>
    <w:rsid w:val="00A51301"/>
    <w:rsid w:val="00A5134F"/>
    <w:rsid w:val="00A516CD"/>
    <w:rsid w:val="00A519D0"/>
    <w:rsid w:val="00A51BCC"/>
    <w:rsid w:val="00A51D43"/>
    <w:rsid w:val="00A51EA8"/>
    <w:rsid w:val="00A51FD2"/>
    <w:rsid w:val="00A52041"/>
    <w:rsid w:val="00A5205E"/>
    <w:rsid w:val="00A521F6"/>
    <w:rsid w:val="00A5225D"/>
    <w:rsid w:val="00A52353"/>
    <w:rsid w:val="00A5252C"/>
    <w:rsid w:val="00A52582"/>
    <w:rsid w:val="00A52643"/>
    <w:rsid w:val="00A527B1"/>
    <w:rsid w:val="00A52876"/>
    <w:rsid w:val="00A529F0"/>
    <w:rsid w:val="00A52A9F"/>
    <w:rsid w:val="00A52CD4"/>
    <w:rsid w:val="00A52FAF"/>
    <w:rsid w:val="00A530ED"/>
    <w:rsid w:val="00A5319C"/>
    <w:rsid w:val="00A531BC"/>
    <w:rsid w:val="00A5359B"/>
    <w:rsid w:val="00A5364F"/>
    <w:rsid w:val="00A539FA"/>
    <w:rsid w:val="00A53B4B"/>
    <w:rsid w:val="00A53C76"/>
    <w:rsid w:val="00A53DE7"/>
    <w:rsid w:val="00A53E1B"/>
    <w:rsid w:val="00A53E5E"/>
    <w:rsid w:val="00A5415D"/>
    <w:rsid w:val="00A54600"/>
    <w:rsid w:val="00A54609"/>
    <w:rsid w:val="00A547E9"/>
    <w:rsid w:val="00A547EC"/>
    <w:rsid w:val="00A54881"/>
    <w:rsid w:val="00A54990"/>
    <w:rsid w:val="00A54A61"/>
    <w:rsid w:val="00A54B7B"/>
    <w:rsid w:val="00A54C6C"/>
    <w:rsid w:val="00A54D7A"/>
    <w:rsid w:val="00A54E27"/>
    <w:rsid w:val="00A54F3D"/>
    <w:rsid w:val="00A54FD2"/>
    <w:rsid w:val="00A54FF9"/>
    <w:rsid w:val="00A5526F"/>
    <w:rsid w:val="00A5538E"/>
    <w:rsid w:val="00A554C2"/>
    <w:rsid w:val="00A554E1"/>
    <w:rsid w:val="00A5554F"/>
    <w:rsid w:val="00A5559B"/>
    <w:rsid w:val="00A555F3"/>
    <w:rsid w:val="00A555FA"/>
    <w:rsid w:val="00A55AD8"/>
    <w:rsid w:val="00A55D24"/>
    <w:rsid w:val="00A55DD0"/>
    <w:rsid w:val="00A562B2"/>
    <w:rsid w:val="00A56327"/>
    <w:rsid w:val="00A563C5"/>
    <w:rsid w:val="00A56937"/>
    <w:rsid w:val="00A56AC1"/>
    <w:rsid w:val="00A56B90"/>
    <w:rsid w:val="00A56CF1"/>
    <w:rsid w:val="00A56DF6"/>
    <w:rsid w:val="00A56E4C"/>
    <w:rsid w:val="00A5725C"/>
    <w:rsid w:val="00A57484"/>
    <w:rsid w:val="00A5775C"/>
    <w:rsid w:val="00A57E9B"/>
    <w:rsid w:val="00A57EBF"/>
    <w:rsid w:val="00A57EDB"/>
    <w:rsid w:val="00A600F0"/>
    <w:rsid w:val="00A60100"/>
    <w:rsid w:val="00A60237"/>
    <w:rsid w:val="00A60603"/>
    <w:rsid w:val="00A606B9"/>
    <w:rsid w:val="00A60875"/>
    <w:rsid w:val="00A60C41"/>
    <w:rsid w:val="00A60F38"/>
    <w:rsid w:val="00A610D3"/>
    <w:rsid w:val="00A61324"/>
    <w:rsid w:val="00A613C4"/>
    <w:rsid w:val="00A61691"/>
    <w:rsid w:val="00A616D6"/>
    <w:rsid w:val="00A618C4"/>
    <w:rsid w:val="00A61939"/>
    <w:rsid w:val="00A61CCB"/>
    <w:rsid w:val="00A61DED"/>
    <w:rsid w:val="00A621AB"/>
    <w:rsid w:val="00A62822"/>
    <w:rsid w:val="00A628F1"/>
    <w:rsid w:val="00A62986"/>
    <w:rsid w:val="00A62AC5"/>
    <w:rsid w:val="00A62C2C"/>
    <w:rsid w:val="00A62C40"/>
    <w:rsid w:val="00A62D36"/>
    <w:rsid w:val="00A62ED5"/>
    <w:rsid w:val="00A631BB"/>
    <w:rsid w:val="00A631C3"/>
    <w:rsid w:val="00A6320D"/>
    <w:rsid w:val="00A632F1"/>
    <w:rsid w:val="00A633E5"/>
    <w:rsid w:val="00A63462"/>
    <w:rsid w:val="00A63603"/>
    <w:rsid w:val="00A6374B"/>
    <w:rsid w:val="00A637EF"/>
    <w:rsid w:val="00A63817"/>
    <w:rsid w:val="00A63904"/>
    <w:rsid w:val="00A63939"/>
    <w:rsid w:val="00A6393F"/>
    <w:rsid w:val="00A63AFF"/>
    <w:rsid w:val="00A63B3E"/>
    <w:rsid w:val="00A63C5D"/>
    <w:rsid w:val="00A63E46"/>
    <w:rsid w:val="00A6470A"/>
    <w:rsid w:val="00A647CD"/>
    <w:rsid w:val="00A64C4C"/>
    <w:rsid w:val="00A64F2B"/>
    <w:rsid w:val="00A651A3"/>
    <w:rsid w:val="00A6558A"/>
    <w:rsid w:val="00A65641"/>
    <w:rsid w:val="00A657C8"/>
    <w:rsid w:val="00A659C0"/>
    <w:rsid w:val="00A65EF3"/>
    <w:rsid w:val="00A65F7B"/>
    <w:rsid w:val="00A65FC1"/>
    <w:rsid w:val="00A661E9"/>
    <w:rsid w:val="00A664A2"/>
    <w:rsid w:val="00A665EF"/>
    <w:rsid w:val="00A66662"/>
    <w:rsid w:val="00A6677A"/>
    <w:rsid w:val="00A66B75"/>
    <w:rsid w:val="00A66C91"/>
    <w:rsid w:val="00A66D69"/>
    <w:rsid w:val="00A66E7A"/>
    <w:rsid w:val="00A67031"/>
    <w:rsid w:val="00A67577"/>
    <w:rsid w:val="00A675DB"/>
    <w:rsid w:val="00A676F4"/>
    <w:rsid w:val="00A6770D"/>
    <w:rsid w:val="00A677DA"/>
    <w:rsid w:val="00A67895"/>
    <w:rsid w:val="00A67A2F"/>
    <w:rsid w:val="00A67ACD"/>
    <w:rsid w:val="00A67B1A"/>
    <w:rsid w:val="00A67D33"/>
    <w:rsid w:val="00A67F3F"/>
    <w:rsid w:val="00A701FE"/>
    <w:rsid w:val="00A7034D"/>
    <w:rsid w:val="00A70468"/>
    <w:rsid w:val="00A70495"/>
    <w:rsid w:val="00A707AD"/>
    <w:rsid w:val="00A707B7"/>
    <w:rsid w:val="00A708EA"/>
    <w:rsid w:val="00A70C3B"/>
    <w:rsid w:val="00A70C42"/>
    <w:rsid w:val="00A70DEF"/>
    <w:rsid w:val="00A70E4A"/>
    <w:rsid w:val="00A70E7F"/>
    <w:rsid w:val="00A71060"/>
    <w:rsid w:val="00A7109A"/>
    <w:rsid w:val="00A714C8"/>
    <w:rsid w:val="00A71583"/>
    <w:rsid w:val="00A71AC9"/>
    <w:rsid w:val="00A71BF0"/>
    <w:rsid w:val="00A71D0A"/>
    <w:rsid w:val="00A71EA5"/>
    <w:rsid w:val="00A71F96"/>
    <w:rsid w:val="00A71FA4"/>
    <w:rsid w:val="00A720BD"/>
    <w:rsid w:val="00A7210C"/>
    <w:rsid w:val="00A72172"/>
    <w:rsid w:val="00A721AF"/>
    <w:rsid w:val="00A7223D"/>
    <w:rsid w:val="00A722CC"/>
    <w:rsid w:val="00A722F6"/>
    <w:rsid w:val="00A72364"/>
    <w:rsid w:val="00A723A0"/>
    <w:rsid w:val="00A72666"/>
    <w:rsid w:val="00A72789"/>
    <w:rsid w:val="00A728CB"/>
    <w:rsid w:val="00A730DA"/>
    <w:rsid w:val="00A734AD"/>
    <w:rsid w:val="00A735C4"/>
    <w:rsid w:val="00A735F5"/>
    <w:rsid w:val="00A73737"/>
    <w:rsid w:val="00A73815"/>
    <w:rsid w:val="00A738A4"/>
    <w:rsid w:val="00A73942"/>
    <w:rsid w:val="00A73FC8"/>
    <w:rsid w:val="00A7402F"/>
    <w:rsid w:val="00A740A7"/>
    <w:rsid w:val="00A7437C"/>
    <w:rsid w:val="00A743DA"/>
    <w:rsid w:val="00A7451C"/>
    <w:rsid w:val="00A7459D"/>
    <w:rsid w:val="00A74AED"/>
    <w:rsid w:val="00A74AEE"/>
    <w:rsid w:val="00A74B13"/>
    <w:rsid w:val="00A74F18"/>
    <w:rsid w:val="00A74FF8"/>
    <w:rsid w:val="00A750B4"/>
    <w:rsid w:val="00A75145"/>
    <w:rsid w:val="00A75332"/>
    <w:rsid w:val="00A753DB"/>
    <w:rsid w:val="00A754B3"/>
    <w:rsid w:val="00A75766"/>
    <w:rsid w:val="00A758F5"/>
    <w:rsid w:val="00A75D46"/>
    <w:rsid w:val="00A75DD0"/>
    <w:rsid w:val="00A75F36"/>
    <w:rsid w:val="00A75FF5"/>
    <w:rsid w:val="00A763D0"/>
    <w:rsid w:val="00A7644A"/>
    <w:rsid w:val="00A76510"/>
    <w:rsid w:val="00A7666B"/>
    <w:rsid w:val="00A766B9"/>
    <w:rsid w:val="00A767E4"/>
    <w:rsid w:val="00A769CA"/>
    <w:rsid w:val="00A76AD8"/>
    <w:rsid w:val="00A76C8C"/>
    <w:rsid w:val="00A76DE0"/>
    <w:rsid w:val="00A76ED5"/>
    <w:rsid w:val="00A7708B"/>
    <w:rsid w:val="00A772E3"/>
    <w:rsid w:val="00A7757B"/>
    <w:rsid w:val="00A77725"/>
    <w:rsid w:val="00A779F2"/>
    <w:rsid w:val="00A77B97"/>
    <w:rsid w:val="00A77C1B"/>
    <w:rsid w:val="00A77D50"/>
    <w:rsid w:val="00A77E19"/>
    <w:rsid w:val="00A80110"/>
    <w:rsid w:val="00A80263"/>
    <w:rsid w:val="00A80434"/>
    <w:rsid w:val="00A8079A"/>
    <w:rsid w:val="00A8111A"/>
    <w:rsid w:val="00A81591"/>
    <w:rsid w:val="00A817A6"/>
    <w:rsid w:val="00A8181A"/>
    <w:rsid w:val="00A81B4E"/>
    <w:rsid w:val="00A81BFF"/>
    <w:rsid w:val="00A81ECF"/>
    <w:rsid w:val="00A820AE"/>
    <w:rsid w:val="00A8233F"/>
    <w:rsid w:val="00A82380"/>
    <w:rsid w:val="00A8246D"/>
    <w:rsid w:val="00A825DA"/>
    <w:rsid w:val="00A825EB"/>
    <w:rsid w:val="00A82722"/>
    <w:rsid w:val="00A82AD4"/>
    <w:rsid w:val="00A82BED"/>
    <w:rsid w:val="00A82C6D"/>
    <w:rsid w:val="00A82EDD"/>
    <w:rsid w:val="00A83140"/>
    <w:rsid w:val="00A8337A"/>
    <w:rsid w:val="00A83450"/>
    <w:rsid w:val="00A8348A"/>
    <w:rsid w:val="00A834C5"/>
    <w:rsid w:val="00A8369E"/>
    <w:rsid w:val="00A83717"/>
    <w:rsid w:val="00A8375B"/>
    <w:rsid w:val="00A83789"/>
    <w:rsid w:val="00A837EC"/>
    <w:rsid w:val="00A83C19"/>
    <w:rsid w:val="00A83CF8"/>
    <w:rsid w:val="00A83DC8"/>
    <w:rsid w:val="00A84353"/>
    <w:rsid w:val="00A84421"/>
    <w:rsid w:val="00A8473F"/>
    <w:rsid w:val="00A8474D"/>
    <w:rsid w:val="00A84969"/>
    <w:rsid w:val="00A84A9B"/>
    <w:rsid w:val="00A84B74"/>
    <w:rsid w:val="00A84C78"/>
    <w:rsid w:val="00A84D9B"/>
    <w:rsid w:val="00A84FB5"/>
    <w:rsid w:val="00A84FC3"/>
    <w:rsid w:val="00A85010"/>
    <w:rsid w:val="00A85070"/>
    <w:rsid w:val="00A851FE"/>
    <w:rsid w:val="00A85558"/>
    <w:rsid w:val="00A8561E"/>
    <w:rsid w:val="00A85647"/>
    <w:rsid w:val="00A8564A"/>
    <w:rsid w:val="00A85708"/>
    <w:rsid w:val="00A85AF5"/>
    <w:rsid w:val="00A85B09"/>
    <w:rsid w:val="00A85B0F"/>
    <w:rsid w:val="00A85D67"/>
    <w:rsid w:val="00A85DC8"/>
    <w:rsid w:val="00A85DEB"/>
    <w:rsid w:val="00A863EC"/>
    <w:rsid w:val="00A86A2A"/>
    <w:rsid w:val="00A86B48"/>
    <w:rsid w:val="00A86DF7"/>
    <w:rsid w:val="00A8700B"/>
    <w:rsid w:val="00A870EC"/>
    <w:rsid w:val="00A8710A"/>
    <w:rsid w:val="00A8725F"/>
    <w:rsid w:val="00A872ED"/>
    <w:rsid w:val="00A87358"/>
    <w:rsid w:val="00A8735D"/>
    <w:rsid w:val="00A87360"/>
    <w:rsid w:val="00A875EA"/>
    <w:rsid w:val="00A8766A"/>
    <w:rsid w:val="00A8797E"/>
    <w:rsid w:val="00A879CD"/>
    <w:rsid w:val="00A87BD5"/>
    <w:rsid w:val="00A90135"/>
    <w:rsid w:val="00A901A6"/>
    <w:rsid w:val="00A901F5"/>
    <w:rsid w:val="00A9037A"/>
    <w:rsid w:val="00A906A4"/>
    <w:rsid w:val="00A90792"/>
    <w:rsid w:val="00A9091A"/>
    <w:rsid w:val="00A9096D"/>
    <w:rsid w:val="00A90998"/>
    <w:rsid w:val="00A90A45"/>
    <w:rsid w:val="00A90BEC"/>
    <w:rsid w:val="00A90E53"/>
    <w:rsid w:val="00A90EB4"/>
    <w:rsid w:val="00A91111"/>
    <w:rsid w:val="00A911ED"/>
    <w:rsid w:val="00A9124F"/>
    <w:rsid w:val="00A912EA"/>
    <w:rsid w:val="00A91457"/>
    <w:rsid w:val="00A914B7"/>
    <w:rsid w:val="00A9155F"/>
    <w:rsid w:val="00A918B6"/>
    <w:rsid w:val="00A91A4F"/>
    <w:rsid w:val="00A91B8E"/>
    <w:rsid w:val="00A91EBC"/>
    <w:rsid w:val="00A92141"/>
    <w:rsid w:val="00A922B7"/>
    <w:rsid w:val="00A92A0B"/>
    <w:rsid w:val="00A92B3E"/>
    <w:rsid w:val="00A92CCF"/>
    <w:rsid w:val="00A92E0D"/>
    <w:rsid w:val="00A92E10"/>
    <w:rsid w:val="00A92E43"/>
    <w:rsid w:val="00A92F65"/>
    <w:rsid w:val="00A92F96"/>
    <w:rsid w:val="00A93416"/>
    <w:rsid w:val="00A9350B"/>
    <w:rsid w:val="00A93592"/>
    <w:rsid w:val="00A939BB"/>
    <w:rsid w:val="00A93A2E"/>
    <w:rsid w:val="00A93AF1"/>
    <w:rsid w:val="00A93B22"/>
    <w:rsid w:val="00A93B28"/>
    <w:rsid w:val="00A93B4E"/>
    <w:rsid w:val="00A94035"/>
    <w:rsid w:val="00A94264"/>
    <w:rsid w:val="00A94464"/>
    <w:rsid w:val="00A94D76"/>
    <w:rsid w:val="00A950C1"/>
    <w:rsid w:val="00A954AF"/>
    <w:rsid w:val="00A954B2"/>
    <w:rsid w:val="00A9564D"/>
    <w:rsid w:val="00A95716"/>
    <w:rsid w:val="00A958BE"/>
    <w:rsid w:val="00A95984"/>
    <w:rsid w:val="00A95AEF"/>
    <w:rsid w:val="00A95D73"/>
    <w:rsid w:val="00A961E1"/>
    <w:rsid w:val="00A967A4"/>
    <w:rsid w:val="00A9686C"/>
    <w:rsid w:val="00A969BB"/>
    <w:rsid w:val="00A96B30"/>
    <w:rsid w:val="00A97063"/>
    <w:rsid w:val="00A970FC"/>
    <w:rsid w:val="00A97408"/>
    <w:rsid w:val="00A97800"/>
    <w:rsid w:val="00A9789C"/>
    <w:rsid w:val="00A979CB"/>
    <w:rsid w:val="00A97A74"/>
    <w:rsid w:val="00A97A78"/>
    <w:rsid w:val="00A97F81"/>
    <w:rsid w:val="00AA0088"/>
    <w:rsid w:val="00AA034B"/>
    <w:rsid w:val="00AA08AE"/>
    <w:rsid w:val="00AA0A5B"/>
    <w:rsid w:val="00AA0B0E"/>
    <w:rsid w:val="00AA0BA0"/>
    <w:rsid w:val="00AA0D1F"/>
    <w:rsid w:val="00AA0F19"/>
    <w:rsid w:val="00AA0FAD"/>
    <w:rsid w:val="00AA1156"/>
    <w:rsid w:val="00AA11CF"/>
    <w:rsid w:val="00AA12C4"/>
    <w:rsid w:val="00AA1409"/>
    <w:rsid w:val="00AA1569"/>
    <w:rsid w:val="00AA16F9"/>
    <w:rsid w:val="00AA17A7"/>
    <w:rsid w:val="00AA18BB"/>
    <w:rsid w:val="00AA1928"/>
    <w:rsid w:val="00AA1B90"/>
    <w:rsid w:val="00AA1CED"/>
    <w:rsid w:val="00AA1EF6"/>
    <w:rsid w:val="00AA1F28"/>
    <w:rsid w:val="00AA2195"/>
    <w:rsid w:val="00AA22B7"/>
    <w:rsid w:val="00AA2802"/>
    <w:rsid w:val="00AA283D"/>
    <w:rsid w:val="00AA2A40"/>
    <w:rsid w:val="00AA2B19"/>
    <w:rsid w:val="00AA2BE8"/>
    <w:rsid w:val="00AA2F50"/>
    <w:rsid w:val="00AA2FA3"/>
    <w:rsid w:val="00AA30FF"/>
    <w:rsid w:val="00AA320E"/>
    <w:rsid w:val="00AA3359"/>
    <w:rsid w:val="00AA3522"/>
    <w:rsid w:val="00AA35C9"/>
    <w:rsid w:val="00AA35E8"/>
    <w:rsid w:val="00AA3666"/>
    <w:rsid w:val="00AA37AC"/>
    <w:rsid w:val="00AA3887"/>
    <w:rsid w:val="00AA3B42"/>
    <w:rsid w:val="00AA3C4D"/>
    <w:rsid w:val="00AA3D11"/>
    <w:rsid w:val="00AA40BF"/>
    <w:rsid w:val="00AA41D1"/>
    <w:rsid w:val="00AA4205"/>
    <w:rsid w:val="00AA43E3"/>
    <w:rsid w:val="00AA44AC"/>
    <w:rsid w:val="00AA44F3"/>
    <w:rsid w:val="00AA4666"/>
    <w:rsid w:val="00AA46C2"/>
    <w:rsid w:val="00AA46CF"/>
    <w:rsid w:val="00AA46DD"/>
    <w:rsid w:val="00AA473E"/>
    <w:rsid w:val="00AA477F"/>
    <w:rsid w:val="00AA48B8"/>
    <w:rsid w:val="00AA4B2C"/>
    <w:rsid w:val="00AA5279"/>
    <w:rsid w:val="00AA52C0"/>
    <w:rsid w:val="00AA5715"/>
    <w:rsid w:val="00AA57B4"/>
    <w:rsid w:val="00AA58DF"/>
    <w:rsid w:val="00AA59D4"/>
    <w:rsid w:val="00AA5C22"/>
    <w:rsid w:val="00AA60B2"/>
    <w:rsid w:val="00AA610C"/>
    <w:rsid w:val="00AA65E5"/>
    <w:rsid w:val="00AA65E6"/>
    <w:rsid w:val="00AA66DA"/>
    <w:rsid w:val="00AA6E96"/>
    <w:rsid w:val="00AA6FB1"/>
    <w:rsid w:val="00AA731C"/>
    <w:rsid w:val="00AA73F5"/>
    <w:rsid w:val="00AA7574"/>
    <w:rsid w:val="00AA75E1"/>
    <w:rsid w:val="00AA765F"/>
    <w:rsid w:val="00AA76E0"/>
    <w:rsid w:val="00AA7729"/>
    <w:rsid w:val="00AA7A42"/>
    <w:rsid w:val="00AA7BCB"/>
    <w:rsid w:val="00AA7D24"/>
    <w:rsid w:val="00AA7DC6"/>
    <w:rsid w:val="00AA7DEE"/>
    <w:rsid w:val="00AA7FBA"/>
    <w:rsid w:val="00AB02C5"/>
    <w:rsid w:val="00AB038F"/>
    <w:rsid w:val="00AB03C4"/>
    <w:rsid w:val="00AB046C"/>
    <w:rsid w:val="00AB04CC"/>
    <w:rsid w:val="00AB0534"/>
    <w:rsid w:val="00AB086D"/>
    <w:rsid w:val="00AB0CE3"/>
    <w:rsid w:val="00AB0D34"/>
    <w:rsid w:val="00AB0DC5"/>
    <w:rsid w:val="00AB16FE"/>
    <w:rsid w:val="00AB1FF4"/>
    <w:rsid w:val="00AB20B9"/>
    <w:rsid w:val="00AB21ED"/>
    <w:rsid w:val="00AB225C"/>
    <w:rsid w:val="00AB22D8"/>
    <w:rsid w:val="00AB2488"/>
    <w:rsid w:val="00AB2506"/>
    <w:rsid w:val="00AB25D4"/>
    <w:rsid w:val="00AB2708"/>
    <w:rsid w:val="00AB2776"/>
    <w:rsid w:val="00AB27AB"/>
    <w:rsid w:val="00AB2A57"/>
    <w:rsid w:val="00AB2CD7"/>
    <w:rsid w:val="00AB2DB7"/>
    <w:rsid w:val="00AB2E1E"/>
    <w:rsid w:val="00AB2F7C"/>
    <w:rsid w:val="00AB3040"/>
    <w:rsid w:val="00AB339C"/>
    <w:rsid w:val="00AB35E2"/>
    <w:rsid w:val="00AB393F"/>
    <w:rsid w:val="00AB396C"/>
    <w:rsid w:val="00AB3B6E"/>
    <w:rsid w:val="00AB3B94"/>
    <w:rsid w:val="00AB3EC2"/>
    <w:rsid w:val="00AB402C"/>
    <w:rsid w:val="00AB4059"/>
    <w:rsid w:val="00AB40D2"/>
    <w:rsid w:val="00AB4112"/>
    <w:rsid w:val="00AB416F"/>
    <w:rsid w:val="00AB41A7"/>
    <w:rsid w:val="00AB43B7"/>
    <w:rsid w:val="00AB4696"/>
    <w:rsid w:val="00AB4AB3"/>
    <w:rsid w:val="00AB4D3F"/>
    <w:rsid w:val="00AB4DEF"/>
    <w:rsid w:val="00AB5148"/>
    <w:rsid w:val="00AB5200"/>
    <w:rsid w:val="00AB52A7"/>
    <w:rsid w:val="00AB536A"/>
    <w:rsid w:val="00AB55D0"/>
    <w:rsid w:val="00AB580F"/>
    <w:rsid w:val="00AB5C53"/>
    <w:rsid w:val="00AB5E6E"/>
    <w:rsid w:val="00AB5EAF"/>
    <w:rsid w:val="00AB5F3B"/>
    <w:rsid w:val="00AB600B"/>
    <w:rsid w:val="00AB6465"/>
    <w:rsid w:val="00AB6603"/>
    <w:rsid w:val="00AB6693"/>
    <w:rsid w:val="00AB66D9"/>
    <w:rsid w:val="00AB693C"/>
    <w:rsid w:val="00AB6AE2"/>
    <w:rsid w:val="00AB6DF6"/>
    <w:rsid w:val="00AB6F77"/>
    <w:rsid w:val="00AB705C"/>
    <w:rsid w:val="00AB713B"/>
    <w:rsid w:val="00AB7184"/>
    <w:rsid w:val="00AB72C8"/>
    <w:rsid w:val="00AB76B8"/>
    <w:rsid w:val="00AB7962"/>
    <w:rsid w:val="00AB796A"/>
    <w:rsid w:val="00AB7A0F"/>
    <w:rsid w:val="00AB7B63"/>
    <w:rsid w:val="00AB7D32"/>
    <w:rsid w:val="00AB7D76"/>
    <w:rsid w:val="00AB7F21"/>
    <w:rsid w:val="00AC0000"/>
    <w:rsid w:val="00AC0044"/>
    <w:rsid w:val="00AC0303"/>
    <w:rsid w:val="00AC0632"/>
    <w:rsid w:val="00AC0750"/>
    <w:rsid w:val="00AC075B"/>
    <w:rsid w:val="00AC082A"/>
    <w:rsid w:val="00AC095B"/>
    <w:rsid w:val="00AC0C03"/>
    <w:rsid w:val="00AC0CA7"/>
    <w:rsid w:val="00AC1008"/>
    <w:rsid w:val="00AC1202"/>
    <w:rsid w:val="00AC157A"/>
    <w:rsid w:val="00AC1629"/>
    <w:rsid w:val="00AC1799"/>
    <w:rsid w:val="00AC17F6"/>
    <w:rsid w:val="00AC1832"/>
    <w:rsid w:val="00AC1984"/>
    <w:rsid w:val="00AC19BD"/>
    <w:rsid w:val="00AC1BC8"/>
    <w:rsid w:val="00AC1BF1"/>
    <w:rsid w:val="00AC1CEA"/>
    <w:rsid w:val="00AC1E33"/>
    <w:rsid w:val="00AC20FF"/>
    <w:rsid w:val="00AC2142"/>
    <w:rsid w:val="00AC21B7"/>
    <w:rsid w:val="00AC229F"/>
    <w:rsid w:val="00AC24FF"/>
    <w:rsid w:val="00AC2909"/>
    <w:rsid w:val="00AC2A45"/>
    <w:rsid w:val="00AC2AEA"/>
    <w:rsid w:val="00AC2DA9"/>
    <w:rsid w:val="00AC2DB7"/>
    <w:rsid w:val="00AC2FAD"/>
    <w:rsid w:val="00AC322A"/>
    <w:rsid w:val="00AC34CC"/>
    <w:rsid w:val="00AC3A59"/>
    <w:rsid w:val="00AC3B3D"/>
    <w:rsid w:val="00AC3B5E"/>
    <w:rsid w:val="00AC3B6B"/>
    <w:rsid w:val="00AC3BE6"/>
    <w:rsid w:val="00AC3DD7"/>
    <w:rsid w:val="00AC3EBA"/>
    <w:rsid w:val="00AC4175"/>
    <w:rsid w:val="00AC41F4"/>
    <w:rsid w:val="00AC43FF"/>
    <w:rsid w:val="00AC4472"/>
    <w:rsid w:val="00AC44BB"/>
    <w:rsid w:val="00AC45B9"/>
    <w:rsid w:val="00AC4845"/>
    <w:rsid w:val="00AC4982"/>
    <w:rsid w:val="00AC4A9F"/>
    <w:rsid w:val="00AC4C20"/>
    <w:rsid w:val="00AC4C4A"/>
    <w:rsid w:val="00AC4E28"/>
    <w:rsid w:val="00AC4E93"/>
    <w:rsid w:val="00AC517D"/>
    <w:rsid w:val="00AC5276"/>
    <w:rsid w:val="00AC52DC"/>
    <w:rsid w:val="00AC5401"/>
    <w:rsid w:val="00AC543A"/>
    <w:rsid w:val="00AC56AC"/>
    <w:rsid w:val="00AC56AD"/>
    <w:rsid w:val="00AC5AED"/>
    <w:rsid w:val="00AC5D12"/>
    <w:rsid w:val="00AC6084"/>
    <w:rsid w:val="00AC61B0"/>
    <w:rsid w:val="00AC63FA"/>
    <w:rsid w:val="00AC66F5"/>
    <w:rsid w:val="00AC6792"/>
    <w:rsid w:val="00AC6833"/>
    <w:rsid w:val="00AC6AA1"/>
    <w:rsid w:val="00AC6BC0"/>
    <w:rsid w:val="00AC6C50"/>
    <w:rsid w:val="00AC6CAA"/>
    <w:rsid w:val="00AC6D2A"/>
    <w:rsid w:val="00AC6DFE"/>
    <w:rsid w:val="00AC6E12"/>
    <w:rsid w:val="00AC72C5"/>
    <w:rsid w:val="00AC745C"/>
    <w:rsid w:val="00AC77A1"/>
    <w:rsid w:val="00AC7B2E"/>
    <w:rsid w:val="00AC7D68"/>
    <w:rsid w:val="00AD02A8"/>
    <w:rsid w:val="00AD0419"/>
    <w:rsid w:val="00AD04DA"/>
    <w:rsid w:val="00AD0615"/>
    <w:rsid w:val="00AD076A"/>
    <w:rsid w:val="00AD07F1"/>
    <w:rsid w:val="00AD0944"/>
    <w:rsid w:val="00AD0E5B"/>
    <w:rsid w:val="00AD110A"/>
    <w:rsid w:val="00AD1355"/>
    <w:rsid w:val="00AD1543"/>
    <w:rsid w:val="00AD1781"/>
    <w:rsid w:val="00AD1860"/>
    <w:rsid w:val="00AD1898"/>
    <w:rsid w:val="00AD193A"/>
    <w:rsid w:val="00AD1A23"/>
    <w:rsid w:val="00AD1AED"/>
    <w:rsid w:val="00AD1DA1"/>
    <w:rsid w:val="00AD1EF9"/>
    <w:rsid w:val="00AD21A0"/>
    <w:rsid w:val="00AD2249"/>
    <w:rsid w:val="00AD234E"/>
    <w:rsid w:val="00AD24D0"/>
    <w:rsid w:val="00AD250D"/>
    <w:rsid w:val="00AD268D"/>
    <w:rsid w:val="00AD27A8"/>
    <w:rsid w:val="00AD2851"/>
    <w:rsid w:val="00AD28BD"/>
    <w:rsid w:val="00AD292F"/>
    <w:rsid w:val="00AD2B40"/>
    <w:rsid w:val="00AD2C31"/>
    <w:rsid w:val="00AD2D8C"/>
    <w:rsid w:val="00AD3041"/>
    <w:rsid w:val="00AD307D"/>
    <w:rsid w:val="00AD31F1"/>
    <w:rsid w:val="00AD323D"/>
    <w:rsid w:val="00AD330F"/>
    <w:rsid w:val="00AD35C1"/>
    <w:rsid w:val="00AD377B"/>
    <w:rsid w:val="00AD3836"/>
    <w:rsid w:val="00AD3E17"/>
    <w:rsid w:val="00AD3F29"/>
    <w:rsid w:val="00AD419C"/>
    <w:rsid w:val="00AD43E2"/>
    <w:rsid w:val="00AD485A"/>
    <w:rsid w:val="00AD4A41"/>
    <w:rsid w:val="00AD4BF4"/>
    <w:rsid w:val="00AD4C68"/>
    <w:rsid w:val="00AD4C7F"/>
    <w:rsid w:val="00AD4C8D"/>
    <w:rsid w:val="00AD5031"/>
    <w:rsid w:val="00AD51F9"/>
    <w:rsid w:val="00AD56E7"/>
    <w:rsid w:val="00AD5852"/>
    <w:rsid w:val="00AD5976"/>
    <w:rsid w:val="00AD5A1F"/>
    <w:rsid w:val="00AD5B17"/>
    <w:rsid w:val="00AD5DB5"/>
    <w:rsid w:val="00AD5DDF"/>
    <w:rsid w:val="00AD5E6A"/>
    <w:rsid w:val="00AD5EAA"/>
    <w:rsid w:val="00AD5F9A"/>
    <w:rsid w:val="00AD61BE"/>
    <w:rsid w:val="00AD629A"/>
    <w:rsid w:val="00AD63FC"/>
    <w:rsid w:val="00AD6580"/>
    <w:rsid w:val="00AD659E"/>
    <w:rsid w:val="00AD69A4"/>
    <w:rsid w:val="00AD6A50"/>
    <w:rsid w:val="00AD6AA3"/>
    <w:rsid w:val="00AD6B90"/>
    <w:rsid w:val="00AD6DAD"/>
    <w:rsid w:val="00AD6DB1"/>
    <w:rsid w:val="00AD717E"/>
    <w:rsid w:val="00AD7423"/>
    <w:rsid w:val="00AD7451"/>
    <w:rsid w:val="00AD76F4"/>
    <w:rsid w:val="00AD785F"/>
    <w:rsid w:val="00AD7D40"/>
    <w:rsid w:val="00AD7DCC"/>
    <w:rsid w:val="00AE0196"/>
    <w:rsid w:val="00AE0215"/>
    <w:rsid w:val="00AE041A"/>
    <w:rsid w:val="00AE0424"/>
    <w:rsid w:val="00AE068E"/>
    <w:rsid w:val="00AE0819"/>
    <w:rsid w:val="00AE0953"/>
    <w:rsid w:val="00AE0B6D"/>
    <w:rsid w:val="00AE0D06"/>
    <w:rsid w:val="00AE0D88"/>
    <w:rsid w:val="00AE0DD6"/>
    <w:rsid w:val="00AE1132"/>
    <w:rsid w:val="00AE1249"/>
    <w:rsid w:val="00AE14D4"/>
    <w:rsid w:val="00AE17AE"/>
    <w:rsid w:val="00AE18AE"/>
    <w:rsid w:val="00AE18D6"/>
    <w:rsid w:val="00AE1CBE"/>
    <w:rsid w:val="00AE1D88"/>
    <w:rsid w:val="00AE1E11"/>
    <w:rsid w:val="00AE1F74"/>
    <w:rsid w:val="00AE2153"/>
    <w:rsid w:val="00AE22E9"/>
    <w:rsid w:val="00AE2369"/>
    <w:rsid w:val="00AE28BC"/>
    <w:rsid w:val="00AE2AAA"/>
    <w:rsid w:val="00AE2DE2"/>
    <w:rsid w:val="00AE2DF0"/>
    <w:rsid w:val="00AE2E2A"/>
    <w:rsid w:val="00AE2F2C"/>
    <w:rsid w:val="00AE2F61"/>
    <w:rsid w:val="00AE309F"/>
    <w:rsid w:val="00AE318C"/>
    <w:rsid w:val="00AE3328"/>
    <w:rsid w:val="00AE35C9"/>
    <w:rsid w:val="00AE3917"/>
    <w:rsid w:val="00AE3C80"/>
    <w:rsid w:val="00AE3F28"/>
    <w:rsid w:val="00AE40F1"/>
    <w:rsid w:val="00AE4109"/>
    <w:rsid w:val="00AE410D"/>
    <w:rsid w:val="00AE430A"/>
    <w:rsid w:val="00AE43EE"/>
    <w:rsid w:val="00AE468C"/>
    <w:rsid w:val="00AE4767"/>
    <w:rsid w:val="00AE498B"/>
    <w:rsid w:val="00AE4ADF"/>
    <w:rsid w:val="00AE4B74"/>
    <w:rsid w:val="00AE4C26"/>
    <w:rsid w:val="00AE4CBE"/>
    <w:rsid w:val="00AE4F11"/>
    <w:rsid w:val="00AE4F42"/>
    <w:rsid w:val="00AE5261"/>
    <w:rsid w:val="00AE53FB"/>
    <w:rsid w:val="00AE5486"/>
    <w:rsid w:val="00AE5601"/>
    <w:rsid w:val="00AE562F"/>
    <w:rsid w:val="00AE5975"/>
    <w:rsid w:val="00AE6095"/>
    <w:rsid w:val="00AE643D"/>
    <w:rsid w:val="00AE64FB"/>
    <w:rsid w:val="00AE65B2"/>
    <w:rsid w:val="00AE65F5"/>
    <w:rsid w:val="00AE661E"/>
    <w:rsid w:val="00AE66E7"/>
    <w:rsid w:val="00AE683F"/>
    <w:rsid w:val="00AE6961"/>
    <w:rsid w:val="00AE69A4"/>
    <w:rsid w:val="00AE6AC6"/>
    <w:rsid w:val="00AE6B5B"/>
    <w:rsid w:val="00AE6F7C"/>
    <w:rsid w:val="00AE7014"/>
    <w:rsid w:val="00AE7089"/>
    <w:rsid w:val="00AE71D2"/>
    <w:rsid w:val="00AE7388"/>
    <w:rsid w:val="00AE7741"/>
    <w:rsid w:val="00AE776B"/>
    <w:rsid w:val="00AE78F6"/>
    <w:rsid w:val="00AE7904"/>
    <w:rsid w:val="00AE799A"/>
    <w:rsid w:val="00AE79FC"/>
    <w:rsid w:val="00AE7AB8"/>
    <w:rsid w:val="00AE7C54"/>
    <w:rsid w:val="00AE7C66"/>
    <w:rsid w:val="00AE7CD0"/>
    <w:rsid w:val="00AE7DF5"/>
    <w:rsid w:val="00AE7E9B"/>
    <w:rsid w:val="00AE7FA5"/>
    <w:rsid w:val="00AE7FBD"/>
    <w:rsid w:val="00AE7FC6"/>
    <w:rsid w:val="00AF035E"/>
    <w:rsid w:val="00AF069B"/>
    <w:rsid w:val="00AF06FC"/>
    <w:rsid w:val="00AF0817"/>
    <w:rsid w:val="00AF0A1F"/>
    <w:rsid w:val="00AF0A34"/>
    <w:rsid w:val="00AF0A97"/>
    <w:rsid w:val="00AF0CD4"/>
    <w:rsid w:val="00AF0EEA"/>
    <w:rsid w:val="00AF1027"/>
    <w:rsid w:val="00AF1109"/>
    <w:rsid w:val="00AF16A3"/>
    <w:rsid w:val="00AF175D"/>
    <w:rsid w:val="00AF17B3"/>
    <w:rsid w:val="00AF1C3E"/>
    <w:rsid w:val="00AF1D98"/>
    <w:rsid w:val="00AF1E84"/>
    <w:rsid w:val="00AF1F26"/>
    <w:rsid w:val="00AF23C3"/>
    <w:rsid w:val="00AF23DC"/>
    <w:rsid w:val="00AF2655"/>
    <w:rsid w:val="00AF29A0"/>
    <w:rsid w:val="00AF2AB7"/>
    <w:rsid w:val="00AF2C5E"/>
    <w:rsid w:val="00AF2C8E"/>
    <w:rsid w:val="00AF2CE1"/>
    <w:rsid w:val="00AF2CF9"/>
    <w:rsid w:val="00AF30BB"/>
    <w:rsid w:val="00AF30E2"/>
    <w:rsid w:val="00AF33B3"/>
    <w:rsid w:val="00AF353C"/>
    <w:rsid w:val="00AF38DA"/>
    <w:rsid w:val="00AF38DE"/>
    <w:rsid w:val="00AF3918"/>
    <w:rsid w:val="00AF3E62"/>
    <w:rsid w:val="00AF3E76"/>
    <w:rsid w:val="00AF3F07"/>
    <w:rsid w:val="00AF40C8"/>
    <w:rsid w:val="00AF4122"/>
    <w:rsid w:val="00AF43E2"/>
    <w:rsid w:val="00AF440B"/>
    <w:rsid w:val="00AF452C"/>
    <w:rsid w:val="00AF46C7"/>
    <w:rsid w:val="00AF4754"/>
    <w:rsid w:val="00AF4873"/>
    <w:rsid w:val="00AF4E60"/>
    <w:rsid w:val="00AF5090"/>
    <w:rsid w:val="00AF51EF"/>
    <w:rsid w:val="00AF54D6"/>
    <w:rsid w:val="00AF556C"/>
    <w:rsid w:val="00AF57FF"/>
    <w:rsid w:val="00AF58DA"/>
    <w:rsid w:val="00AF59ED"/>
    <w:rsid w:val="00AF5A45"/>
    <w:rsid w:val="00AF5A6F"/>
    <w:rsid w:val="00AF5B96"/>
    <w:rsid w:val="00AF5BA6"/>
    <w:rsid w:val="00AF5CD7"/>
    <w:rsid w:val="00AF5D3F"/>
    <w:rsid w:val="00AF5E97"/>
    <w:rsid w:val="00AF639A"/>
    <w:rsid w:val="00AF6459"/>
    <w:rsid w:val="00AF6486"/>
    <w:rsid w:val="00AF6625"/>
    <w:rsid w:val="00AF68C1"/>
    <w:rsid w:val="00AF68CB"/>
    <w:rsid w:val="00AF6A40"/>
    <w:rsid w:val="00AF6A47"/>
    <w:rsid w:val="00AF6CC0"/>
    <w:rsid w:val="00AF6DCC"/>
    <w:rsid w:val="00AF6E67"/>
    <w:rsid w:val="00AF706B"/>
    <w:rsid w:val="00AF72D6"/>
    <w:rsid w:val="00AF73E7"/>
    <w:rsid w:val="00AF751C"/>
    <w:rsid w:val="00AF7823"/>
    <w:rsid w:val="00AF7A04"/>
    <w:rsid w:val="00AF7A74"/>
    <w:rsid w:val="00AF7A8C"/>
    <w:rsid w:val="00AF7AB6"/>
    <w:rsid w:val="00AF7CB1"/>
    <w:rsid w:val="00AF7CCA"/>
    <w:rsid w:val="00B0002B"/>
    <w:rsid w:val="00B000E8"/>
    <w:rsid w:val="00B003A2"/>
    <w:rsid w:val="00B0047A"/>
    <w:rsid w:val="00B006E0"/>
    <w:rsid w:val="00B00797"/>
    <w:rsid w:val="00B007B4"/>
    <w:rsid w:val="00B007B5"/>
    <w:rsid w:val="00B00862"/>
    <w:rsid w:val="00B009A0"/>
    <w:rsid w:val="00B009C0"/>
    <w:rsid w:val="00B009EE"/>
    <w:rsid w:val="00B00A16"/>
    <w:rsid w:val="00B00DD2"/>
    <w:rsid w:val="00B00E60"/>
    <w:rsid w:val="00B01204"/>
    <w:rsid w:val="00B0145D"/>
    <w:rsid w:val="00B01573"/>
    <w:rsid w:val="00B0190B"/>
    <w:rsid w:val="00B01A6D"/>
    <w:rsid w:val="00B01B0A"/>
    <w:rsid w:val="00B01DD0"/>
    <w:rsid w:val="00B01E0D"/>
    <w:rsid w:val="00B02022"/>
    <w:rsid w:val="00B0223A"/>
    <w:rsid w:val="00B02457"/>
    <w:rsid w:val="00B029B8"/>
    <w:rsid w:val="00B02B13"/>
    <w:rsid w:val="00B02B68"/>
    <w:rsid w:val="00B02DBC"/>
    <w:rsid w:val="00B02E1F"/>
    <w:rsid w:val="00B02FC0"/>
    <w:rsid w:val="00B030E3"/>
    <w:rsid w:val="00B03264"/>
    <w:rsid w:val="00B032F0"/>
    <w:rsid w:val="00B035AE"/>
    <w:rsid w:val="00B0387A"/>
    <w:rsid w:val="00B039FB"/>
    <w:rsid w:val="00B03E3D"/>
    <w:rsid w:val="00B03F77"/>
    <w:rsid w:val="00B04527"/>
    <w:rsid w:val="00B0493D"/>
    <w:rsid w:val="00B04BC2"/>
    <w:rsid w:val="00B04CA3"/>
    <w:rsid w:val="00B04D3E"/>
    <w:rsid w:val="00B04EEE"/>
    <w:rsid w:val="00B0589E"/>
    <w:rsid w:val="00B05A68"/>
    <w:rsid w:val="00B05AAA"/>
    <w:rsid w:val="00B05AB0"/>
    <w:rsid w:val="00B05E0F"/>
    <w:rsid w:val="00B05E95"/>
    <w:rsid w:val="00B05F05"/>
    <w:rsid w:val="00B05F1E"/>
    <w:rsid w:val="00B05F40"/>
    <w:rsid w:val="00B06098"/>
    <w:rsid w:val="00B0614D"/>
    <w:rsid w:val="00B06637"/>
    <w:rsid w:val="00B06851"/>
    <w:rsid w:val="00B069E8"/>
    <w:rsid w:val="00B06D8C"/>
    <w:rsid w:val="00B06DB2"/>
    <w:rsid w:val="00B07015"/>
    <w:rsid w:val="00B07241"/>
    <w:rsid w:val="00B072FF"/>
    <w:rsid w:val="00B0738F"/>
    <w:rsid w:val="00B07494"/>
    <w:rsid w:val="00B0764E"/>
    <w:rsid w:val="00B07699"/>
    <w:rsid w:val="00B07760"/>
    <w:rsid w:val="00B07C41"/>
    <w:rsid w:val="00B07D23"/>
    <w:rsid w:val="00B07D48"/>
    <w:rsid w:val="00B07EF6"/>
    <w:rsid w:val="00B1012E"/>
    <w:rsid w:val="00B10424"/>
    <w:rsid w:val="00B1043D"/>
    <w:rsid w:val="00B10487"/>
    <w:rsid w:val="00B104D1"/>
    <w:rsid w:val="00B1056F"/>
    <w:rsid w:val="00B10582"/>
    <w:rsid w:val="00B105AB"/>
    <w:rsid w:val="00B1069C"/>
    <w:rsid w:val="00B10862"/>
    <w:rsid w:val="00B109E8"/>
    <w:rsid w:val="00B10A6E"/>
    <w:rsid w:val="00B10C6B"/>
    <w:rsid w:val="00B10C9C"/>
    <w:rsid w:val="00B10D4E"/>
    <w:rsid w:val="00B10DA6"/>
    <w:rsid w:val="00B10EA8"/>
    <w:rsid w:val="00B10F6F"/>
    <w:rsid w:val="00B10F95"/>
    <w:rsid w:val="00B11011"/>
    <w:rsid w:val="00B11132"/>
    <w:rsid w:val="00B1129B"/>
    <w:rsid w:val="00B113B2"/>
    <w:rsid w:val="00B115AF"/>
    <w:rsid w:val="00B115D0"/>
    <w:rsid w:val="00B116A6"/>
    <w:rsid w:val="00B1178C"/>
    <w:rsid w:val="00B11858"/>
    <w:rsid w:val="00B1197B"/>
    <w:rsid w:val="00B119F2"/>
    <w:rsid w:val="00B11ACD"/>
    <w:rsid w:val="00B11AF1"/>
    <w:rsid w:val="00B12214"/>
    <w:rsid w:val="00B12308"/>
    <w:rsid w:val="00B12362"/>
    <w:rsid w:val="00B123F1"/>
    <w:rsid w:val="00B12737"/>
    <w:rsid w:val="00B12751"/>
    <w:rsid w:val="00B127CE"/>
    <w:rsid w:val="00B128C0"/>
    <w:rsid w:val="00B12A39"/>
    <w:rsid w:val="00B12F88"/>
    <w:rsid w:val="00B12FA7"/>
    <w:rsid w:val="00B132E6"/>
    <w:rsid w:val="00B1352D"/>
    <w:rsid w:val="00B13597"/>
    <w:rsid w:val="00B13846"/>
    <w:rsid w:val="00B13A1F"/>
    <w:rsid w:val="00B13C3B"/>
    <w:rsid w:val="00B13C52"/>
    <w:rsid w:val="00B13F11"/>
    <w:rsid w:val="00B14109"/>
    <w:rsid w:val="00B148C7"/>
    <w:rsid w:val="00B1495D"/>
    <w:rsid w:val="00B14AA4"/>
    <w:rsid w:val="00B14B40"/>
    <w:rsid w:val="00B14B42"/>
    <w:rsid w:val="00B14EB2"/>
    <w:rsid w:val="00B14FBE"/>
    <w:rsid w:val="00B1508C"/>
    <w:rsid w:val="00B151E3"/>
    <w:rsid w:val="00B153B1"/>
    <w:rsid w:val="00B15472"/>
    <w:rsid w:val="00B15597"/>
    <w:rsid w:val="00B157A8"/>
    <w:rsid w:val="00B15A5E"/>
    <w:rsid w:val="00B15CF1"/>
    <w:rsid w:val="00B15DB5"/>
    <w:rsid w:val="00B160A4"/>
    <w:rsid w:val="00B16541"/>
    <w:rsid w:val="00B16601"/>
    <w:rsid w:val="00B16627"/>
    <w:rsid w:val="00B167AC"/>
    <w:rsid w:val="00B16E65"/>
    <w:rsid w:val="00B171AC"/>
    <w:rsid w:val="00B17513"/>
    <w:rsid w:val="00B1754A"/>
    <w:rsid w:val="00B176CB"/>
    <w:rsid w:val="00B17703"/>
    <w:rsid w:val="00B1777F"/>
    <w:rsid w:val="00B17848"/>
    <w:rsid w:val="00B17CD0"/>
    <w:rsid w:val="00B2073E"/>
    <w:rsid w:val="00B208B1"/>
    <w:rsid w:val="00B20B85"/>
    <w:rsid w:val="00B20DEC"/>
    <w:rsid w:val="00B20EF7"/>
    <w:rsid w:val="00B211E7"/>
    <w:rsid w:val="00B212D1"/>
    <w:rsid w:val="00B213F3"/>
    <w:rsid w:val="00B2150E"/>
    <w:rsid w:val="00B216B3"/>
    <w:rsid w:val="00B2179A"/>
    <w:rsid w:val="00B21858"/>
    <w:rsid w:val="00B219BD"/>
    <w:rsid w:val="00B21BC8"/>
    <w:rsid w:val="00B21D3D"/>
    <w:rsid w:val="00B21E9F"/>
    <w:rsid w:val="00B21FBC"/>
    <w:rsid w:val="00B22079"/>
    <w:rsid w:val="00B22667"/>
    <w:rsid w:val="00B2278F"/>
    <w:rsid w:val="00B22984"/>
    <w:rsid w:val="00B22DE0"/>
    <w:rsid w:val="00B22E60"/>
    <w:rsid w:val="00B22E83"/>
    <w:rsid w:val="00B23008"/>
    <w:rsid w:val="00B23132"/>
    <w:rsid w:val="00B23832"/>
    <w:rsid w:val="00B23871"/>
    <w:rsid w:val="00B238AE"/>
    <w:rsid w:val="00B239BD"/>
    <w:rsid w:val="00B239FE"/>
    <w:rsid w:val="00B23C0D"/>
    <w:rsid w:val="00B23D67"/>
    <w:rsid w:val="00B23DF7"/>
    <w:rsid w:val="00B23E5A"/>
    <w:rsid w:val="00B23E73"/>
    <w:rsid w:val="00B23E7A"/>
    <w:rsid w:val="00B23E96"/>
    <w:rsid w:val="00B23F46"/>
    <w:rsid w:val="00B2406F"/>
    <w:rsid w:val="00B2427E"/>
    <w:rsid w:val="00B24395"/>
    <w:rsid w:val="00B24441"/>
    <w:rsid w:val="00B24553"/>
    <w:rsid w:val="00B24596"/>
    <w:rsid w:val="00B24599"/>
    <w:rsid w:val="00B2483F"/>
    <w:rsid w:val="00B24AC1"/>
    <w:rsid w:val="00B24B48"/>
    <w:rsid w:val="00B24D7F"/>
    <w:rsid w:val="00B25127"/>
    <w:rsid w:val="00B2546F"/>
    <w:rsid w:val="00B255C4"/>
    <w:rsid w:val="00B257A3"/>
    <w:rsid w:val="00B2586F"/>
    <w:rsid w:val="00B259D5"/>
    <w:rsid w:val="00B25A30"/>
    <w:rsid w:val="00B260B4"/>
    <w:rsid w:val="00B26373"/>
    <w:rsid w:val="00B2648D"/>
    <w:rsid w:val="00B265BC"/>
    <w:rsid w:val="00B26685"/>
    <w:rsid w:val="00B26AC9"/>
    <w:rsid w:val="00B26AD6"/>
    <w:rsid w:val="00B26BA9"/>
    <w:rsid w:val="00B26C7D"/>
    <w:rsid w:val="00B26D03"/>
    <w:rsid w:val="00B26E87"/>
    <w:rsid w:val="00B2747B"/>
    <w:rsid w:val="00B2765B"/>
    <w:rsid w:val="00B276F6"/>
    <w:rsid w:val="00B27AE4"/>
    <w:rsid w:val="00B27B6A"/>
    <w:rsid w:val="00B27BF5"/>
    <w:rsid w:val="00B27D4E"/>
    <w:rsid w:val="00B30345"/>
    <w:rsid w:val="00B303F7"/>
    <w:rsid w:val="00B30460"/>
    <w:rsid w:val="00B3069C"/>
    <w:rsid w:val="00B306FC"/>
    <w:rsid w:val="00B30847"/>
    <w:rsid w:val="00B30A33"/>
    <w:rsid w:val="00B30AB1"/>
    <w:rsid w:val="00B30B35"/>
    <w:rsid w:val="00B30BF6"/>
    <w:rsid w:val="00B30BFF"/>
    <w:rsid w:val="00B30C2C"/>
    <w:rsid w:val="00B30C2E"/>
    <w:rsid w:val="00B30C91"/>
    <w:rsid w:val="00B30D2C"/>
    <w:rsid w:val="00B30DC5"/>
    <w:rsid w:val="00B31276"/>
    <w:rsid w:val="00B315AE"/>
    <w:rsid w:val="00B315BF"/>
    <w:rsid w:val="00B31823"/>
    <w:rsid w:val="00B31BC9"/>
    <w:rsid w:val="00B31C86"/>
    <w:rsid w:val="00B31DD6"/>
    <w:rsid w:val="00B31FBF"/>
    <w:rsid w:val="00B320DB"/>
    <w:rsid w:val="00B322B1"/>
    <w:rsid w:val="00B322C0"/>
    <w:rsid w:val="00B324F7"/>
    <w:rsid w:val="00B32863"/>
    <w:rsid w:val="00B32A01"/>
    <w:rsid w:val="00B32A47"/>
    <w:rsid w:val="00B32B0B"/>
    <w:rsid w:val="00B32D6D"/>
    <w:rsid w:val="00B32ED8"/>
    <w:rsid w:val="00B32FE1"/>
    <w:rsid w:val="00B3307B"/>
    <w:rsid w:val="00B330D2"/>
    <w:rsid w:val="00B3314A"/>
    <w:rsid w:val="00B33217"/>
    <w:rsid w:val="00B3323C"/>
    <w:rsid w:val="00B333E3"/>
    <w:rsid w:val="00B333FB"/>
    <w:rsid w:val="00B33754"/>
    <w:rsid w:val="00B338F1"/>
    <w:rsid w:val="00B33BC7"/>
    <w:rsid w:val="00B33E58"/>
    <w:rsid w:val="00B343A6"/>
    <w:rsid w:val="00B34423"/>
    <w:rsid w:val="00B346B3"/>
    <w:rsid w:val="00B34773"/>
    <w:rsid w:val="00B3477C"/>
    <w:rsid w:val="00B3486A"/>
    <w:rsid w:val="00B348DE"/>
    <w:rsid w:val="00B34C6D"/>
    <w:rsid w:val="00B34CD0"/>
    <w:rsid w:val="00B34D0A"/>
    <w:rsid w:val="00B34F4D"/>
    <w:rsid w:val="00B35030"/>
    <w:rsid w:val="00B3504E"/>
    <w:rsid w:val="00B35072"/>
    <w:rsid w:val="00B350F2"/>
    <w:rsid w:val="00B352F7"/>
    <w:rsid w:val="00B354B8"/>
    <w:rsid w:val="00B357CE"/>
    <w:rsid w:val="00B359B8"/>
    <w:rsid w:val="00B35A8D"/>
    <w:rsid w:val="00B35D2E"/>
    <w:rsid w:val="00B360EC"/>
    <w:rsid w:val="00B3624A"/>
    <w:rsid w:val="00B36295"/>
    <w:rsid w:val="00B362C0"/>
    <w:rsid w:val="00B363F4"/>
    <w:rsid w:val="00B36449"/>
    <w:rsid w:val="00B36950"/>
    <w:rsid w:val="00B36CC5"/>
    <w:rsid w:val="00B36D24"/>
    <w:rsid w:val="00B36D3A"/>
    <w:rsid w:val="00B36D63"/>
    <w:rsid w:val="00B36E9C"/>
    <w:rsid w:val="00B37067"/>
    <w:rsid w:val="00B37098"/>
    <w:rsid w:val="00B3714E"/>
    <w:rsid w:val="00B371E9"/>
    <w:rsid w:val="00B37204"/>
    <w:rsid w:val="00B37553"/>
    <w:rsid w:val="00B376EC"/>
    <w:rsid w:val="00B37877"/>
    <w:rsid w:val="00B3792A"/>
    <w:rsid w:val="00B3795C"/>
    <w:rsid w:val="00B37CAD"/>
    <w:rsid w:val="00B401C3"/>
    <w:rsid w:val="00B40204"/>
    <w:rsid w:val="00B40529"/>
    <w:rsid w:val="00B4064D"/>
    <w:rsid w:val="00B40957"/>
    <w:rsid w:val="00B4096E"/>
    <w:rsid w:val="00B40A4D"/>
    <w:rsid w:val="00B40C66"/>
    <w:rsid w:val="00B40CD0"/>
    <w:rsid w:val="00B40D44"/>
    <w:rsid w:val="00B40FC2"/>
    <w:rsid w:val="00B412B8"/>
    <w:rsid w:val="00B41416"/>
    <w:rsid w:val="00B4161E"/>
    <w:rsid w:val="00B418F7"/>
    <w:rsid w:val="00B41C8F"/>
    <w:rsid w:val="00B41CB9"/>
    <w:rsid w:val="00B41FE0"/>
    <w:rsid w:val="00B42095"/>
    <w:rsid w:val="00B42148"/>
    <w:rsid w:val="00B42294"/>
    <w:rsid w:val="00B4232D"/>
    <w:rsid w:val="00B42678"/>
    <w:rsid w:val="00B427DC"/>
    <w:rsid w:val="00B427ED"/>
    <w:rsid w:val="00B428DE"/>
    <w:rsid w:val="00B42BC2"/>
    <w:rsid w:val="00B42E04"/>
    <w:rsid w:val="00B42E20"/>
    <w:rsid w:val="00B4304C"/>
    <w:rsid w:val="00B430A9"/>
    <w:rsid w:val="00B4323B"/>
    <w:rsid w:val="00B432EF"/>
    <w:rsid w:val="00B43336"/>
    <w:rsid w:val="00B4336A"/>
    <w:rsid w:val="00B4351C"/>
    <w:rsid w:val="00B43954"/>
    <w:rsid w:val="00B43AB9"/>
    <w:rsid w:val="00B4409C"/>
    <w:rsid w:val="00B44271"/>
    <w:rsid w:val="00B443EB"/>
    <w:rsid w:val="00B44640"/>
    <w:rsid w:val="00B44832"/>
    <w:rsid w:val="00B4499B"/>
    <w:rsid w:val="00B44AD3"/>
    <w:rsid w:val="00B44E62"/>
    <w:rsid w:val="00B452BC"/>
    <w:rsid w:val="00B453FB"/>
    <w:rsid w:val="00B45722"/>
    <w:rsid w:val="00B457AD"/>
    <w:rsid w:val="00B45989"/>
    <w:rsid w:val="00B45B9F"/>
    <w:rsid w:val="00B45E22"/>
    <w:rsid w:val="00B45F79"/>
    <w:rsid w:val="00B45F7D"/>
    <w:rsid w:val="00B461AF"/>
    <w:rsid w:val="00B461E5"/>
    <w:rsid w:val="00B46490"/>
    <w:rsid w:val="00B464EB"/>
    <w:rsid w:val="00B46752"/>
    <w:rsid w:val="00B467E7"/>
    <w:rsid w:val="00B46895"/>
    <w:rsid w:val="00B468DB"/>
    <w:rsid w:val="00B4696A"/>
    <w:rsid w:val="00B46F0A"/>
    <w:rsid w:val="00B46F9A"/>
    <w:rsid w:val="00B4747C"/>
    <w:rsid w:val="00B474B6"/>
    <w:rsid w:val="00B47507"/>
    <w:rsid w:val="00B4757A"/>
    <w:rsid w:val="00B47616"/>
    <w:rsid w:val="00B47757"/>
    <w:rsid w:val="00B477B1"/>
    <w:rsid w:val="00B4795F"/>
    <w:rsid w:val="00B479F9"/>
    <w:rsid w:val="00B47C83"/>
    <w:rsid w:val="00B47CEC"/>
    <w:rsid w:val="00B47CF6"/>
    <w:rsid w:val="00B47D5C"/>
    <w:rsid w:val="00B47D79"/>
    <w:rsid w:val="00B47D88"/>
    <w:rsid w:val="00B50202"/>
    <w:rsid w:val="00B5029E"/>
    <w:rsid w:val="00B502E8"/>
    <w:rsid w:val="00B503C9"/>
    <w:rsid w:val="00B504F1"/>
    <w:rsid w:val="00B5091C"/>
    <w:rsid w:val="00B50D45"/>
    <w:rsid w:val="00B50DB0"/>
    <w:rsid w:val="00B50DC9"/>
    <w:rsid w:val="00B50E2F"/>
    <w:rsid w:val="00B50F62"/>
    <w:rsid w:val="00B5137F"/>
    <w:rsid w:val="00B513CE"/>
    <w:rsid w:val="00B516D0"/>
    <w:rsid w:val="00B51FB9"/>
    <w:rsid w:val="00B5212F"/>
    <w:rsid w:val="00B52476"/>
    <w:rsid w:val="00B5252E"/>
    <w:rsid w:val="00B525A3"/>
    <w:rsid w:val="00B525EF"/>
    <w:rsid w:val="00B52759"/>
    <w:rsid w:val="00B5277C"/>
    <w:rsid w:val="00B5291F"/>
    <w:rsid w:val="00B52961"/>
    <w:rsid w:val="00B52D4B"/>
    <w:rsid w:val="00B52E2F"/>
    <w:rsid w:val="00B52E78"/>
    <w:rsid w:val="00B530DD"/>
    <w:rsid w:val="00B53386"/>
    <w:rsid w:val="00B5338C"/>
    <w:rsid w:val="00B536A7"/>
    <w:rsid w:val="00B5373C"/>
    <w:rsid w:val="00B5379F"/>
    <w:rsid w:val="00B538EE"/>
    <w:rsid w:val="00B5394F"/>
    <w:rsid w:val="00B53D13"/>
    <w:rsid w:val="00B53DF5"/>
    <w:rsid w:val="00B53E91"/>
    <w:rsid w:val="00B53F2D"/>
    <w:rsid w:val="00B53F61"/>
    <w:rsid w:val="00B541C6"/>
    <w:rsid w:val="00B54336"/>
    <w:rsid w:val="00B543C6"/>
    <w:rsid w:val="00B54A00"/>
    <w:rsid w:val="00B54A45"/>
    <w:rsid w:val="00B54BE3"/>
    <w:rsid w:val="00B54CE8"/>
    <w:rsid w:val="00B54D6A"/>
    <w:rsid w:val="00B550C9"/>
    <w:rsid w:val="00B55490"/>
    <w:rsid w:val="00B5581D"/>
    <w:rsid w:val="00B55886"/>
    <w:rsid w:val="00B55890"/>
    <w:rsid w:val="00B55AF9"/>
    <w:rsid w:val="00B55B8A"/>
    <w:rsid w:val="00B55BE3"/>
    <w:rsid w:val="00B55D84"/>
    <w:rsid w:val="00B55DA1"/>
    <w:rsid w:val="00B56061"/>
    <w:rsid w:val="00B560F5"/>
    <w:rsid w:val="00B56174"/>
    <w:rsid w:val="00B56244"/>
    <w:rsid w:val="00B565E6"/>
    <w:rsid w:val="00B566EC"/>
    <w:rsid w:val="00B56784"/>
    <w:rsid w:val="00B567D2"/>
    <w:rsid w:val="00B56882"/>
    <w:rsid w:val="00B56930"/>
    <w:rsid w:val="00B56B69"/>
    <w:rsid w:val="00B56D5D"/>
    <w:rsid w:val="00B57003"/>
    <w:rsid w:val="00B5706B"/>
    <w:rsid w:val="00B570EA"/>
    <w:rsid w:val="00B57207"/>
    <w:rsid w:val="00B5727F"/>
    <w:rsid w:val="00B57344"/>
    <w:rsid w:val="00B573A7"/>
    <w:rsid w:val="00B576AA"/>
    <w:rsid w:val="00B57A0E"/>
    <w:rsid w:val="00B57BE2"/>
    <w:rsid w:val="00B57D5F"/>
    <w:rsid w:val="00B57E01"/>
    <w:rsid w:val="00B60060"/>
    <w:rsid w:val="00B60703"/>
    <w:rsid w:val="00B60786"/>
    <w:rsid w:val="00B60789"/>
    <w:rsid w:val="00B60919"/>
    <w:rsid w:val="00B609C1"/>
    <w:rsid w:val="00B60E5A"/>
    <w:rsid w:val="00B60EFA"/>
    <w:rsid w:val="00B60F14"/>
    <w:rsid w:val="00B61278"/>
    <w:rsid w:val="00B6134A"/>
    <w:rsid w:val="00B6137B"/>
    <w:rsid w:val="00B613FB"/>
    <w:rsid w:val="00B61673"/>
    <w:rsid w:val="00B61915"/>
    <w:rsid w:val="00B61BA2"/>
    <w:rsid w:val="00B61D45"/>
    <w:rsid w:val="00B61EF8"/>
    <w:rsid w:val="00B621ED"/>
    <w:rsid w:val="00B628E8"/>
    <w:rsid w:val="00B62AC7"/>
    <w:rsid w:val="00B62C57"/>
    <w:rsid w:val="00B62D74"/>
    <w:rsid w:val="00B62DC8"/>
    <w:rsid w:val="00B62E74"/>
    <w:rsid w:val="00B63002"/>
    <w:rsid w:val="00B634E8"/>
    <w:rsid w:val="00B6361D"/>
    <w:rsid w:val="00B63775"/>
    <w:rsid w:val="00B63818"/>
    <w:rsid w:val="00B63BC9"/>
    <w:rsid w:val="00B63BD7"/>
    <w:rsid w:val="00B63C73"/>
    <w:rsid w:val="00B63D48"/>
    <w:rsid w:val="00B63D69"/>
    <w:rsid w:val="00B63FEF"/>
    <w:rsid w:val="00B6452C"/>
    <w:rsid w:val="00B6455D"/>
    <w:rsid w:val="00B6483D"/>
    <w:rsid w:val="00B64846"/>
    <w:rsid w:val="00B6484D"/>
    <w:rsid w:val="00B64ABD"/>
    <w:rsid w:val="00B64DFD"/>
    <w:rsid w:val="00B64E49"/>
    <w:rsid w:val="00B64EE8"/>
    <w:rsid w:val="00B651B0"/>
    <w:rsid w:val="00B651CE"/>
    <w:rsid w:val="00B6551F"/>
    <w:rsid w:val="00B6563F"/>
    <w:rsid w:val="00B65753"/>
    <w:rsid w:val="00B65816"/>
    <w:rsid w:val="00B65879"/>
    <w:rsid w:val="00B6587D"/>
    <w:rsid w:val="00B65E8B"/>
    <w:rsid w:val="00B65FE1"/>
    <w:rsid w:val="00B66010"/>
    <w:rsid w:val="00B6647A"/>
    <w:rsid w:val="00B665E6"/>
    <w:rsid w:val="00B668BB"/>
    <w:rsid w:val="00B66A25"/>
    <w:rsid w:val="00B66A58"/>
    <w:rsid w:val="00B66AA3"/>
    <w:rsid w:val="00B66E25"/>
    <w:rsid w:val="00B66E55"/>
    <w:rsid w:val="00B66F96"/>
    <w:rsid w:val="00B66FBC"/>
    <w:rsid w:val="00B67068"/>
    <w:rsid w:val="00B67180"/>
    <w:rsid w:val="00B673C9"/>
    <w:rsid w:val="00B67403"/>
    <w:rsid w:val="00B67596"/>
    <w:rsid w:val="00B67627"/>
    <w:rsid w:val="00B677C8"/>
    <w:rsid w:val="00B6792C"/>
    <w:rsid w:val="00B679C2"/>
    <w:rsid w:val="00B67A5B"/>
    <w:rsid w:val="00B67AC2"/>
    <w:rsid w:val="00B67B71"/>
    <w:rsid w:val="00B67B93"/>
    <w:rsid w:val="00B67BAD"/>
    <w:rsid w:val="00B67C1D"/>
    <w:rsid w:val="00B70033"/>
    <w:rsid w:val="00B700BD"/>
    <w:rsid w:val="00B701D7"/>
    <w:rsid w:val="00B7024A"/>
    <w:rsid w:val="00B70710"/>
    <w:rsid w:val="00B70BE2"/>
    <w:rsid w:val="00B70DBC"/>
    <w:rsid w:val="00B70E31"/>
    <w:rsid w:val="00B70FA2"/>
    <w:rsid w:val="00B7120A"/>
    <w:rsid w:val="00B713B3"/>
    <w:rsid w:val="00B71462"/>
    <w:rsid w:val="00B71505"/>
    <w:rsid w:val="00B715AE"/>
    <w:rsid w:val="00B7169E"/>
    <w:rsid w:val="00B71BA2"/>
    <w:rsid w:val="00B71C85"/>
    <w:rsid w:val="00B71E04"/>
    <w:rsid w:val="00B71F10"/>
    <w:rsid w:val="00B71FD6"/>
    <w:rsid w:val="00B7208D"/>
    <w:rsid w:val="00B7221A"/>
    <w:rsid w:val="00B72545"/>
    <w:rsid w:val="00B72753"/>
    <w:rsid w:val="00B7284A"/>
    <w:rsid w:val="00B72896"/>
    <w:rsid w:val="00B72906"/>
    <w:rsid w:val="00B72999"/>
    <w:rsid w:val="00B729AC"/>
    <w:rsid w:val="00B72D74"/>
    <w:rsid w:val="00B730E8"/>
    <w:rsid w:val="00B73118"/>
    <w:rsid w:val="00B731F3"/>
    <w:rsid w:val="00B7334C"/>
    <w:rsid w:val="00B735F0"/>
    <w:rsid w:val="00B73626"/>
    <w:rsid w:val="00B7363E"/>
    <w:rsid w:val="00B7384B"/>
    <w:rsid w:val="00B739AA"/>
    <w:rsid w:val="00B73A5C"/>
    <w:rsid w:val="00B73D7B"/>
    <w:rsid w:val="00B73F45"/>
    <w:rsid w:val="00B74022"/>
    <w:rsid w:val="00B74067"/>
    <w:rsid w:val="00B745FA"/>
    <w:rsid w:val="00B74649"/>
    <w:rsid w:val="00B7472E"/>
    <w:rsid w:val="00B7480B"/>
    <w:rsid w:val="00B74DB2"/>
    <w:rsid w:val="00B750EB"/>
    <w:rsid w:val="00B751E5"/>
    <w:rsid w:val="00B7528F"/>
    <w:rsid w:val="00B754D6"/>
    <w:rsid w:val="00B755B2"/>
    <w:rsid w:val="00B755B6"/>
    <w:rsid w:val="00B7570D"/>
    <w:rsid w:val="00B75964"/>
    <w:rsid w:val="00B759D1"/>
    <w:rsid w:val="00B75AAD"/>
    <w:rsid w:val="00B75AF9"/>
    <w:rsid w:val="00B75B28"/>
    <w:rsid w:val="00B75F49"/>
    <w:rsid w:val="00B760FB"/>
    <w:rsid w:val="00B7629A"/>
    <w:rsid w:val="00B7630E"/>
    <w:rsid w:val="00B767FA"/>
    <w:rsid w:val="00B7683A"/>
    <w:rsid w:val="00B76886"/>
    <w:rsid w:val="00B769EC"/>
    <w:rsid w:val="00B76A1F"/>
    <w:rsid w:val="00B76A67"/>
    <w:rsid w:val="00B76A75"/>
    <w:rsid w:val="00B76B0C"/>
    <w:rsid w:val="00B76BB5"/>
    <w:rsid w:val="00B76BFA"/>
    <w:rsid w:val="00B76DEE"/>
    <w:rsid w:val="00B76E88"/>
    <w:rsid w:val="00B76F37"/>
    <w:rsid w:val="00B7702F"/>
    <w:rsid w:val="00B770EE"/>
    <w:rsid w:val="00B77218"/>
    <w:rsid w:val="00B7734E"/>
    <w:rsid w:val="00B774E5"/>
    <w:rsid w:val="00B77728"/>
    <w:rsid w:val="00B778E8"/>
    <w:rsid w:val="00B779EE"/>
    <w:rsid w:val="00B77A0C"/>
    <w:rsid w:val="00B77AB3"/>
    <w:rsid w:val="00B77ACA"/>
    <w:rsid w:val="00B77D0C"/>
    <w:rsid w:val="00B77F5B"/>
    <w:rsid w:val="00B800D0"/>
    <w:rsid w:val="00B8023F"/>
    <w:rsid w:val="00B8049B"/>
    <w:rsid w:val="00B80E35"/>
    <w:rsid w:val="00B80E3F"/>
    <w:rsid w:val="00B80F5E"/>
    <w:rsid w:val="00B80FB6"/>
    <w:rsid w:val="00B810DF"/>
    <w:rsid w:val="00B8128B"/>
    <w:rsid w:val="00B8159A"/>
    <w:rsid w:val="00B8170C"/>
    <w:rsid w:val="00B81A43"/>
    <w:rsid w:val="00B81C01"/>
    <w:rsid w:val="00B81DAB"/>
    <w:rsid w:val="00B81E83"/>
    <w:rsid w:val="00B8208F"/>
    <w:rsid w:val="00B82127"/>
    <w:rsid w:val="00B82186"/>
    <w:rsid w:val="00B8254F"/>
    <w:rsid w:val="00B82817"/>
    <w:rsid w:val="00B828E3"/>
    <w:rsid w:val="00B829DE"/>
    <w:rsid w:val="00B82B00"/>
    <w:rsid w:val="00B82B67"/>
    <w:rsid w:val="00B82B9D"/>
    <w:rsid w:val="00B831CD"/>
    <w:rsid w:val="00B83253"/>
    <w:rsid w:val="00B83573"/>
    <w:rsid w:val="00B8388D"/>
    <w:rsid w:val="00B83ACE"/>
    <w:rsid w:val="00B83B3A"/>
    <w:rsid w:val="00B83CBF"/>
    <w:rsid w:val="00B83D13"/>
    <w:rsid w:val="00B83D5F"/>
    <w:rsid w:val="00B83D85"/>
    <w:rsid w:val="00B84077"/>
    <w:rsid w:val="00B841E1"/>
    <w:rsid w:val="00B843E1"/>
    <w:rsid w:val="00B84696"/>
    <w:rsid w:val="00B847CE"/>
    <w:rsid w:val="00B8484F"/>
    <w:rsid w:val="00B84926"/>
    <w:rsid w:val="00B84A2A"/>
    <w:rsid w:val="00B84A98"/>
    <w:rsid w:val="00B84B7B"/>
    <w:rsid w:val="00B84C22"/>
    <w:rsid w:val="00B84E08"/>
    <w:rsid w:val="00B84FEF"/>
    <w:rsid w:val="00B850C3"/>
    <w:rsid w:val="00B852B4"/>
    <w:rsid w:val="00B85391"/>
    <w:rsid w:val="00B854F2"/>
    <w:rsid w:val="00B85733"/>
    <w:rsid w:val="00B859E3"/>
    <w:rsid w:val="00B85D49"/>
    <w:rsid w:val="00B85D73"/>
    <w:rsid w:val="00B85EC3"/>
    <w:rsid w:val="00B85FE9"/>
    <w:rsid w:val="00B865B5"/>
    <w:rsid w:val="00B866D3"/>
    <w:rsid w:val="00B86B81"/>
    <w:rsid w:val="00B86E3D"/>
    <w:rsid w:val="00B86E4F"/>
    <w:rsid w:val="00B86FDD"/>
    <w:rsid w:val="00B86FFE"/>
    <w:rsid w:val="00B87139"/>
    <w:rsid w:val="00B872F3"/>
    <w:rsid w:val="00B87370"/>
    <w:rsid w:val="00B8760C"/>
    <w:rsid w:val="00B8761E"/>
    <w:rsid w:val="00B878CD"/>
    <w:rsid w:val="00B87998"/>
    <w:rsid w:val="00B87A9A"/>
    <w:rsid w:val="00B87B00"/>
    <w:rsid w:val="00B87F0C"/>
    <w:rsid w:val="00B904A2"/>
    <w:rsid w:val="00B904D6"/>
    <w:rsid w:val="00B90533"/>
    <w:rsid w:val="00B9076F"/>
    <w:rsid w:val="00B909BD"/>
    <w:rsid w:val="00B90A4A"/>
    <w:rsid w:val="00B90B0B"/>
    <w:rsid w:val="00B90EBC"/>
    <w:rsid w:val="00B90F6F"/>
    <w:rsid w:val="00B90FAB"/>
    <w:rsid w:val="00B913FF"/>
    <w:rsid w:val="00B91736"/>
    <w:rsid w:val="00B9184B"/>
    <w:rsid w:val="00B91CDB"/>
    <w:rsid w:val="00B91F88"/>
    <w:rsid w:val="00B91FF0"/>
    <w:rsid w:val="00B921FF"/>
    <w:rsid w:val="00B929C7"/>
    <w:rsid w:val="00B92ADF"/>
    <w:rsid w:val="00B92B11"/>
    <w:rsid w:val="00B92B80"/>
    <w:rsid w:val="00B92DBF"/>
    <w:rsid w:val="00B93385"/>
    <w:rsid w:val="00B9351D"/>
    <w:rsid w:val="00B93C49"/>
    <w:rsid w:val="00B945C1"/>
    <w:rsid w:val="00B9465A"/>
    <w:rsid w:val="00B947D4"/>
    <w:rsid w:val="00B94889"/>
    <w:rsid w:val="00B9497A"/>
    <w:rsid w:val="00B94A1A"/>
    <w:rsid w:val="00B94AEE"/>
    <w:rsid w:val="00B94CEA"/>
    <w:rsid w:val="00B94D70"/>
    <w:rsid w:val="00B94E35"/>
    <w:rsid w:val="00B94E9C"/>
    <w:rsid w:val="00B9503F"/>
    <w:rsid w:val="00B95484"/>
    <w:rsid w:val="00B954D8"/>
    <w:rsid w:val="00B9555B"/>
    <w:rsid w:val="00B95CDF"/>
    <w:rsid w:val="00B961EE"/>
    <w:rsid w:val="00B962AE"/>
    <w:rsid w:val="00B96490"/>
    <w:rsid w:val="00B9665F"/>
    <w:rsid w:val="00B96668"/>
    <w:rsid w:val="00B96C27"/>
    <w:rsid w:val="00B96D3F"/>
    <w:rsid w:val="00B96DD0"/>
    <w:rsid w:val="00B96ED5"/>
    <w:rsid w:val="00B97004"/>
    <w:rsid w:val="00B9708E"/>
    <w:rsid w:val="00B970F9"/>
    <w:rsid w:val="00B971BA"/>
    <w:rsid w:val="00B97258"/>
    <w:rsid w:val="00B97313"/>
    <w:rsid w:val="00B97382"/>
    <w:rsid w:val="00B974F6"/>
    <w:rsid w:val="00B97899"/>
    <w:rsid w:val="00B97C01"/>
    <w:rsid w:val="00B97C49"/>
    <w:rsid w:val="00B97DD8"/>
    <w:rsid w:val="00B97DEC"/>
    <w:rsid w:val="00BA002F"/>
    <w:rsid w:val="00BA01C7"/>
    <w:rsid w:val="00BA023F"/>
    <w:rsid w:val="00BA0327"/>
    <w:rsid w:val="00BA0335"/>
    <w:rsid w:val="00BA061D"/>
    <w:rsid w:val="00BA0698"/>
    <w:rsid w:val="00BA06D7"/>
    <w:rsid w:val="00BA08A0"/>
    <w:rsid w:val="00BA0D91"/>
    <w:rsid w:val="00BA0F17"/>
    <w:rsid w:val="00BA1213"/>
    <w:rsid w:val="00BA125A"/>
    <w:rsid w:val="00BA13A2"/>
    <w:rsid w:val="00BA165A"/>
    <w:rsid w:val="00BA19E4"/>
    <w:rsid w:val="00BA1CA0"/>
    <w:rsid w:val="00BA1ED9"/>
    <w:rsid w:val="00BA200A"/>
    <w:rsid w:val="00BA2134"/>
    <w:rsid w:val="00BA221E"/>
    <w:rsid w:val="00BA2587"/>
    <w:rsid w:val="00BA2718"/>
    <w:rsid w:val="00BA2727"/>
    <w:rsid w:val="00BA289E"/>
    <w:rsid w:val="00BA2DFA"/>
    <w:rsid w:val="00BA2E9A"/>
    <w:rsid w:val="00BA2EA9"/>
    <w:rsid w:val="00BA310E"/>
    <w:rsid w:val="00BA321F"/>
    <w:rsid w:val="00BA33E8"/>
    <w:rsid w:val="00BA3592"/>
    <w:rsid w:val="00BA39A1"/>
    <w:rsid w:val="00BA3BDE"/>
    <w:rsid w:val="00BA3DBC"/>
    <w:rsid w:val="00BA3F01"/>
    <w:rsid w:val="00BA40ED"/>
    <w:rsid w:val="00BA40F3"/>
    <w:rsid w:val="00BA43AF"/>
    <w:rsid w:val="00BA4772"/>
    <w:rsid w:val="00BA4943"/>
    <w:rsid w:val="00BA4B22"/>
    <w:rsid w:val="00BA4B4E"/>
    <w:rsid w:val="00BA4C7C"/>
    <w:rsid w:val="00BA4DA4"/>
    <w:rsid w:val="00BA4DB0"/>
    <w:rsid w:val="00BA50F6"/>
    <w:rsid w:val="00BA5156"/>
    <w:rsid w:val="00BA56A5"/>
    <w:rsid w:val="00BA56D6"/>
    <w:rsid w:val="00BA57EF"/>
    <w:rsid w:val="00BA59DC"/>
    <w:rsid w:val="00BA5B19"/>
    <w:rsid w:val="00BA5C29"/>
    <w:rsid w:val="00BA5F1F"/>
    <w:rsid w:val="00BA5FDA"/>
    <w:rsid w:val="00BA625C"/>
    <w:rsid w:val="00BA6558"/>
    <w:rsid w:val="00BA6898"/>
    <w:rsid w:val="00BA69EA"/>
    <w:rsid w:val="00BA6BB9"/>
    <w:rsid w:val="00BA6C38"/>
    <w:rsid w:val="00BA6DB1"/>
    <w:rsid w:val="00BA6DBA"/>
    <w:rsid w:val="00BA740F"/>
    <w:rsid w:val="00BA7615"/>
    <w:rsid w:val="00BA7848"/>
    <w:rsid w:val="00BA7C89"/>
    <w:rsid w:val="00BA7CDB"/>
    <w:rsid w:val="00BA7DE3"/>
    <w:rsid w:val="00BA7DE9"/>
    <w:rsid w:val="00BA7E48"/>
    <w:rsid w:val="00BB0062"/>
    <w:rsid w:val="00BB03EF"/>
    <w:rsid w:val="00BB05A6"/>
    <w:rsid w:val="00BB0753"/>
    <w:rsid w:val="00BB079F"/>
    <w:rsid w:val="00BB07A7"/>
    <w:rsid w:val="00BB0891"/>
    <w:rsid w:val="00BB08AC"/>
    <w:rsid w:val="00BB092A"/>
    <w:rsid w:val="00BB0A13"/>
    <w:rsid w:val="00BB0A50"/>
    <w:rsid w:val="00BB0B8A"/>
    <w:rsid w:val="00BB0D82"/>
    <w:rsid w:val="00BB1103"/>
    <w:rsid w:val="00BB15D9"/>
    <w:rsid w:val="00BB1621"/>
    <w:rsid w:val="00BB1711"/>
    <w:rsid w:val="00BB1798"/>
    <w:rsid w:val="00BB17FD"/>
    <w:rsid w:val="00BB192E"/>
    <w:rsid w:val="00BB19B8"/>
    <w:rsid w:val="00BB1E9E"/>
    <w:rsid w:val="00BB20E2"/>
    <w:rsid w:val="00BB21EF"/>
    <w:rsid w:val="00BB252C"/>
    <w:rsid w:val="00BB2566"/>
    <w:rsid w:val="00BB26E3"/>
    <w:rsid w:val="00BB2859"/>
    <w:rsid w:val="00BB28A3"/>
    <w:rsid w:val="00BB290A"/>
    <w:rsid w:val="00BB2A59"/>
    <w:rsid w:val="00BB2A9A"/>
    <w:rsid w:val="00BB2B03"/>
    <w:rsid w:val="00BB2BBE"/>
    <w:rsid w:val="00BB2CAC"/>
    <w:rsid w:val="00BB2E16"/>
    <w:rsid w:val="00BB2E1F"/>
    <w:rsid w:val="00BB31C7"/>
    <w:rsid w:val="00BB339C"/>
    <w:rsid w:val="00BB3531"/>
    <w:rsid w:val="00BB355F"/>
    <w:rsid w:val="00BB3608"/>
    <w:rsid w:val="00BB3B00"/>
    <w:rsid w:val="00BB3B6F"/>
    <w:rsid w:val="00BB3BD4"/>
    <w:rsid w:val="00BB3BFB"/>
    <w:rsid w:val="00BB3C21"/>
    <w:rsid w:val="00BB3C38"/>
    <w:rsid w:val="00BB3DB2"/>
    <w:rsid w:val="00BB3EEB"/>
    <w:rsid w:val="00BB3F9B"/>
    <w:rsid w:val="00BB4076"/>
    <w:rsid w:val="00BB40EE"/>
    <w:rsid w:val="00BB4200"/>
    <w:rsid w:val="00BB4219"/>
    <w:rsid w:val="00BB4677"/>
    <w:rsid w:val="00BB473E"/>
    <w:rsid w:val="00BB47E9"/>
    <w:rsid w:val="00BB4805"/>
    <w:rsid w:val="00BB4886"/>
    <w:rsid w:val="00BB4A37"/>
    <w:rsid w:val="00BB4A4B"/>
    <w:rsid w:val="00BB4D58"/>
    <w:rsid w:val="00BB4E37"/>
    <w:rsid w:val="00BB4E3A"/>
    <w:rsid w:val="00BB4E81"/>
    <w:rsid w:val="00BB54E3"/>
    <w:rsid w:val="00BB5572"/>
    <w:rsid w:val="00BB56B9"/>
    <w:rsid w:val="00BB5715"/>
    <w:rsid w:val="00BB59B9"/>
    <w:rsid w:val="00BB5AC7"/>
    <w:rsid w:val="00BB5B17"/>
    <w:rsid w:val="00BB5CDF"/>
    <w:rsid w:val="00BB5DD6"/>
    <w:rsid w:val="00BB5DDD"/>
    <w:rsid w:val="00BB5DE4"/>
    <w:rsid w:val="00BB5F77"/>
    <w:rsid w:val="00BB6212"/>
    <w:rsid w:val="00BB63DB"/>
    <w:rsid w:val="00BB6680"/>
    <w:rsid w:val="00BB68AE"/>
    <w:rsid w:val="00BB690E"/>
    <w:rsid w:val="00BB6A23"/>
    <w:rsid w:val="00BB6D17"/>
    <w:rsid w:val="00BB6F2E"/>
    <w:rsid w:val="00BB700F"/>
    <w:rsid w:val="00BB7053"/>
    <w:rsid w:val="00BB7451"/>
    <w:rsid w:val="00BB75D9"/>
    <w:rsid w:val="00BB7855"/>
    <w:rsid w:val="00BB7A99"/>
    <w:rsid w:val="00BB7BEE"/>
    <w:rsid w:val="00BB7CD4"/>
    <w:rsid w:val="00BB7E3F"/>
    <w:rsid w:val="00BB7F5D"/>
    <w:rsid w:val="00BC00E4"/>
    <w:rsid w:val="00BC02A4"/>
    <w:rsid w:val="00BC03BC"/>
    <w:rsid w:val="00BC0439"/>
    <w:rsid w:val="00BC05E5"/>
    <w:rsid w:val="00BC0609"/>
    <w:rsid w:val="00BC0BF7"/>
    <w:rsid w:val="00BC0C26"/>
    <w:rsid w:val="00BC0D80"/>
    <w:rsid w:val="00BC0EA7"/>
    <w:rsid w:val="00BC0F48"/>
    <w:rsid w:val="00BC104C"/>
    <w:rsid w:val="00BC15A8"/>
    <w:rsid w:val="00BC1812"/>
    <w:rsid w:val="00BC18D4"/>
    <w:rsid w:val="00BC1959"/>
    <w:rsid w:val="00BC19BC"/>
    <w:rsid w:val="00BC1A77"/>
    <w:rsid w:val="00BC1BCA"/>
    <w:rsid w:val="00BC1CEC"/>
    <w:rsid w:val="00BC1E20"/>
    <w:rsid w:val="00BC1FE1"/>
    <w:rsid w:val="00BC23C2"/>
    <w:rsid w:val="00BC2490"/>
    <w:rsid w:val="00BC2536"/>
    <w:rsid w:val="00BC28EB"/>
    <w:rsid w:val="00BC2A41"/>
    <w:rsid w:val="00BC2B22"/>
    <w:rsid w:val="00BC2BDF"/>
    <w:rsid w:val="00BC2D26"/>
    <w:rsid w:val="00BC2EFF"/>
    <w:rsid w:val="00BC309F"/>
    <w:rsid w:val="00BC3198"/>
    <w:rsid w:val="00BC3229"/>
    <w:rsid w:val="00BC342E"/>
    <w:rsid w:val="00BC3634"/>
    <w:rsid w:val="00BC3651"/>
    <w:rsid w:val="00BC371C"/>
    <w:rsid w:val="00BC3A29"/>
    <w:rsid w:val="00BC3B3F"/>
    <w:rsid w:val="00BC3C22"/>
    <w:rsid w:val="00BC3D02"/>
    <w:rsid w:val="00BC3F09"/>
    <w:rsid w:val="00BC3FF3"/>
    <w:rsid w:val="00BC405A"/>
    <w:rsid w:val="00BC40C8"/>
    <w:rsid w:val="00BC40CB"/>
    <w:rsid w:val="00BC4122"/>
    <w:rsid w:val="00BC414D"/>
    <w:rsid w:val="00BC4426"/>
    <w:rsid w:val="00BC44B9"/>
    <w:rsid w:val="00BC45EC"/>
    <w:rsid w:val="00BC49D3"/>
    <w:rsid w:val="00BC4A8A"/>
    <w:rsid w:val="00BC4B40"/>
    <w:rsid w:val="00BC4C95"/>
    <w:rsid w:val="00BC4D1B"/>
    <w:rsid w:val="00BC4DF3"/>
    <w:rsid w:val="00BC5101"/>
    <w:rsid w:val="00BC5302"/>
    <w:rsid w:val="00BC5352"/>
    <w:rsid w:val="00BC53E3"/>
    <w:rsid w:val="00BC54BD"/>
    <w:rsid w:val="00BC554F"/>
    <w:rsid w:val="00BC56B1"/>
    <w:rsid w:val="00BC56FF"/>
    <w:rsid w:val="00BC5AC6"/>
    <w:rsid w:val="00BC5C16"/>
    <w:rsid w:val="00BC5DEE"/>
    <w:rsid w:val="00BC608F"/>
    <w:rsid w:val="00BC60ED"/>
    <w:rsid w:val="00BC61C5"/>
    <w:rsid w:val="00BC621A"/>
    <w:rsid w:val="00BC62DB"/>
    <w:rsid w:val="00BC65C0"/>
    <w:rsid w:val="00BC7115"/>
    <w:rsid w:val="00BC72D6"/>
    <w:rsid w:val="00BC76F1"/>
    <w:rsid w:val="00BC7743"/>
    <w:rsid w:val="00BC7914"/>
    <w:rsid w:val="00BC7C2D"/>
    <w:rsid w:val="00BD0119"/>
    <w:rsid w:val="00BD0159"/>
    <w:rsid w:val="00BD032A"/>
    <w:rsid w:val="00BD064F"/>
    <w:rsid w:val="00BD0736"/>
    <w:rsid w:val="00BD0822"/>
    <w:rsid w:val="00BD08C9"/>
    <w:rsid w:val="00BD08DB"/>
    <w:rsid w:val="00BD0A94"/>
    <w:rsid w:val="00BD0B80"/>
    <w:rsid w:val="00BD0E18"/>
    <w:rsid w:val="00BD1001"/>
    <w:rsid w:val="00BD12E3"/>
    <w:rsid w:val="00BD12E9"/>
    <w:rsid w:val="00BD1386"/>
    <w:rsid w:val="00BD1519"/>
    <w:rsid w:val="00BD16ED"/>
    <w:rsid w:val="00BD1779"/>
    <w:rsid w:val="00BD1799"/>
    <w:rsid w:val="00BD181B"/>
    <w:rsid w:val="00BD18F0"/>
    <w:rsid w:val="00BD1A0F"/>
    <w:rsid w:val="00BD1AB9"/>
    <w:rsid w:val="00BD1B26"/>
    <w:rsid w:val="00BD1D0B"/>
    <w:rsid w:val="00BD1E7C"/>
    <w:rsid w:val="00BD2293"/>
    <w:rsid w:val="00BD2330"/>
    <w:rsid w:val="00BD236D"/>
    <w:rsid w:val="00BD2705"/>
    <w:rsid w:val="00BD27B0"/>
    <w:rsid w:val="00BD2A3C"/>
    <w:rsid w:val="00BD2B97"/>
    <w:rsid w:val="00BD2BB7"/>
    <w:rsid w:val="00BD2CF6"/>
    <w:rsid w:val="00BD2D82"/>
    <w:rsid w:val="00BD2D93"/>
    <w:rsid w:val="00BD2E1D"/>
    <w:rsid w:val="00BD2E3E"/>
    <w:rsid w:val="00BD2FD0"/>
    <w:rsid w:val="00BD3287"/>
    <w:rsid w:val="00BD32B8"/>
    <w:rsid w:val="00BD351D"/>
    <w:rsid w:val="00BD386B"/>
    <w:rsid w:val="00BD392D"/>
    <w:rsid w:val="00BD3A8C"/>
    <w:rsid w:val="00BD3C72"/>
    <w:rsid w:val="00BD3FC7"/>
    <w:rsid w:val="00BD416F"/>
    <w:rsid w:val="00BD43FD"/>
    <w:rsid w:val="00BD44AA"/>
    <w:rsid w:val="00BD462A"/>
    <w:rsid w:val="00BD46D8"/>
    <w:rsid w:val="00BD4B54"/>
    <w:rsid w:val="00BD4BD9"/>
    <w:rsid w:val="00BD4E05"/>
    <w:rsid w:val="00BD5362"/>
    <w:rsid w:val="00BD54C7"/>
    <w:rsid w:val="00BD5522"/>
    <w:rsid w:val="00BD55A7"/>
    <w:rsid w:val="00BD564B"/>
    <w:rsid w:val="00BD5737"/>
    <w:rsid w:val="00BD5A4F"/>
    <w:rsid w:val="00BD5B7E"/>
    <w:rsid w:val="00BD5DEF"/>
    <w:rsid w:val="00BD5E1C"/>
    <w:rsid w:val="00BD5E35"/>
    <w:rsid w:val="00BD5F4A"/>
    <w:rsid w:val="00BD6166"/>
    <w:rsid w:val="00BD618E"/>
    <w:rsid w:val="00BD628B"/>
    <w:rsid w:val="00BD6433"/>
    <w:rsid w:val="00BD6627"/>
    <w:rsid w:val="00BD68E3"/>
    <w:rsid w:val="00BD6949"/>
    <w:rsid w:val="00BD6F33"/>
    <w:rsid w:val="00BD6F5D"/>
    <w:rsid w:val="00BD70E3"/>
    <w:rsid w:val="00BD72A9"/>
    <w:rsid w:val="00BD761A"/>
    <w:rsid w:val="00BD797D"/>
    <w:rsid w:val="00BD7AE4"/>
    <w:rsid w:val="00BD7B16"/>
    <w:rsid w:val="00BD7CF7"/>
    <w:rsid w:val="00BE0055"/>
    <w:rsid w:val="00BE0427"/>
    <w:rsid w:val="00BE04D4"/>
    <w:rsid w:val="00BE050A"/>
    <w:rsid w:val="00BE095B"/>
    <w:rsid w:val="00BE0A9F"/>
    <w:rsid w:val="00BE0B4B"/>
    <w:rsid w:val="00BE0B60"/>
    <w:rsid w:val="00BE0BB3"/>
    <w:rsid w:val="00BE0C38"/>
    <w:rsid w:val="00BE0E0C"/>
    <w:rsid w:val="00BE113C"/>
    <w:rsid w:val="00BE127B"/>
    <w:rsid w:val="00BE14DA"/>
    <w:rsid w:val="00BE15C4"/>
    <w:rsid w:val="00BE1825"/>
    <w:rsid w:val="00BE19BB"/>
    <w:rsid w:val="00BE1B0A"/>
    <w:rsid w:val="00BE1CAF"/>
    <w:rsid w:val="00BE1CF9"/>
    <w:rsid w:val="00BE1DDB"/>
    <w:rsid w:val="00BE1E17"/>
    <w:rsid w:val="00BE1EF8"/>
    <w:rsid w:val="00BE27E6"/>
    <w:rsid w:val="00BE2906"/>
    <w:rsid w:val="00BE2944"/>
    <w:rsid w:val="00BE2A07"/>
    <w:rsid w:val="00BE2B2B"/>
    <w:rsid w:val="00BE2C1F"/>
    <w:rsid w:val="00BE2D89"/>
    <w:rsid w:val="00BE2F60"/>
    <w:rsid w:val="00BE3130"/>
    <w:rsid w:val="00BE3196"/>
    <w:rsid w:val="00BE31C2"/>
    <w:rsid w:val="00BE328C"/>
    <w:rsid w:val="00BE3418"/>
    <w:rsid w:val="00BE34AA"/>
    <w:rsid w:val="00BE35E1"/>
    <w:rsid w:val="00BE36FD"/>
    <w:rsid w:val="00BE379F"/>
    <w:rsid w:val="00BE3804"/>
    <w:rsid w:val="00BE3CB9"/>
    <w:rsid w:val="00BE3D13"/>
    <w:rsid w:val="00BE3DFC"/>
    <w:rsid w:val="00BE400C"/>
    <w:rsid w:val="00BE41AE"/>
    <w:rsid w:val="00BE42E3"/>
    <w:rsid w:val="00BE44AE"/>
    <w:rsid w:val="00BE47DB"/>
    <w:rsid w:val="00BE4809"/>
    <w:rsid w:val="00BE485E"/>
    <w:rsid w:val="00BE4905"/>
    <w:rsid w:val="00BE492B"/>
    <w:rsid w:val="00BE498B"/>
    <w:rsid w:val="00BE4A65"/>
    <w:rsid w:val="00BE5232"/>
    <w:rsid w:val="00BE525F"/>
    <w:rsid w:val="00BE53A0"/>
    <w:rsid w:val="00BE5512"/>
    <w:rsid w:val="00BE55E0"/>
    <w:rsid w:val="00BE57BC"/>
    <w:rsid w:val="00BE57E2"/>
    <w:rsid w:val="00BE57FB"/>
    <w:rsid w:val="00BE58EE"/>
    <w:rsid w:val="00BE59E3"/>
    <w:rsid w:val="00BE5A7E"/>
    <w:rsid w:val="00BE5C1F"/>
    <w:rsid w:val="00BE5E74"/>
    <w:rsid w:val="00BE6097"/>
    <w:rsid w:val="00BE60B9"/>
    <w:rsid w:val="00BE611F"/>
    <w:rsid w:val="00BE6231"/>
    <w:rsid w:val="00BE646E"/>
    <w:rsid w:val="00BE6489"/>
    <w:rsid w:val="00BE64C6"/>
    <w:rsid w:val="00BE6849"/>
    <w:rsid w:val="00BE6993"/>
    <w:rsid w:val="00BE6A5E"/>
    <w:rsid w:val="00BE6B1F"/>
    <w:rsid w:val="00BE6B45"/>
    <w:rsid w:val="00BE7558"/>
    <w:rsid w:val="00BE79F4"/>
    <w:rsid w:val="00BE7DA9"/>
    <w:rsid w:val="00BF0233"/>
    <w:rsid w:val="00BF0386"/>
    <w:rsid w:val="00BF03E1"/>
    <w:rsid w:val="00BF0417"/>
    <w:rsid w:val="00BF04A6"/>
    <w:rsid w:val="00BF073A"/>
    <w:rsid w:val="00BF0777"/>
    <w:rsid w:val="00BF07E1"/>
    <w:rsid w:val="00BF0A7A"/>
    <w:rsid w:val="00BF0B1B"/>
    <w:rsid w:val="00BF0C0A"/>
    <w:rsid w:val="00BF0D49"/>
    <w:rsid w:val="00BF0EC7"/>
    <w:rsid w:val="00BF124E"/>
    <w:rsid w:val="00BF13BD"/>
    <w:rsid w:val="00BF13FD"/>
    <w:rsid w:val="00BF1842"/>
    <w:rsid w:val="00BF1969"/>
    <w:rsid w:val="00BF19DE"/>
    <w:rsid w:val="00BF1A87"/>
    <w:rsid w:val="00BF1F93"/>
    <w:rsid w:val="00BF2157"/>
    <w:rsid w:val="00BF2790"/>
    <w:rsid w:val="00BF279C"/>
    <w:rsid w:val="00BF2935"/>
    <w:rsid w:val="00BF2A60"/>
    <w:rsid w:val="00BF2A86"/>
    <w:rsid w:val="00BF2AC0"/>
    <w:rsid w:val="00BF2D34"/>
    <w:rsid w:val="00BF2EB5"/>
    <w:rsid w:val="00BF2FD4"/>
    <w:rsid w:val="00BF321C"/>
    <w:rsid w:val="00BF3248"/>
    <w:rsid w:val="00BF3433"/>
    <w:rsid w:val="00BF3772"/>
    <w:rsid w:val="00BF37E8"/>
    <w:rsid w:val="00BF39BC"/>
    <w:rsid w:val="00BF3A40"/>
    <w:rsid w:val="00BF3AC6"/>
    <w:rsid w:val="00BF3BB4"/>
    <w:rsid w:val="00BF3C2F"/>
    <w:rsid w:val="00BF3F33"/>
    <w:rsid w:val="00BF43B5"/>
    <w:rsid w:val="00BF46C6"/>
    <w:rsid w:val="00BF471B"/>
    <w:rsid w:val="00BF48B6"/>
    <w:rsid w:val="00BF4A50"/>
    <w:rsid w:val="00BF4D1D"/>
    <w:rsid w:val="00BF4DAC"/>
    <w:rsid w:val="00BF4E6D"/>
    <w:rsid w:val="00BF5108"/>
    <w:rsid w:val="00BF5164"/>
    <w:rsid w:val="00BF51F6"/>
    <w:rsid w:val="00BF5723"/>
    <w:rsid w:val="00BF58B7"/>
    <w:rsid w:val="00BF5A91"/>
    <w:rsid w:val="00BF5C04"/>
    <w:rsid w:val="00BF5CA0"/>
    <w:rsid w:val="00BF5CF6"/>
    <w:rsid w:val="00BF5D83"/>
    <w:rsid w:val="00BF5F67"/>
    <w:rsid w:val="00BF6004"/>
    <w:rsid w:val="00BF6066"/>
    <w:rsid w:val="00BF6298"/>
    <w:rsid w:val="00BF62A0"/>
    <w:rsid w:val="00BF62B1"/>
    <w:rsid w:val="00BF639B"/>
    <w:rsid w:val="00BF6501"/>
    <w:rsid w:val="00BF65EB"/>
    <w:rsid w:val="00BF6AB5"/>
    <w:rsid w:val="00BF6C80"/>
    <w:rsid w:val="00BF6F90"/>
    <w:rsid w:val="00BF710D"/>
    <w:rsid w:val="00BF719E"/>
    <w:rsid w:val="00BF72E1"/>
    <w:rsid w:val="00BF7311"/>
    <w:rsid w:val="00BF7582"/>
    <w:rsid w:val="00BF7750"/>
    <w:rsid w:val="00BF7984"/>
    <w:rsid w:val="00BF7A47"/>
    <w:rsid w:val="00BF7AC0"/>
    <w:rsid w:val="00BF7B7D"/>
    <w:rsid w:val="00BF7D31"/>
    <w:rsid w:val="00C00006"/>
    <w:rsid w:val="00C00082"/>
    <w:rsid w:val="00C004B1"/>
    <w:rsid w:val="00C00800"/>
    <w:rsid w:val="00C0097A"/>
    <w:rsid w:val="00C00A92"/>
    <w:rsid w:val="00C00BFC"/>
    <w:rsid w:val="00C00C6C"/>
    <w:rsid w:val="00C01097"/>
    <w:rsid w:val="00C011AB"/>
    <w:rsid w:val="00C011D1"/>
    <w:rsid w:val="00C0125B"/>
    <w:rsid w:val="00C013FF"/>
    <w:rsid w:val="00C01814"/>
    <w:rsid w:val="00C019A4"/>
    <w:rsid w:val="00C019EA"/>
    <w:rsid w:val="00C01AAC"/>
    <w:rsid w:val="00C01BC2"/>
    <w:rsid w:val="00C01C14"/>
    <w:rsid w:val="00C01ED7"/>
    <w:rsid w:val="00C020E0"/>
    <w:rsid w:val="00C0214D"/>
    <w:rsid w:val="00C022CB"/>
    <w:rsid w:val="00C027A8"/>
    <w:rsid w:val="00C02814"/>
    <w:rsid w:val="00C02A8A"/>
    <w:rsid w:val="00C02C9C"/>
    <w:rsid w:val="00C02DAF"/>
    <w:rsid w:val="00C02EA5"/>
    <w:rsid w:val="00C02F84"/>
    <w:rsid w:val="00C031C7"/>
    <w:rsid w:val="00C03222"/>
    <w:rsid w:val="00C03359"/>
    <w:rsid w:val="00C033B5"/>
    <w:rsid w:val="00C033D8"/>
    <w:rsid w:val="00C03631"/>
    <w:rsid w:val="00C0384B"/>
    <w:rsid w:val="00C0384F"/>
    <w:rsid w:val="00C03958"/>
    <w:rsid w:val="00C039AD"/>
    <w:rsid w:val="00C039DF"/>
    <w:rsid w:val="00C03A8E"/>
    <w:rsid w:val="00C03A91"/>
    <w:rsid w:val="00C03AA9"/>
    <w:rsid w:val="00C03B74"/>
    <w:rsid w:val="00C03D2E"/>
    <w:rsid w:val="00C03DEB"/>
    <w:rsid w:val="00C03F01"/>
    <w:rsid w:val="00C03FEB"/>
    <w:rsid w:val="00C03FF3"/>
    <w:rsid w:val="00C0411D"/>
    <w:rsid w:val="00C0418F"/>
    <w:rsid w:val="00C04190"/>
    <w:rsid w:val="00C04238"/>
    <w:rsid w:val="00C0426C"/>
    <w:rsid w:val="00C043DA"/>
    <w:rsid w:val="00C0448C"/>
    <w:rsid w:val="00C04670"/>
    <w:rsid w:val="00C046DA"/>
    <w:rsid w:val="00C047F1"/>
    <w:rsid w:val="00C04948"/>
    <w:rsid w:val="00C049DB"/>
    <w:rsid w:val="00C04AFA"/>
    <w:rsid w:val="00C04BFD"/>
    <w:rsid w:val="00C04D46"/>
    <w:rsid w:val="00C053B4"/>
    <w:rsid w:val="00C054CF"/>
    <w:rsid w:val="00C0552C"/>
    <w:rsid w:val="00C0563E"/>
    <w:rsid w:val="00C05894"/>
    <w:rsid w:val="00C059EE"/>
    <w:rsid w:val="00C05C18"/>
    <w:rsid w:val="00C05C63"/>
    <w:rsid w:val="00C05D0B"/>
    <w:rsid w:val="00C06076"/>
    <w:rsid w:val="00C060F7"/>
    <w:rsid w:val="00C0615C"/>
    <w:rsid w:val="00C061E6"/>
    <w:rsid w:val="00C06885"/>
    <w:rsid w:val="00C0689A"/>
    <w:rsid w:val="00C06A05"/>
    <w:rsid w:val="00C06DDA"/>
    <w:rsid w:val="00C07634"/>
    <w:rsid w:val="00C07928"/>
    <w:rsid w:val="00C079C0"/>
    <w:rsid w:val="00C07A29"/>
    <w:rsid w:val="00C07A2C"/>
    <w:rsid w:val="00C07B94"/>
    <w:rsid w:val="00C07C4D"/>
    <w:rsid w:val="00C07C97"/>
    <w:rsid w:val="00C07CA4"/>
    <w:rsid w:val="00C100C1"/>
    <w:rsid w:val="00C101C7"/>
    <w:rsid w:val="00C1022A"/>
    <w:rsid w:val="00C103BF"/>
    <w:rsid w:val="00C10522"/>
    <w:rsid w:val="00C10690"/>
    <w:rsid w:val="00C107BE"/>
    <w:rsid w:val="00C107F4"/>
    <w:rsid w:val="00C10A52"/>
    <w:rsid w:val="00C10B00"/>
    <w:rsid w:val="00C10B55"/>
    <w:rsid w:val="00C10B93"/>
    <w:rsid w:val="00C10E20"/>
    <w:rsid w:val="00C10F0C"/>
    <w:rsid w:val="00C10F84"/>
    <w:rsid w:val="00C10F97"/>
    <w:rsid w:val="00C11034"/>
    <w:rsid w:val="00C1112A"/>
    <w:rsid w:val="00C112CB"/>
    <w:rsid w:val="00C11393"/>
    <w:rsid w:val="00C113D1"/>
    <w:rsid w:val="00C115F5"/>
    <w:rsid w:val="00C1163B"/>
    <w:rsid w:val="00C117B0"/>
    <w:rsid w:val="00C11940"/>
    <w:rsid w:val="00C119FF"/>
    <w:rsid w:val="00C11CBF"/>
    <w:rsid w:val="00C11CF5"/>
    <w:rsid w:val="00C11D78"/>
    <w:rsid w:val="00C11DC7"/>
    <w:rsid w:val="00C11EEB"/>
    <w:rsid w:val="00C11FE7"/>
    <w:rsid w:val="00C12093"/>
    <w:rsid w:val="00C12144"/>
    <w:rsid w:val="00C12293"/>
    <w:rsid w:val="00C123D3"/>
    <w:rsid w:val="00C123F3"/>
    <w:rsid w:val="00C12478"/>
    <w:rsid w:val="00C129A8"/>
    <w:rsid w:val="00C129C6"/>
    <w:rsid w:val="00C12A62"/>
    <w:rsid w:val="00C12CDB"/>
    <w:rsid w:val="00C12EB6"/>
    <w:rsid w:val="00C12F90"/>
    <w:rsid w:val="00C13428"/>
    <w:rsid w:val="00C13456"/>
    <w:rsid w:val="00C13783"/>
    <w:rsid w:val="00C138BD"/>
    <w:rsid w:val="00C13A1F"/>
    <w:rsid w:val="00C13AAB"/>
    <w:rsid w:val="00C13AC9"/>
    <w:rsid w:val="00C13B17"/>
    <w:rsid w:val="00C13D3A"/>
    <w:rsid w:val="00C13F09"/>
    <w:rsid w:val="00C143BF"/>
    <w:rsid w:val="00C144ED"/>
    <w:rsid w:val="00C147EE"/>
    <w:rsid w:val="00C148C0"/>
    <w:rsid w:val="00C1496F"/>
    <w:rsid w:val="00C14B93"/>
    <w:rsid w:val="00C14E45"/>
    <w:rsid w:val="00C150B0"/>
    <w:rsid w:val="00C15188"/>
    <w:rsid w:val="00C1555C"/>
    <w:rsid w:val="00C155CE"/>
    <w:rsid w:val="00C15AD6"/>
    <w:rsid w:val="00C15B8C"/>
    <w:rsid w:val="00C15C67"/>
    <w:rsid w:val="00C15D65"/>
    <w:rsid w:val="00C15E87"/>
    <w:rsid w:val="00C15FA4"/>
    <w:rsid w:val="00C163F2"/>
    <w:rsid w:val="00C16405"/>
    <w:rsid w:val="00C16605"/>
    <w:rsid w:val="00C166A2"/>
    <w:rsid w:val="00C167E6"/>
    <w:rsid w:val="00C169CF"/>
    <w:rsid w:val="00C16BB1"/>
    <w:rsid w:val="00C16D20"/>
    <w:rsid w:val="00C17172"/>
    <w:rsid w:val="00C17276"/>
    <w:rsid w:val="00C172AD"/>
    <w:rsid w:val="00C172B3"/>
    <w:rsid w:val="00C173D9"/>
    <w:rsid w:val="00C17663"/>
    <w:rsid w:val="00C1766A"/>
    <w:rsid w:val="00C177E5"/>
    <w:rsid w:val="00C17A31"/>
    <w:rsid w:val="00C17B54"/>
    <w:rsid w:val="00C17CDD"/>
    <w:rsid w:val="00C17CDF"/>
    <w:rsid w:val="00C17E04"/>
    <w:rsid w:val="00C17EEB"/>
    <w:rsid w:val="00C202D7"/>
    <w:rsid w:val="00C202E6"/>
    <w:rsid w:val="00C2032E"/>
    <w:rsid w:val="00C2039F"/>
    <w:rsid w:val="00C20600"/>
    <w:rsid w:val="00C20A62"/>
    <w:rsid w:val="00C20A67"/>
    <w:rsid w:val="00C20B81"/>
    <w:rsid w:val="00C20C8D"/>
    <w:rsid w:val="00C20F2D"/>
    <w:rsid w:val="00C21149"/>
    <w:rsid w:val="00C21549"/>
    <w:rsid w:val="00C215CA"/>
    <w:rsid w:val="00C21875"/>
    <w:rsid w:val="00C21890"/>
    <w:rsid w:val="00C218D5"/>
    <w:rsid w:val="00C21CE1"/>
    <w:rsid w:val="00C21DA8"/>
    <w:rsid w:val="00C21E90"/>
    <w:rsid w:val="00C22039"/>
    <w:rsid w:val="00C22179"/>
    <w:rsid w:val="00C2233F"/>
    <w:rsid w:val="00C224F5"/>
    <w:rsid w:val="00C22866"/>
    <w:rsid w:val="00C2291A"/>
    <w:rsid w:val="00C229D5"/>
    <w:rsid w:val="00C22D92"/>
    <w:rsid w:val="00C22F01"/>
    <w:rsid w:val="00C23375"/>
    <w:rsid w:val="00C2339A"/>
    <w:rsid w:val="00C23532"/>
    <w:rsid w:val="00C2353C"/>
    <w:rsid w:val="00C238BB"/>
    <w:rsid w:val="00C238D1"/>
    <w:rsid w:val="00C23C74"/>
    <w:rsid w:val="00C23E8E"/>
    <w:rsid w:val="00C24117"/>
    <w:rsid w:val="00C24189"/>
    <w:rsid w:val="00C2418F"/>
    <w:rsid w:val="00C24300"/>
    <w:rsid w:val="00C244E1"/>
    <w:rsid w:val="00C2453D"/>
    <w:rsid w:val="00C245B9"/>
    <w:rsid w:val="00C245FD"/>
    <w:rsid w:val="00C2469E"/>
    <w:rsid w:val="00C24728"/>
    <w:rsid w:val="00C247FF"/>
    <w:rsid w:val="00C24832"/>
    <w:rsid w:val="00C249EC"/>
    <w:rsid w:val="00C24A97"/>
    <w:rsid w:val="00C24B5F"/>
    <w:rsid w:val="00C24C67"/>
    <w:rsid w:val="00C24CDF"/>
    <w:rsid w:val="00C24CE7"/>
    <w:rsid w:val="00C24D66"/>
    <w:rsid w:val="00C24D88"/>
    <w:rsid w:val="00C24F39"/>
    <w:rsid w:val="00C25191"/>
    <w:rsid w:val="00C2537B"/>
    <w:rsid w:val="00C257AD"/>
    <w:rsid w:val="00C258ED"/>
    <w:rsid w:val="00C259DD"/>
    <w:rsid w:val="00C25C81"/>
    <w:rsid w:val="00C25D45"/>
    <w:rsid w:val="00C2603D"/>
    <w:rsid w:val="00C26083"/>
    <w:rsid w:val="00C26132"/>
    <w:rsid w:val="00C265D0"/>
    <w:rsid w:val="00C2670A"/>
    <w:rsid w:val="00C2679E"/>
    <w:rsid w:val="00C26989"/>
    <w:rsid w:val="00C26993"/>
    <w:rsid w:val="00C26A7C"/>
    <w:rsid w:val="00C26A9E"/>
    <w:rsid w:val="00C26CC2"/>
    <w:rsid w:val="00C27227"/>
    <w:rsid w:val="00C27386"/>
    <w:rsid w:val="00C27405"/>
    <w:rsid w:val="00C276F0"/>
    <w:rsid w:val="00C279B0"/>
    <w:rsid w:val="00C27A05"/>
    <w:rsid w:val="00C27A5B"/>
    <w:rsid w:val="00C27BF0"/>
    <w:rsid w:val="00C27CC2"/>
    <w:rsid w:val="00C27F71"/>
    <w:rsid w:val="00C30523"/>
    <w:rsid w:val="00C30648"/>
    <w:rsid w:val="00C30FA3"/>
    <w:rsid w:val="00C31007"/>
    <w:rsid w:val="00C31097"/>
    <w:rsid w:val="00C310FD"/>
    <w:rsid w:val="00C3125C"/>
    <w:rsid w:val="00C3180C"/>
    <w:rsid w:val="00C31845"/>
    <w:rsid w:val="00C31872"/>
    <w:rsid w:val="00C319A8"/>
    <w:rsid w:val="00C31A8D"/>
    <w:rsid w:val="00C31B78"/>
    <w:rsid w:val="00C31F68"/>
    <w:rsid w:val="00C322AE"/>
    <w:rsid w:val="00C32698"/>
    <w:rsid w:val="00C329DE"/>
    <w:rsid w:val="00C32DB8"/>
    <w:rsid w:val="00C32F9D"/>
    <w:rsid w:val="00C32FF7"/>
    <w:rsid w:val="00C33515"/>
    <w:rsid w:val="00C336F2"/>
    <w:rsid w:val="00C3378A"/>
    <w:rsid w:val="00C33823"/>
    <w:rsid w:val="00C33F2E"/>
    <w:rsid w:val="00C341EE"/>
    <w:rsid w:val="00C344BA"/>
    <w:rsid w:val="00C34A38"/>
    <w:rsid w:val="00C34B42"/>
    <w:rsid w:val="00C34C04"/>
    <w:rsid w:val="00C34C14"/>
    <w:rsid w:val="00C34DDA"/>
    <w:rsid w:val="00C35167"/>
    <w:rsid w:val="00C354FF"/>
    <w:rsid w:val="00C35758"/>
    <w:rsid w:val="00C358BB"/>
    <w:rsid w:val="00C358E1"/>
    <w:rsid w:val="00C359D4"/>
    <w:rsid w:val="00C35C83"/>
    <w:rsid w:val="00C35CB9"/>
    <w:rsid w:val="00C35F09"/>
    <w:rsid w:val="00C36428"/>
    <w:rsid w:val="00C365A6"/>
    <w:rsid w:val="00C36801"/>
    <w:rsid w:val="00C36972"/>
    <w:rsid w:val="00C36ABB"/>
    <w:rsid w:val="00C36AFE"/>
    <w:rsid w:val="00C36B84"/>
    <w:rsid w:val="00C36CCF"/>
    <w:rsid w:val="00C36D48"/>
    <w:rsid w:val="00C36DB6"/>
    <w:rsid w:val="00C36E79"/>
    <w:rsid w:val="00C36FEB"/>
    <w:rsid w:val="00C370A4"/>
    <w:rsid w:val="00C37181"/>
    <w:rsid w:val="00C3724B"/>
    <w:rsid w:val="00C37424"/>
    <w:rsid w:val="00C3746A"/>
    <w:rsid w:val="00C375A3"/>
    <w:rsid w:val="00C37631"/>
    <w:rsid w:val="00C37636"/>
    <w:rsid w:val="00C376FA"/>
    <w:rsid w:val="00C37871"/>
    <w:rsid w:val="00C37A32"/>
    <w:rsid w:val="00C37B0F"/>
    <w:rsid w:val="00C37DF8"/>
    <w:rsid w:val="00C37F10"/>
    <w:rsid w:val="00C4046A"/>
    <w:rsid w:val="00C40524"/>
    <w:rsid w:val="00C40A8A"/>
    <w:rsid w:val="00C40C15"/>
    <w:rsid w:val="00C40E55"/>
    <w:rsid w:val="00C40F6E"/>
    <w:rsid w:val="00C4103F"/>
    <w:rsid w:val="00C4116B"/>
    <w:rsid w:val="00C41757"/>
    <w:rsid w:val="00C4182B"/>
    <w:rsid w:val="00C42003"/>
    <w:rsid w:val="00C420A0"/>
    <w:rsid w:val="00C42294"/>
    <w:rsid w:val="00C4259F"/>
    <w:rsid w:val="00C4271C"/>
    <w:rsid w:val="00C42910"/>
    <w:rsid w:val="00C42B41"/>
    <w:rsid w:val="00C42B58"/>
    <w:rsid w:val="00C42D12"/>
    <w:rsid w:val="00C42D42"/>
    <w:rsid w:val="00C42F02"/>
    <w:rsid w:val="00C430A8"/>
    <w:rsid w:val="00C43117"/>
    <w:rsid w:val="00C431D0"/>
    <w:rsid w:val="00C432D0"/>
    <w:rsid w:val="00C434D9"/>
    <w:rsid w:val="00C434E5"/>
    <w:rsid w:val="00C436C7"/>
    <w:rsid w:val="00C4377D"/>
    <w:rsid w:val="00C4389D"/>
    <w:rsid w:val="00C43AAE"/>
    <w:rsid w:val="00C43AE1"/>
    <w:rsid w:val="00C441A7"/>
    <w:rsid w:val="00C4484B"/>
    <w:rsid w:val="00C44B6B"/>
    <w:rsid w:val="00C44D07"/>
    <w:rsid w:val="00C44E01"/>
    <w:rsid w:val="00C44EE3"/>
    <w:rsid w:val="00C44FC6"/>
    <w:rsid w:val="00C45025"/>
    <w:rsid w:val="00C45125"/>
    <w:rsid w:val="00C45597"/>
    <w:rsid w:val="00C4583D"/>
    <w:rsid w:val="00C4598B"/>
    <w:rsid w:val="00C459CC"/>
    <w:rsid w:val="00C45A7D"/>
    <w:rsid w:val="00C45B05"/>
    <w:rsid w:val="00C45B9C"/>
    <w:rsid w:val="00C45F5A"/>
    <w:rsid w:val="00C45FD2"/>
    <w:rsid w:val="00C4631A"/>
    <w:rsid w:val="00C46541"/>
    <w:rsid w:val="00C46565"/>
    <w:rsid w:val="00C465C5"/>
    <w:rsid w:val="00C46710"/>
    <w:rsid w:val="00C46A30"/>
    <w:rsid w:val="00C46D63"/>
    <w:rsid w:val="00C46F46"/>
    <w:rsid w:val="00C47191"/>
    <w:rsid w:val="00C472A2"/>
    <w:rsid w:val="00C472B5"/>
    <w:rsid w:val="00C4736D"/>
    <w:rsid w:val="00C474CC"/>
    <w:rsid w:val="00C4774D"/>
    <w:rsid w:val="00C47866"/>
    <w:rsid w:val="00C47B8A"/>
    <w:rsid w:val="00C47DEB"/>
    <w:rsid w:val="00C47E81"/>
    <w:rsid w:val="00C47F1B"/>
    <w:rsid w:val="00C47F72"/>
    <w:rsid w:val="00C50043"/>
    <w:rsid w:val="00C502C2"/>
    <w:rsid w:val="00C50352"/>
    <w:rsid w:val="00C504FC"/>
    <w:rsid w:val="00C50CA7"/>
    <w:rsid w:val="00C50DFE"/>
    <w:rsid w:val="00C50EFC"/>
    <w:rsid w:val="00C50FA7"/>
    <w:rsid w:val="00C5126B"/>
    <w:rsid w:val="00C513B3"/>
    <w:rsid w:val="00C515F6"/>
    <w:rsid w:val="00C51999"/>
    <w:rsid w:val="00C51A74"/>
    <w:rsid w:val="00C51B6F"/>
    <w:rsid w:val="00C51C2D"/>
    <w:rsid w:val="00C51C5C"/>
    <w:rsid w:val="00C521B2"/>
    <w:rsid w:val="00C5228D"/>
    <w:rsid w:val="00C5286F"/>
    <w:rsid w:val="00C52C1B"/>
    <w:rsid w:val="00C53134"/>
    <w:rsid w:val="00C531EB"/>
    <w:rsid w:val="00C5336B"/>
    <w:rsid w:val="00C53798"/>
    <w:rsid w:val="00C53881"/>
    <w:rsid w:val="00C53927"/>
    <w:rsid w:val="00C539FB"/>
    <w:rsid w:val="00C53A05"/>
    <w:rsid w:val="00C53E6F"/>
    <w:rsid w:val="00C540CC"/>
    <w:rsid w:val="00C541A8"/>
    <w:rsid w:val="00C544F2"/>
    <w:rsid w:val="00C54518"/>
    <w:rsid w:val="00C54663"/>
    <w:rsid w:val="00C5490A"/>
    <w:rsid w:val="00C54AB8"/>
    <w:rsid w:val="00C54BAF"/>
    <w:rsid w:val="00C54CA0"/>
    <w:rsid w:val="00C54DE0"/>
    <w:rsid w:val="00C54E1D"/>
    <w:rsid w:val="00C5500B"/>
    <w:rsid w:val="00C55108"/>
    <w:rsid w:val="00C551E0"/>
    <w:rsid w:val="00C5539C"/>
    <w:rsid w:val="00C553F0"/>
    <w:rsid w:val="00C553F1"/>
    <w:rsid w:val="00C55559"/>
    <w:rsid w:val="00C556B2"/>
    <w:rsid w:val="00C556D5"/>
    <w:rsid w:val="00C557E2"/>
    <w:rsid w:val="00C558E8"/>
    <w:rsid w:val="00C559E3"/>
    <w:rsid w:val="00C55B08"/>
    <w:rsid w:val="00C55EEA"/>
    <w:rsid w:val="00C56055"/>
    <w:rsid w:val="00C56237"/>
    <w:rsid w:val="00C5626C"/>
    <w:rsid w:val="00C562D0"/>
    <w:rsid w:val="00C56423"/>
    <w:rsid w:val="00C567BD"/>
    <w:rsid w:val="00C56AFD"/>
    <w:rsid w:val="00C56F40"/>
    <w:rsid w:val="00C578B2"/>
    <w:rsid w:val="00C57EA9"/>
    <w:rsid w:val="00C601A4"/>
    <w:rsid w:val="00C60280"/>
    <w:rsid w:val="00C60505"/>
    <w:rsid w:val="00C605A5"/>
    <w:rsid w:val="00C60909"/>
    <w:rsid w:val="00C609E3"/>
    <w:rsid w:val="00C60AA5"/>
    <w:rsid w:val="00C60C72"/>
    <w:rsid w:val="00C60DB4"/>
    <w:rsid w:val="00C60EBD"/>
    <w:rsid w:val="00C610F3"/>
    <w:rsid w:val="00C61381"/>
    <w:rsid w:val="00C6138C"/>
    <w:rsid w:val="00C61496"/>
    <w:rsid w:val="00C61539"/>
    <w:rsid w:val="00C61608"/>
    <w:rsid w:val="00C616F3"/>
    <w:rsid w:val="00C61A55"/>
    <w:rsid w:val="00C61BD6"/>
    <w:rsid w:val="00C61C4A"/>
    <w:rsid w:val="00C61CF8"/>
    <w:rsid w:val="00C61CFC"/>
    <w:rsid w:val="00C61EDA"/>
    <w:rsid w:val="00C61F1D"/>
    <w:rsid w:val="00C61F8B"/>
    <w:rsid w:val="00C62005"/>
    <w:rsid w:val="00C620DA"/>
    <w:rsid w:val="00C62215"/>
    <w:rsid w:val="00C622DB"/>
    <w:rsid w:val="00C624A0"/>
    <w:rsid w:val="00C624C5"/>
    <w:rsid w:val="00C624CF"/>
    <w:rsid w:val="00C62581"/>
    <w:rsid w:val="00C626F7"/>
    <w:rsid w:val="00C627C4"/>
    <w:rsid w:val="00C629B1"/>
    <w:rsid w:val="00C62C14"/>
    <w:rsid w:val="00C62CC3"/>
    <w:rsid w:val="00C62D14"/>
    <w:rsid w:val="00C62ED1"/>
    <w:rsid w:val="00C6348A"/>
    <w:rsid w:val="00C63880"/>
    <w:rsid w:val="00C63A39"/>
    <w:rsid w:val="00C63B50"/>
    <w:rsid w:val="00C63BA6"/>
    <w:rsid w:val="00C63DC5"/>
    <w:rsid w:val="00C63E40"/>
    <w:rsid w:val="00C64051"/>
    <w:rsid w:val="00C64195"/>
    <w:rsid w:val="00C64482"/>
    <w:rsid w:val="00C64533"/>
    <w:rsid w:val="00C64676"/>
    <w:rsid w:val="00C64929"/>
    <w:rsid w:val="00C6493C"/>
    <w:rsid w:val="00C64A7A"/>
    <w:rsid w:val="00C64B15"/>
    <w:rsid w:val="00C64C83"/>
    <w:rsid w:val="00C64C90"/>
    <w:rsid w:val="00C64CF3"/>
    <w:rsid w:val="00C6502F"/>
    <w:rsid w:val="00C6547D"/>
    <w:rsid w:val="00C65593"/>
    <w:rsid w:val="00C6568C"/>
    <w:rsid w:val="00C657A4"/>
    <w:rsid w:val="00C65E86"/>
    <w:rsid w:val="00C65F2C"/>
    <w:rsid w:val="00C65F68"/>
    <w:rsid w:val="00C65FC1"/>
    <w:rsid w:val="00C6600D"/>
    <w:rsid w:val="00C660D9"/>
    <w:rsid w:val="00C6618A"/>
    <w:rsid w:val="00C6657C"/>
    <w:rsid w:val="00C665AD"/>
    <w:rsid w:val="00C66706"/>
    <w:rsid w:val="00C6681E"/>
    <w:rsid w:val="00C66820"/>
    <w:rsid w:val="00C668C2"/>
    <w:rsid w:val="00C66AD6"/>
    <w:rsid w:val="00C66B60"/>
    <w:rsid w:val="00C66C01"/>
    <w:rsid w:val="00C66C88"/>
    <w:rsid w:val="00C66CDA"/>
    <w:rsid w:val="00C66DD2"/>
    <w:rsid w:val="00C66E10"/>
    <w:rsid w:val="00C66EDA"/>
    <w:rsid w:val="00C6724E"/>
    <w:rsid w:val="00C67351"/>
    <w:rsid w:val="00C6752F"/>
    <w:rsid w:val="00C6773E"/>
    <w:rsid w:val="00C6778C"/>
    <w:rsid w:val="00C677BB"/>
    <w:rsid w:val="00C67973"/>
    <w:rsid w:val="00C679D8"/>
    <w:rsid w:val="00C67C47"/>
    <w:rsid w:val="00C67C95"/>
    <w:rsid w:val="00C67C9A"/>
    <w:rsid w:val="00C70007"/>
    <w:rsid w:val="00C70090"/>
    <w:rsid w:val="00C702E2"/>
    <w:rsid w:val="00C7084F"/>
    <w:rsid w:val="00C70A46"/>
    <w:rsid w:val="00C70A50"/>
    <w:rsid w:val="00C70B26"/>
    <w:rsid w:val="00C70BD3"/>
    <w:rsid w:val="00C70C42"/>
    <w:rsid w:val="00C70D69"/>
    <w:rsid w:val="00C70D8B"/>
    <w:rsid w:val="00C70F63"/>
    <w:rsid w:val="00C70FAC"/>
    <w:rsid w:val="00C71156"/>
    <w:rsid w:val="00C71305"/>
    <w:rsid w:val="00C713D5"/>
    <w:rsid w:val="00C71961"/>
    <w:rsid w:val="00C719B8"/>
    <w:rsid w:val="00C71B08"/>
    <w:rsid w:val="00C71D32"/>
    <w:rsid w:val="00C71E9E"/>
    <w:rsid w:val="00C7249E"/>
    <w:rsid w:val="00C729B4"/>
    <w:rsid w:val="00C72A15"/>
    <w:rsid w:val="00C72B58"/>
    <w:rsid w:val="00C72C6C"/>
    <w:rsid w:val="00C72D35"/>
    <w:rsid w:val="00C72E58"/>
    <w:rsid w:val="00C72ED1"/>
    <w:rsid w:val="00C73233"/>
    <w:rsid w:val="00C732C7"/>
    <w:rsid w:val="00C732FA"/>
    <w:rsid w:val="00C73382"/>
    <w:rsid w:val="00C734D2"/>
    <w:rsid w:val="00C736DD"/>
    <w:rsid w:val="00C736E9"/>
    <w:rsid w:val="00C73852"/>
    <w:rsid w:val="00C738DC"/>
    <w:rsid w:val="00C742DF"/>
    <w:rsid w:val="00C74600"/>
    <w:rsid w:val="00C74ACB"/>
    <w:rsid w:val="00C74DF0"/>
    <w:rsid w:val="00C74E9A"/>
    <w:rsid w:val="00C74F76"/>
    <w:rsid w:val="00C7506A"/>
    <w:rsid w:val="00C750B7"/>
    <w:rsid w:val="00C754E2"/>
    <w:rsid w:val="00C755C3"/>
    <w:rsid w:val="00C75780"/>
    <w:rsid w:val="00C75792"/>
    <w:rsid w:val="00C75906"/>
    <w:rsid w:val="00C75941"/>
    <w:rsid w:val="00C7598F"/>
    <w:rsid w:val="00C759F5"/>
    <w:rsid w:val="00C75A10"/>
    <w:rsid w:val="00C75B0C"/>
    <w:rsid w:val="00C75B58"/>
    <w:rsid w:val="00C75BB6"/>
    <w:rsid w:val="00C75C96"/>
    <w:rsid w:val="00C75D72"/>
    <w:rsid w:val="00C75D91"/>
    <w:rsid w:val="00C75E67"/>
    <w:rsid w:val="00C76154"/>
    <w:rsid w:val="00C762C1"/>
    <w:rsid w:val="00C76823"/>
    <w:rsid w:val="00C7689B"/>
    <w:rsid w:val="00C7692C"/>
    <w:rsid w:val="00C76937"/>
    <w:rsid w:val="00C76AB2"/>
    <w:rsid w:val="00C76BFF"/>
    <w:rsid w:val="00C76CA8"/>
    <w:rsid w:val="00C76EA8"/>
    <w:rsid w:val="00C76EC3"/>
    <w:rsid w:val="00C76F15"/>
    <w:rsid w:val="00C76F21"/>
    <w:rsid w:val="00C76FEF"/>
    <w:rsid w:val="00C77125"/>
    <w:rsid w:val="00C7713B"/>
    <w:rsid w:val="00C771EA"/>
    <w:rsid w:val="00C775C6"/>
    <w:rsid w:val="00C776DB"/>
    <w:rsid w:val="00C777AD"/>
    <w:rsid w:val="00C77B45"/>
    <w:rsid w:val="00C77BC1"/>
    <w:rsid w:val="00C77D13"/>
    <w:rsid w:val="00C80057"/>
    <w:rsid w:val="00C80111"/>
    <w:rsid w:val="00C802B4"/>
    <w:rsid w:val="00C8037A"/>
    <w:rsid w:val="00C80444"/>
    <w:rsid w:val="00C804F9"/>
    <w:rsid w:val="00C8056C"/>
    <w:rsid w:val="00C80A13"/>
    <w:rsid w:val="00C80BD7"/>
    <w:rsid w:val="00C80DD6"/>
    <w:rsid w:val="00C810CB"/>
    <w:rsid w:val="00C81166"/>
    <w:rsid w:val="00C814CC"/>
    <w:rsid w:val="00C814DB"/>
    <w:rsid w:val="00C81567"/>
    <w:rsid w:val="00C815A6"/>
    <w:rsid w:val="00C81815"/>
    <w:rsid w:val="00C81C63"/>
    <w:rsid w:val="00C81C6B"/>
    <w:rsid w:val="00C81CD6"/>
    <w:rsid w:val="00C81DAF"/>
    <w:rsid w:val="00C81FD6"/>
    <w:rsid w:val="00C82040"/>
    <w:rsid w:val="00C820BA"/>
    <w:rsid w:val="00C827C8"/>
    <w:rsid w:val="00C829F1"/>
    <w:rsid w:val="00C82CA2"/>
    <w:rsid w:val="00C82DF1"/>
    <w:rsid w:val="00C8337C"/>
    <w:rsid w:val="00C834B5"/>
    <w:rsid w:val="00C8373E"/>
    <w:rsid w:val="00C838A6"/>
    <w:rsid w:val="00C83B05"/>
    <w:rsid w:val="00C83BD8"/>
    <w:rsid w:val="00C83E81"/>
    <w:rsid w:val="00C83E84"/>
    <w:rsid w:val="00C8406B"/>
    <w:rsid w:val="00C84560"/>
    <w:rsid w:val="00C845F7"/>
    <w:rsid w:val="00C846B4"/>
    <w:rsid w:val="00C852A3"/>
    <w:rsid w:val="00C852E4"/>
    <w:rsid w:val="00C85477"/>
    <w:rsid w:val="00C85649"/>
    <w:rsid w:val="00C85669"/>
    <w:rsid w:val="00C85821"/>
    <w:rsid w:val="00C858DD"/>
    <w:rsid w:val="00C859B0"/>
    <w:rsid w:val="00C85AAB"/>
    <w:rsid w:val="00C85AE7"/>
    <w:rsid w:val="00C85C0D"/>
    <w:rsid w:val="00C85CC6"/>
    <w:rsid w:val="00C85E76"/>
    <w:rsid w:val="00C860B9"/>
    <w:rsid w:val="00C8610E"/>
    <w:rsid w:val="00C86177"/>
    <w:rsid w:val="00C86210"/>
    <w:rsid w:val="00C862E7"/>
    <w:rsid w:val="00C86345"/>
    <w:rsid w:val="00C865F2"/>
    <w:rsid w:val="00C86AAF"/>
    <w:rsid w:val="00C86AF0"/>
    <w:rsid w:val="00C86CC4"/>
    <w:rsid w:val="00C86D98"/>
    <w:rsid w:val="00C86DB8"/>
    <w:rsid w:val="00C86F43"/>
    <w:rsid w:val="00C870AB"/>
    <w:rsid w:val="00C8710E"/>
    <w:rsid w:val="00C87129"/>
    <w:rsid w:val="00C87326"/>
    <w:rsid w:val="00C87630"/>
    <w:rsid w:val="00C87907"/>
    <w:rsid w:val="00C87A44"/>
    <w:rsid w:val="00C87EC4"/>
    <w:rsid w:val="00C90212"/>
    <w:rsid w:val="00C902AB"/>
    <w:rsid w:val="00C907D7"/>
    <w:rsid w:val="00C90876"/>
    <w:rsid w:val="00C90897"/>
    <w:rsid w:val="00C90A40"/>
    <w:rsid w:val="00C90AF9"/>
    <w:rsid w:val="00C90DDF"/>
    <w:rsid w:val="00C90DF2"/>
    <w:rsid w:val="00C91119"/>
    <w:rsid w:val="00C9112D"/>
    <w:rsid w:val="00C915DA"/>
    <w:rsid w:val="00C91624"/>
    <w:rsid w:val="00C91807"/>
    <w:rsid w:val="00C918D3"/>
    <w:rsid w:val="00C91A6D"/>
    <w:rsid w:val="00C91CDE"/>
    <w:rsid w:val="00C92194"/>
    <w:rsid w:val="00C9249A"/>
    <w:rsid w:val="00C927E7"/>
    <w:rsid w:val="00C92B5E"/>
    <w:rsid w:val="00C92EBC"/>
    <w:rsid w:val="00C9304C"/>
    <w:rsid w:val="00C93062"/>
    <w:rsid w:val="00C93139"/>
    <w:rsid w:val="00C932AE"/>
    <w:rsid w:val="00C93940"/>
    <w:rsid w:val="00C93A98"/>
    <w:rsid w:val="00C93E58"/>
    <w:rsid w:val="00C94484"/>
    <w:rsid w:val="00C945F7"/>
    <w:rsid w:val="00C9488D"/>
    <w:rsid w:val="00C94925"/>
    <w:rsid w:val="00C949B6"/>
    <w:rsid w:val="00C949D8"/>
    <w:rsid w:val="00C94A76"/>
    <w:rsid w:val="00C94E95"/>
    <w:rsid w:val="00C9517E"/>
    <w:rsid w:val="00C952AC"/>
    <w:rsid w:val="00C95491"/>
    <w:rsid w:val="00C954F8"/>
    <w:rsid w:val="00C9554A"/>
    <w:rsid w:val="00C95584"/>
    <w:rsid w:val="00C9562D"/>
    <w:rsid w:val="00C9568C"/>
    <w:rsid w:val="00C9572B"/>
    <w:rsid w:val="00C95843"/>
    <w:rsid w:val="00C95E57"/>
    <w:rsid w:val="00C95EC1"/>
    <w:rsid w:val="00C961A9"/>
    <w:rsid w:val="00C961EF"/>
    <w:rsid w:val="00C964D3"/>
    <w:rsid w:val="00C965DA"/>
    <w:rsid w:val="00C96E41"/>
    <w:rsid w:val="00C96E53"/>
    <w:rsid w:val="00C9709F"/>
    <w:rsid w:val="00C970BA"/>
    <w:rsid w:val="00C970F2"/>
    <w:rsid w:val="00C97199"/>
    <w:rsid w:val="00C97243"/>
    <w:rsid w:val="00C976C7"/>
    <w:rsid w:val="00C9776C"/>
    <w:rsid w:val="00C97978"/>
    <w:rsid w:val="00C979F1"/>
    <w:rsid w:val="00C97B03"/>
    <w:rsid w:val="00CA01F6"/>
    <w:rsid w:val="00CA038C"/>
    <w:rsid w:val="00CA050F"/>
    <w:rsid w:val="00CA0D29"/>
    <w:rsid w:val="00CA0E28"/>
    <w:rsid w:val="00CA0E76"/>
    <w:rsid w:val="00CA1043"/>
    <w:rsid w:val="00CA10E1"/>
    <w:rsid w:val="00CA134C"/>
    <w:rsid w:val="00CA1528"/>
    <w:rsid w:val="00CA15D8"/>
    <w:rsid w:val="00CA168C"/>
    <w:rsid w:val="00CA1853"/>
    <w:rsid w:val="00CA1906"/>
    <w:rsid w:val="00CA1948"/>
    <w:rsid w:val="00CA1D01"/>
    <w:rsid w:val="00CA1F70"/>
    <w:rsid w:val="00CA2139"/>
    <w:rsid w:val="00CA215B"/>
    <w:rsid w:val="00CA21C6"/>
    <w:rsid w:val="00CA2376"/>
    <w:rsid w:val="00CA239C"/>
    <w:rsid w:val="00CA2951"/>
    <w:rsid w:val="00CA2BAE"/>
    <w:rsid w:val="00CA2F2E"/>
    <w:rsid w:val="00CA3060"/>
    <w:rsid w:val="00CA31D8"/>
    <w:rsid w:val="00CA347B"/>
    <w:rsid w:val="00CA3545"/>
    <w:rsid w:val="00CA35E9"/>
    <w:rsid w:val="00CA3974"/>
    <w:rsid w:val="00CA3C32"/>
    <w:rsid w:val="00CA3D0D"/>
    <w:rsid w:val="00CA41FD"/>
    <w:rsid w:val="00CA42EB"/>
    <w:rsid w:val="00CA4343"/>
    <w:rsid w:val="00CA4424"/>
    <w:rsid w:val="00CA4567"/>
    <w:rsid w:val="00CA45F7"/>
    <w:rsid w:val="00CA4816"/>
    <w:rsid w:val="00CA4BFE"/>
    <w:rsid w:val="00CA4C1B"/>
    <w:rsid w:val="00CA4CF4"/>
    <w:rsid w:val="00CA4EC9"/>
    <w:rsid w:val="00CA4FAF"/>
    <w:rsid w:val="00CA5767"/>
    <w:rsid w:val="00CA597D"/>
    <w:rsid w:val="00CA59BA"/>
    <w:rsid w:val="00CA5F39"/>
    <w:rsid w:val="00CA5FDD"/>
    <w:rsid w:val="00CA601C"/>
    <w:rsid w:val="00CA62B7"/>
    <w:rsid w:val="00CA642B"/>
    <w:rsid w:val="00CA679C"/>
    <w:rsid w:val="00CA6C1D"/>
    <w:rsid w:val="00CA6C4C"/>
    <w:rsid w:val="00CA6CD5"/>
    <w:rsid w:val="00CA6E28"/>
    <w:rsid w:val="00CA6F6B"/>
    <w:rsid w:val="00CA70CD"/>
    <w:rsid w:val="00CA716A"/>
    <w:rsid w:val="00CA7379"/>
    <w:rsid w:val="00CA7403"/>
    <w:rsid w:val="00CA7549"/>
    <w:rsid w:val="00CA7772"/>
    <w:rsid w:val="00CA797A"/>
    <w:rsid w:val="00CA7D0C"/>
    <w:rsid w:val="00CB0086"/>
    <w:rsid w:val="00CB0270"/>
    <w:rsid w:val="00CB0529"/>
    <w:rsid w:val="00CB0543"/>
    <w:rsid w:val="00CB0570"/>
    <w:rsid w:val="00CB059D"/>
    <w:rsid w:val="00CB05E2"/>
    <w:rsid w:val="00CB08D2"/>
    <w:rsid w:val="00CB091C"/>
    <w:rsid w:val="00CB0951"/>
    <w:rsid w:val="00CB09C6"/>
    <w:rsid w:val="00CB0B99"/>
    <w:rsid w:val="00CB0C1D"/>
    <w:rsid w:val="00CB0D2A"/>
    <w:rsid w:val="00CB0DC7"/>
    <w:rsid w:val="00CB0E2A"/>
    <w:rsid w:val="00CB0E6D"/>
    <w:rsid w:val="00CB12CD"/>
    <w:rsid w:val="00CB15B1"/>
    <w:rsid w:val="00CB15C4"/>
    <w:rsid w:val="00CB169C"/>
    <w:rsid w:val="00CB191B"/>
    <w:rsid w:val="00CB19D8"/>
    <w:rsid w:val="00CB1CBE"/>
    <w:rsid w:val="00CB213A"/>
    <w:rsid w:val="00CB215F"/>
    <w:rsid w:val="00CB25E2"/>
    <w:rsid w:val="00CB2701"/>
    <w:rsid w:val="00CB2903"/>
    <w:rsid w:val="00CB2C68"/>
    <w:rsid w:val="00CB2CB2"/>
    <w:rsid w:val="00CB2E29"/>
    <w:rsid w:val="00CB30ED"/>
    <w:rsid w:val="00CB3167"/>
    <w:rsid w:val="00CB3171"/>
    <w:rsid w:val="00CB31A3"/>
    <w:rsid w:val="00CB3531"/>
    <w:rsid w:val="00CB3728"/>
    <w:rsid w:val="00CB3A2F"/>
    <w:rsid w:val="00CB3A91"/>
    <w:rsid w:val="00CB3BA3"/>
    <w:rsid w:val="00CB3C43"/>
    <w:rsid w:val="00CB3CFE"/>
    <w:rsid w:val="00CB3ED7"/>
    <w:rsid w:val="00CB40AD"/>
    <w:rsid w:val="00CB434A"/>
    <w:rsid w:val="00CB43C5"/>
    <w:rsid w:val="00CB4CF9"/>
    <w:rsid w:val="00CB4DFE"/>
    <w:rsid w:val="00CB4F35"/>
    <w:rsid w:val="00CB5262"/>
    <w:rsid w:val="00CB5394"/>
    <w:rsid w:val="00CB5689"/>
    <w:rsid w:val="00CB59D4"/>
    <w:rsid w:val="00CB5A4A"/>
    <w:rsid w:val="00CB5A79"/>
    <w:rsid w:val="00CB5C27"/>
    <w:rsid w:val="00CB5CB9"/>
    <w:rsid w:val="00CB5EC0"/>
    <w:rsid w:val="00CB6133"/>
    <w:rsid w:val="00CB61AD"/>
    <w:rsid w:val="00CB6297"/>
    <w:rsid w:val="00CB62BC"/>
    <w:rsid w:val="00CB6413"/>
    <w:rsid w:val="00CB65A9"/>
    <w:rsid w:val="00CB66D4"/>
    <w:rsid w:val="00CB66E0"/>
    <w:rsid w:val="00CB6784"/>
    <w:rsid w:val="00CB67E4"/>
    <w:rsid w:val="00CB6856"/>
    <w:rsid w:val="00CB68B8"/>
    <w:rsid w:val="00CB6979"/>
    <w:rsid w:val="00CB6B6A"/>
    <w:rsid w:val="00CB6E5A"/>
    <w:rsid w:val="00CB6F0F"/>
    <w:rsid w:val="00CB70C8"/>
    <w:rsid w:val="00CB7186"/>
    <w:rsid w:val="00CB7297"/>
    <w:rsid w:val="00CB7366"/>
    <w:rsid w:val="00CB73A4"/>
    <w:rsid w:val="00CB75BA"/>
    <w:rsid w:val="00CB7601"/>
    <w:rsid w:val="00CB77C0"/>
    <w:rsid w:val="00CB7893"/>
    <w:rsid w:val="00CB797F"/>
    <w:rsid w:val="00CB7A60"/>
    <w:rsid w:val="00CB7D0D"/>
    <w:rsid w:val="00CB7E21"/>
    <w:rsid w:val="00CB7E53"/>
    <w:rsid w:val="00CC0220"/>
    <w:rsid w:val="00CC023D"/>
    <w:rsid w:val="00CC0530"/>
    <w:rsid w:val="00CC0551"/>
    <w:rsid w:val="00CC065C"/>
    <w:rsid w:val="00CC09C0"/>
    <w:rsid w:val="00CC09C2"/>
    <w:rsid w:val="00CC0BB8"/>
    <w:rsid w:val="00CC118F"/>
    <w:rsid w:val="00CC1267"/>
    <w:rsid w:val="00CC12DB"/>
    <w:rsid w:val="00CC1531"/>
    <w:rsid w:val="00CC16B3"/>
    <w:rsid w:val="00CC1C32"/>
    <w:rsid w:val="00CC1C79"/>
    <w:rsid w:val="00CC1D00"/>
    <w:rsid w:val="00CC1EF0"/>
    <w:rsid w:val="00CC2246"/>
    <w:rsid w:val="00CC23A7"/>
    <w:rsid w:val="00CC23CA"/>
    <w:rsid w:val="00CC242C"/>
    <w:rsid w:val="00CC2611"/>
    <w:rsid w:val="00CC269A"/>
    <w:rsid w:val="00CC26A2"/>
    <w:rsid w:val="00CC27C7"/>
    <w:rsid w:val="00CC298C"/>
    <w:rsid w:val="00CC2A40"/>
    <w:rsid w:val="00CC2B04"/>
    <w:rsid w:val="00CC2B47"/>
    <w:rsid w:val="00CC2D4A"/>
    <w:rsid w:val="00CC3001"/>
    <w:rsid w:val="00CC3142"/>
    <w:rsid w:val="00CC34F0"/>
    <w:rsid w:val="00CC35F1"/>
    <w:rsid w:val="00CC3679"/>
    <w:rsid w:val="00CC3864"/>
    <w:rsid w:val="00CC38D6"/>
    <w:rsid w:val="00CC3BA5"/>
    <w:rsid w:val="00CC3C67"/>
    <w:rsid w:val="00CC3E48"/>
    <w:rsid w:val="00CC4204"/>
    <w:rsid w:val="00CC46F2"/>
    <w:rsid w:val="00CC4797"/>
    <w:rsid w:val="00CC4798"/>
    <w:rsid w:val="00CC4881"/>
    <w:rsid w:val="00CC4908"/>
    <w:rsid w:val="00CC4A4E"/>
    <w:rsid w:val="00CC4BCB"/>
    <w:rsid w:val="00CC4D13"/>
    <w:rsid w:val="00CC4E9B"/>
    <w:rsid w:val="00CC4EEE"/>
    <w:rsid w:val="00CC4EF2"/>
    <w:rsid w:val="00CC4F57"/>
    <w:rsid w:val="00CC50E9"/>
    <w:rsid w:val="00CC5298"/>
    <w:rsid w:val="00CC52C0"/>
    <w:rsid w:val="00CC5323"/>
    <w:rsid w:val="00CC5B58"/>
    <w:rsid w:val="00CC5F66"/>
    <w:rsid w:val="00CC6015"/>
    <w:rsid w:val="00CC673C"/>
    <w:rsid w:val="00CC6749"/>
    <w:rsid w:val="00CC6874"/>
    <w:rsid w:val="00CC69E3"/>
    <w:rsid w:val="00CC6C4F"/>
    <w:rsid w:val="00CC6DAF"/>
    <w:rsid w:val="00CC714C"/>
    <w:rsid w:val="00CC73F2"/>
    <w:rsid w:val="00CC77DF"/>
    <w:rsid w:val="00CC78DC"/>
    <w:rsid w:val="00CC7934"/>
    <w:rsid w:val="00CC7B2A"/>
    <w:rsid w:val="00CC7B6C"/>
    <w:rsid w:val="00CC7D6E"/>
    <w:rsid w:val="00CC7E26"/>
    <w:rsid w:val="00CC7E79"/>
    <w:rsid w:val="00CC7E91"/>
    <w:rsid w:val="00CC7EDD"/>
    <w:rsid w:val="00CD0048"/>
    <w:rsid w:val="00CD094A"/>
    <w:rsid w:val="00CD0DBB"/>
    <w:rsid w:val="00CD0ED5"/>
    <w:rsid w:val="00CD0EED"/>
    <w:rsid w:val="00CD0F69"/>
    <w:rsid w:val="00CD0F7B"/>
    <w:rsid w:val="00CD1175"/>
    <w:rsid w:val="00CD139E"/>
    <w:rsid w:val="00CD160D"/>
    <w:rsid w:val="00CD1648"/>
    <w:rsid w:val="00CD176B"/>
    <w:rsid w:val="00CD1BAE"/>
    <w:rsid w:val="00CD1BF3"/>
    <w:rsid w:val="00CD1C49"/>
    <w:rsid w:val="00CD1E10"/>
    <w:rsid w:val="00CD200E"/>
    <w:rsid w:val="00CD25D1"/>
    <w:rsid w:val="00CD2603"/>
    <w:rsid w:val="00CD2833"/>
    <w:rsid w:val="00CD2A31"/>
    <w:rsid w:val="00CD2A43"/>
    <w:rsid w:val="00CD2C33"/>
    <w:rsid w:val="00CD2E11"/>
    <w:rsid w:val="00CD2E79"/>
    <w:rsid w:val="00CD3590"/>
    <w:rsid w:val="00CD35AD"/>
    <w:rsid w:val="00CD37D5"/>
    <w:rsid w:val="00CD391A"/>
    <w:rsid w:val="00CD3CA3"/>
    <w:rsid w:val="00CD3CFE"/>
    <w:rsid w:val="00CD46F5"/>
    <w:rsid w:val="00CD4751"/>
    <w:rsid w:val="00CD484F"/>
    <w:rsid w:val="00CD4C4A"/>
    <w:rsid w:val="00CD4CAE"/>
    <w:rsid w:val="00CD4CBC"/>
    <w:rsid w:val="00CD5213"/>
    <w:rsid w:val="00CD53D5"/>
    <w:rsid w:val="00CD5834"/>
    <w:rsid w:val="00CD5B3E"/>
    <w:rsid w:val="00CD5CE0"/>
    <w:rsid w:val="00CD5DD0"/>
    <w:rsid w:val="00CD5E25"/>
    <w:rsid w:val="00CD606E"/>
    <w:rsid w:val="00CD606F"/>
    <w:rsid w:val="00CD60A3"/>
    <w:rsid w:val="00CD61E1"/>
    <w:rsid w:val="00CD635D"/>
    <w:rsid w:val="00CD63FE"/>
    <w:rsid w:val="00CD6C54"/>
    <w:rsid w:val="00CD6CB7"/>
    <w:rsid w:val="00CD6CF8"/>
    <w:rsid w:val="00CD6E10"/>
    <w:rsid w:val="00CD6EAB"/>
    <w:rsid w:val="00CD7203"/>
    <w:rsid w:val="00CD7248"/>
    <w:rsid w:val="00CD7753"/>
    <w:rsid w:val="00CD7796"/>
    <w:rsid w:val="00CD7B91"/>
    <w:rsid w:val="00CD7C3E"/>
    <w:rsid w:val="00CD7C69"/>
    <w:rsid w:val="00CD7C77"/>
    <w:rsid w:val="00CD7D1A"/>
    <w:rsid w:val="00CD7DC3"/>
    <w:rsid w:val="00CE04A4"/>
    <w:rsid w:val="00CE0690"/>
    <w:rsid w:val="00CE06F1"/>
    <w:rsid w:val="00CE070E"/>
    <w:rsid w:val="00CE07A9"/>
    <w:rsid w:val="00CE0AE1"/>
    <w:rsid w:val="00CE0D09"/>
    <w:rsid w:val="00CE0E53"/>
    <w:rsid w:val="00CE0F34"/>
    <w:rsid w:val="00CE0FBB"/>
    <w:rsid w:val="00CE12B8"/>
    <w:rsid w:val="00CE148F"/>
    <w:rsid w:val="00CE14C4"/>
    <w:rsid w:val="00CE15A5"/>
    <w:rsid w:val="00CE16AB"/>
    <w:rsid w:val="00CE173C"/>
    <w:rsid w:val="00CE1807"/>
    <w:rsid w:val="00CE18A0"/>
    <w:rsid w:val="00CE1D33"/>
    <w:rsid w:val="00CE1FC4"/>
    <w:rsid w:val="00CE212E"/>
    <w:rsid w:val="00CE2921"/>
    <w:rsid w:val="00CE2A62"/>
    <w:rsid w:val="00CE2CBE"/>
    <w:rsid w:val="00CE2D63"/>
    <w:rsid w:val="00CE2D98"/>
    <w:rsid w:val="00CE2FF5"/>
    <w:rsid w:val="00CE3243"/>
    <w:rsid w:val="00CE327F"/>
    <w:rsid w:val="00CE32E5"/>
    <w:rsid w:val="00CE33BF"/>
    <w:rsid w:val="00CE37E6"/>
    <w:rsid w:val="00CE3884"/>
    <w:rsid w:val="00CE3AEC"/>
    <w:rsid w:val="00CE3C6F"/>
    <w:rsid w:val="00CE3E6A"/>
    <w:rsid w:val="00CE413E"/>
    <w:rsid w:val="00CE4211"/>
    <w:rsid w:val="00CE42CB"/>
    <w:rsid w:val="00CE42F2"/>
    <w:rsid w:val="00CE441C"/>
    <w:rsid w:val="00CE45A0"/>
    <w:rsid w:val="00CE47FB"/>
    <w:rsid w:val="00CE4990"/>
    <w:rsid w:val="00CE4AAA"/>
    <w:rsid w:val="00CE4F58"/>
    <w:rsid w:val="00CE4F5F"/>
    <w:rsid w:val="00CE51E2"/>
    <w:rsid w:val="00CE5A60"/>
    <w:rsid w:val="00CE5C0E"/>
    <w:rsid w:val="00CE5C26"/>
    <w:rsid w:val="00CE5E69"/>
    <w:rsid w:val="00CE5EB9"/>
    <w:rsid w:val="00CE5FCA"/>
    <w:rsid w:val="00CE5FF4"/>
    <w:rsid w:val="00CE6104"/>
    <w:rsid w:val="00CE6332"/>
    <w:rsid w:val="00CE64C3"/>
    <w:rsid w:val="00CE64D7"/>
    <w:rsid w:val="00CE68DA"/>
    <w:rsid w:val="00CE6C20"/>
    <w:rsid w:val="00CE6DF9"/>
    <w:rsid w:val="00CE6F74"/>
    <w:rsid w:val="00CE7116"/>
    <w:rsid w:val="00CE7294"/>
    <w:rsid w:val="00CE737E"/>
    <w:rsid w:val="00CE757C"/>
    <w:rsid w:val="00CE76B4"/>
    <w:rsid w:val="00CE76F9"/>
    <w:rsid w:val="00CE7909"/>
    <w:rsid w:val="00CE7AB0"/>
    <w:rsid w:val="00CE7C76"/>
    <w:rsid w:val="00CE7DB0"/>
    <w:rsid w:val="00CE7F8F"/>
    <w:rsid w:val="00CE7FC4"/>
    <w:rsid w:val="00CF0063"/>
    <w:rsid w:val="00CF01E0"/>
    <w:rsid w:val="00CF02B4"/>
    <w:rsid w:val="00CF0375"/>
    <w:rsid w:val="00CF042F"/>
    <w:rsid w:val="00CF04B7"/>
    <w:rsid w:val="00CF0505"/>
    <w:rsid w:val="00CF068F"/>
    <w:rsid w:val="00CF06FB"/>
    <w:rsid w:val="00CF0DCE"/>
    <w:rsid w:val="00CF0FF3"/>
    <w:rsid w:val="00CF11F3"/>
    <w:rsid w:val="00CF13D8"/>
    <w:rsid w:val="00CF1433"/>
    <w:rsid w:val="00CF147A"/>
    <w:rsid w:val="00CF1942"/>
    <w:rsid w:val="00CF19A6"/>
    <w:rsid w:val="00CF19F8"/>
    <w:rsid w:val="00CF1A41"/>
    <w:rsid w:val="00CF1A69"/>
    <w:rsid w:val="00CF1AD8"/>
    <w:rsid w:val="00CF1B20"/>
    <w:rsid w:val="00CF1B51"/>
    <w:rsid w:val="00CF1E66"/>
    <w:rsid w:val="00CF1F81"/>
    <w:rsid w:val="00CF2258"/>
    <w:rsid w:val="00CF22C7"/>
    <w:rsid w:val="00CF2588"/>
    <w:rsid w:val="00CF29A4"/>
    <w:rsid w:val="00CF29B3"/>
    <w:rsid w:val="00CF2B03"/>
    <w:rsid w:val="00CF2C7C"/>
    <w:rsid w:val="00CF2DD6"/>
    <w:rsid w:val="00CF2E2A"/>
    <w:rsid w:val="00CF2FBB"/>
    <w:rsid w:val="00CF31CB"/>
    <w:rsid w:val="00CF339E"/>
    <w:rsid w:val="00CF3648"/>
    <w:rsid w:val="00CF3705"/>
    <w:rsid w:val="00CF3719"/>
    <w:rsid w:val="00CF385D"/>
    <w:rsid w:val="00CF3994"/>
    <w:rsid w:val="00CF3A17"/>
    <w:rsid w:val="00CF3CBE"/>
    <w:rsid w:val="00CF3D74"/>
    <w:rsid w:val="00CF4006"/>
    <w:rsid w:val="00CF4098"/>
    <w:rsid w:val="00CF40B8"/>
    <w:rsid w:val="00CF4224"/>
    <w:rsid w:val="00CF427D"/>
    <w:rsid w:val="00CF489C"/>
    <w:rsid w:val="00CF4920"/>
    <w:rsid w:val="00CF4AC9"/>
    <w:rsid w:val="00CF4D7C"/>
    <w:rsid w:val="00CF4F17"/>
    <w:rsid w:val="00CF5586"/>
    <w:rsid w:val="00CF5592"/>
    <w:rsid w:val="00CF55AB"/>
    <w:rsid w:val="00CF591C"/>
    <w:rsid w:val="00CF5A2E"/>
    <w:rsid w:val="00CF5E70"/>
    <w:rsid w:val="00CF5FCC"/>
    <w:rsid w:val="00CF5FDD"/>
    <w:rsid w:val="00CF5FF8"/>
    <w:rsid w:val="00CF6014"/>
    <w:rsid w:val="00CF612B"/>
    <w:rsid w:val="00CF6228"/>
    <w:rsid w:val="00CF639A"/>
    <w:rsid w:val="00CF63DC"/>
    <w:rsid w:val="00CF63F6"/>
    <w:rsid w:val="00CF6856"/>
    <w:rsid w:val="00CF6A95"/>
    <w:rsid w:val="00CF6AEC"/>
    <w:rsid w:val="00CF6B5A"/>
    <w:rsid w:val="00CF6E7D"/>
    <w:rsid w:val="00CF6F74"/>
    <w:rsid w:val="00CF6FC4"/>
    <w:rsid w:val="00CF7129"/>
    <w:rsid w:val="00CF725E"/>
    <w:rsid w:val="00CF735D"/>
    <w:rsid w:val="00CF73CA"/>
    <w:rsid w:val="00CF78B7"/>
    <w:rsid w:val="00CF7900"/>
    <w:rsid w:val="00CF7C86"/>
    <w:rsid w:val="00CF7CDB"/>
    <w:rsid w:val="00D003A7"/>
    <w:rsid w:val="00D00731"/>
    <w:rsid w:val="00D0073E"/>
    <w:rsid w:val="00D00901"/>
    <w:rsid w:val="00D009E4"/>
    <w:rsid w:val="00D00ADE"/>
    <w:rsid w:val="00D00DED"/>
    <w:rsid w:val="00D010F1"/>
    <w:rsid w:val="00D01262"/>
    <w:rsid w:val="00D012A8"/>
    <w:rsid w:val="00D014B9"/>
    <w:rsid w:val="00D015E3"/>
    <w:rsid w:val="00D0178F"/>
    <w:rsid w:val="00D0197D"/>
    <w:rsid w:val="00D01ADB"/>
    <w:rsid w:val="00D01B0B"/>
    <w:rsid w:val="00D01BC1"/>
    <w:rsid w:val="00D01C33"/>
    <w:rsid w:val="00D01C9D"/>
    <w:rsid w:val="00D01E55"/>
    <w:rsid w:val="00D020F0"/>
    <w:rsid w:val="00D02516"/>
    <w:rsid w:val="00D02534"/>
    <w:rsid w:val="00D02553"/>
    <w:rsid w:val="00D02652"/>
    <w:rsid w:val="00D02869"/>
    <w:rsid w:val="00D028A6"/>
    <w:rsid w:val="00D02AD5"/>
    <w:rsid w:val="00D02B90"/>
    <w:rsid w:val="00D02C82"/>
    <w:rsid w:val="00D02CC0"/>
    <w:rsid w:val="00D02E36"/>
    <w:rsid w:val="00D03060"/>
    <w:rsid w:val="00D032B2"/>
    <w:rsid w:val="00D0343F"/>
    <w:rsid w:val="00D0345B"/>
    <w:rsid w:val="00D036E0"/>
    <w:rsid w:val="00D039DE"/>
    <w:rsid w:val="00D03AFC"/>
    <w:rsid w:val="00D03C72"/>
    <w:rsid w:val="00D03CF1"/>
    <w:rsid w:val="00D03DD4"/>
    <w:rsid w:val="00D03DFF"/>
    <w:rsid w:val="00D03FA5"/>
    <w:rsid w:val="00D03FC3"/>
    <w:rsid w:val="00D04120"/>
    <w:rsid w:val="00D041A1"/>
    <w:rsid w:val="00D041B8"/>
    <w:rsid w:val="00D041FD"/>
    <w:rsid w:val="00D0452D"/>
    <w:rsid w:val="00D045CA"/>
    <w:rsid w:val="00D046AC"/>
    <w:rsid w:val="00D046C6"/>
    <w:rsid w:val="00D04A7A"/>
    <w:rsid w:val="00D04C5E"/>
    <w:rsid w:val="00D04CE0"/>
    <w:rsid w:val="00D04E9C"/>
    <w:rsid w:val="00D04F2F"/>
    <w:rsid w:val="00D05039"/>
    <w:rsid w:val="00D05284"/>
    <w:rsid w:val="00D0561D"/>
    <w:rsid w:val="00D056E7"/>
    <w:rsid w:val="00D05865"/>
    <w:rsid w:val="00D058F8"/>
    <w:rsid w:val="00D05B04"/>
    <w:rsid w:val="00D05E1A"/>
    <w:rsid w:val="00D05F4D"/>
    <w:rsid w:val="00D05FD9"/>
    <w:rsid w:val="00D0617C"/>
    <w:rsid w:val="00D06263"/>
    <w:rsid w:val="00D06A68"/>
    <w:rsid w:val="00D06CCA"/>
    <w:rsid w:val="00D06D1C"/>
    <w:rsid w:val="00D06E37"/>
    <w:rsid w:val="00D06E53"/>
    <w:rsid w:val="00D06FC6"/>
    <w:rsid w:val="00D070EE"/>
    <w:rsid w:val="00D0725F"/>
    <w:rsid w:val="00D0754B"/>
    <w:rsid w:val="00D07697"/>
    <w:rsid w:val="00D076F8"/>
    <w:rsid w:val="00D07791"/>
    <w:rsid w:val="00D078F9"/>
    <w:rsid w:val="00D07D1B"/>
    <w:rsid w:val="00D07D97"/>
    <w:rsid w:val="00D07DF5"/>
    <w:rsid w:val="00D100EC"/>
    <w:rsid w:val="00D10267"/>
    <w:rsid w:val="00D103EE"/>
    <w:rsid w:val="00D10631"/>
    <w:rsid w:val="00D1074A"/>
    <w:rsid w:val="00D10793"/>
    <w:rsid w:val="00D1089B"/>
    <w:rsid w:val="00D10C10"/>
    <w:rsid w:val="00D10E7D"/>
    <w:rsid w:val="00D11087"/>
    <w:rsid w:val="00D111B1"/>
    <w:rsid w:val="00D11340"/>
    <w:rsid w:val="00D1149A"/>
    <w:rsid w:val="00D115B5"/>
    <w:rsid w:val="00D11687"/>
    <w:rsid w:val="00D11914"/>
    <w:rsid w:val="00D11B2A"/>
    <w:rsid w:val="00D11B86"/>
    <w:rsid w:val="00D11C29"/>
    <w:rsid w:val="00D11C95"/>
    <w:rsid w:val="00D11CA1"/>
    <w:rsid w:val="00D11F63"/>
    <w:rsid w:val="00D11F9F"/>
    <w:rsid w:val="00D1204A"/>
    <w:rsid w:val="00D12077"/>
    <w:rsid w:val="00D120A7"/>
    <w:rsid w:val="00D1215A"/>
    <w:rsid w:val="00D1235A"/>
    <w:rsid w:val="00D12409"/>
    <w:rsid w:val="00D12455"/>
    <w:rsid w:val="00D124FE"/>
    <w:rsid w:val="00D125B0"/>
    <w:rsid w:val="00D12751"/>
    <w:rsid w:val="00D12763"/>
    <w:rsid w:val="00D12923"/>
    <w:rsid w:val="00D12A07"/>
    <w:rsid w:val="00D12A84"/>
    <w:rsid w:val="00D12AE8"/>
    <w:rsid w:val="00D12DB4"/>
    <w:rsid w:val="00D12F1A"/>
    <w:rsid w:val="00D12F44"/>
    <w:rsid w:val="00D1317B"/>
    <w:rsid w:val="00D13440"/>
    <w:rsid w:val="00D137D6"/>
    <w:rsid w:val="00D13856"/>
    <w:rsid w:val="00D13AA5"/>
    <w:rsid w:val="00D13C36"/>
    <w:rsid w:val="00D13E07"/>
    <w:rsid w:val="00D13F1D"/>
    <w:rsid w:val="00D13FE6"/>
    <w:rsid w:val="00D1414A"/>
    <w:rsid w:val="00D142CB"/>
    <w:rsid w:val="00D1450E"/>
    <w:rsid w:val="00D14574"/>
    <w:rsid w:val="00D14A4D"/>
    <w:rsid w:val="00D14B0F"/>
    <w:rsid w:val="00D14EDB"/>
    <w:rsid w:val="00D14F6C"/>
    <w:rsid w:val="00D15086"/>
    <w:rsid w:val="00D151FE"/>
    <w:rsid w:val="00D15439"/>
    <w:rsid w:val="00D15B25"/>
    <w:rsid w:val="00D15C4E"/>
    <w:rsid w:val="00D15FE7"/>
    <w:rsid w:val="00D164EA"/>
    <w:rsid w:val="00D165CB"/>
    <w:rsid w:val="00D165D6"/>
    <w:rsid w:val="00D16A5D"/>
    <w:rsid w:val="00D16B51"/>
    <w:rsid w:val="00D16F96"/>
    <w:rsid w:val="00D17023"/>
    <w:rsid w:val="00D170A3"/>
    <w:rsid w:val="00D171AC"/>
    <w:rsid w:val="00D17224"/>
    <w:rsid w:val="00D173BF"/>
    <w:rsid w:val="00D1763E"/>
    <w:rsid w:val="00D17837"/>
    <w:rsid w:val="00D178F8"/>
    <w:rsid w:val="00D17AE1"/>
    <w:rsid w:val="00D17B2D"/>
    <w:rsid w:val="00D17C8E"/>
    <w:rsid w:val="00D17CE0"/>
    <w:rsid w:val="00D17D32"/>
    <w:rsid w:val="00D17DE1"/>
    <w:rsid w:val="00D17EBE"/>
    <w:rsid w:val="00D17F98"/>
    <w:rsid w:val="00D17FC1"/>
    <w:rsid w:val="00D20090"/>
    <w:rsid w:val="00D2009D"/>
    <w:rsid w:val="00D200FE"/>
    <w:rsid w:val="00D20815"/>
    <w:rsid w:val="00D20C65"/>
    <w:rsid w:val="00D20E4C"/>
    <w:rsid w:val="00D20EFA"/>
    <w:rsid w:val="00D20F53"/>
    <w:rsid w:val="00D211CF"/>
    <w:rsid w:val="00D2136B"/>
    <w:rsid w:val="00D21611"/>
    <w:rsid w:val="00D21767"/>
    <w:rsid w:val="00D21C7C"/>
    <w:rsid w:val="00D21D5A"/>
    <w:rsid w:val="00D220B3"/>
    <w:rsid w:val="00D22123"/>
    <w:rsid w:val="00D22253"/>
    <w:rsid w:val="00D223B7"/>
    <w:rsid w:val="00D2242F"/>
    <w:rsid w:val="00D2260C"/>
    <w:rsid w:val="00D226A2"/>
    <w:rsid w:val="00D22993"/>
    <w:rsid w:val="00D22CB9"/>
    <w:rsid w:val="00D22CFE"/>
    <w:rsid w:val="00D22EBA"/>
    <w:rsid w:val="00D22FA7"/>
    <w:rsid w:val="00D234C4"/>
    <w:rsid w:val="00D239A0"/>
    <w:rsid w:val="00D23A67"/>
    <w:rsid w:val="00D23B45"/>
    <w:rsid w:val="00D2403F"/>
    <w:rsid w:val="00D2409D"/>
    <w:rsid w:val="00D242C7"/>
    <w:rsid w:val="00D24456"/>
    <w:rsid w:val="00D244C1"/>
    <w:rsid w:val="00D2451B"/>
    <w:rsid w:val="00D2454D"/>
    <w:rsid w:val="00D245BD"/>
    <w:rsid w:val="00D24648"/>
    <w:rsid w:val="00D24761"/>
    <w:rsid w:val="00D24EAA"/>
    <w:rsid w:val="00D250B4"/>
    <w:rsid w:val="00D25302"/>
    <w:rsid w:val="00D25455"/>
    <w:rsid w:val="00D25D8A"/>
    <w:rsid w:val="00D25E7C"/>
    <w:rsid w:val="00D25ED2"/>
    <w:rsid w:val="00D262CD"/>
    <w:rsid w:val="00D26318"/>
    <w:rsid w:val="00D26538"/>
    <w:rsid w:val="00D265AA"/>
    <w:rsid w:val="00D2686A"/>
    <w:rsid w:val="00D269D8"/>
    <w:rsid w:val="00D26ACC"/>
    <w:rsid w:val="00D26E1E"/>
    <w:rsid w:val="00D27050"/>
    <w:rsid w:val="00D2715A"/>
    <w:rsid w:val="00D27165"/>
    <w:rsid w:val="00D27320"/>
    <w:rsid w:val="00D274DD"/>
    <w:rsid w:val="00D27555"/>
    <w:rsid w:val="00D27721"/>
    <w:rsid w:val="00D277B2"/>
    <w:rsid w:val="00D278CD"/>
    <w:rsid w:val="00D27AA1"/>
    <w:rsid w:val="00D27B93"/>
    <w:rsid w:val="00D27D01"/>
    <w:rsid w:val="00D27D62"/>
    <w:rsid w:val="00D3015A"/>
    <w:rsid w:val="00D30257"/>
    <w:rsid w:val="00D30279"/>
    <w:rsid w:val="00D304E7"/>
    <w:rsid w:val="00D3072C"/>
    <w:rsid w:val="00D309B7"/>
    <w:rsid w:val="00D309CD"/>
    <w:rsid w:val="00D30B3A"/>
    <w:rsid w:val="00D30BCE"/>
    <w:rsid w:val="00D30CD5"/>
    <w:rsid w:val="00D30D17"/>
    <w:rsid w:val="00D30D3A"/>
    <w:rsid w:val="00D30DFF"/>
    <w:rsid w:val="00D30E5A"/>
    <w:rsid w:val="00D30F35"/>
    <w:rsid w:val="00D3153F"/>
    <w:rsid w:val="00D316E8"/>
    <w:rsid w:val="00D316F4"/>
    <w:rsid w:val="00D31750"/>
    <w:rsid w:val="00D31883"/>
    <w:rsid w:val="00D318EF"/>
    <w:rsid w:val="00D31A52"/>
    <w:rsid w:val="00D31DE6"/>
    <w:rsid w:val="00D31E0E"/>
    <w:rsid w:val="00D31E7D"/>
    <w:rsid w:val="00D321BA"/>
    <w:rsid w:val="00D322AB"/>
    <w:rsid w:val="00D32344"/>
    <w:rsid w:val="00D32468"/>
    <w:rsid w:val="00D3253B"/>
    <w:rsid w:val="00D3268F"/>
    <w:rsid w:val="00D32901"/>
    <w:rsid w:val="00D32A83"/>
    <w:rsid w:val="00D32B8D"/>
    <w:rsid w:val="00D32D9C"/>
    <w:rsid w:val="00D32E55"/>
    <w:rsid w:val="00D32E83"/>
    <w:rsid w:val="00D33024"/>
    <w:rsid w:val="00D332B0"/>
    <w:rsid w:val="00D3332D"/>
    <w:rsid w:val="00D33788"/>
    <w:rsid w:val="00D33E7E"/>
    <w:rsid w:val="00D33F5D"/>
    <w:rsid w:val="00D34116"/>
    <w:rsid w:val="00D3418B"/>
    <w:rsid w:val="00D3422B"/>
    <w:rsid w:val="00D34281"/>
    <w:rsid w:val="00D34385"/>
    <w:rsid w:val="00D34598"/>
    <w:rsid w:val="00D3498D"/>
    <w:rsid w:val="00D34DC9"/>
    <w:rsid w:val="00D35264"/>
    <w:rsid w:val="00D3546F"/>
    <w:rsid w:val="00D35555"/>
    <w:rsid w:val="00D357E3"/>
    <w:rsid w:val="00D35A3C"/>
    <w:rsid w:val="00D36212"/>
    <w:rsid w:val="00D362A8"/>
    <w:rsid w:val="00D363E9"/>
    <w:rsid w:val="00D36582"/>
    <w:rsid w:val="00D36799"/>
    <w:rsid w:val="00D36964"/>
    <w:rsid w:val="00D369FE"/>
    <w:rsid w:val="00D36A22"/>
    <w:rsid w:val="00D36DC9"/>
    <w:rsid w:val="00D370E7"/>
    <w:rsid w:val="00D37126"/>
    <w:rsid w:val="00D371A9"/>
    <w:rsid w:val="00D37233"/>
    <w:rsid w:val="00D372D7"/>
    <w:rsid w:val="00D37713"/>
    <w:rsid w:val="00D37CC2"/>
    <w:rsid w:val="00D37EAA"/>
    <w:rsid w:val="00D37F7A"/>
    <w:rsid w:val="00D400BC"/>
    <w:rsid w:val="00D4043D"/>
    <w:rsid w:val="00D40480"/>
    <w:rsid w:val="00D404C6"/>
    <w:rsid w:val="00D405AD"/>
    <w:rsid w:val="00D40A87"/>
    <w:rsid w:val="00D40BEA"/>
    <w:rsid w:val="00D40BF4"/>
    <w:rsid w:val="00D40C07"/>
    <w:rsid w:val="00D411A1"/>
    <w:rsid w:val="00D4138A"/>
    <w:rsid w:val="00D414DB"/>
    <w:rsid w:val="00D415EE"/>
    <w:rsid w:val="00D41600"/>
    <w:rsid w:val="00D4161F"/>
    <w:rsid w:val="00D41785"/>
    <w:rsid w:val="00D41866"/>
    <w:rsid w:val="00D41968"/>
    <w:rsid w:val="00D4198B"/>
    <w:rsid w:val="00D41A9D"/>
    <w:rsid w:val="00D41B02"/>
    <w:rsid w:val="00D42181"/>
    <w:rsid w:val="00D42287"/>
    <w:rsid w:val="00D424BE"/>
    <w:rsid w:val="00D42627"/>
    <w:rsid w:val="00D42865"/>
    <w:rsid w:val="00D428B4"/>
    <w:rsid w:val="00D429B0"/>
    <w:rsid w:val="00D42CCB"/>
    <w:rsid w:val="00D42E03"/>
    <w:rsid w:val="00D42F88"/>
    <w:rsid w:val="00D43078"/>
    <w:rsid w:val="00D430A7"/>
    <w:rsid w:val="00D4328C"/>
    <w:rsid w:val="00D432CF"/>
    <w:rsid w:val="00D43347"/>
    <w:rsid w:val="00D4340D"/>
    <w:rsid w:val="00D434B9"/>
    <w:rsid w:val="00D43559"/>
    <w:rsid w:val="00D43ABC"/>
    <w:rsid w:val="00D43BAE"/>
    <w:rsid w:val="00D43C62"/>
    <w:rsid w:val="00D43D44"/>
    <w:rsid w:val="00D43EFC"/>
    <w:rsid w:val="00D440ED"/>
    <w:rsid w:val="00D441D0"/>
    <w:rsid w:val="00D442A1"/>
    <w:rsid w:val="00D4444E"/>
    <w:rsid w:val="00D446A6"/>
    <w:rsid w:val="00D44930"/>
    <w:rsid w:val="00D44F8E"/>
    <w:rsid w:val="00D45166"/>
    <w:rsid w:val="00D451E5"/>
    <w:rsid w:val="00D45219"/>
    <w:rsid w:val="00D45536"/>
    <w:rsid w:val="00D45590"/>
    <w:rsid w:val="00D4586B"/>
    <w:rsid w:val="00D459C6"/>
    <w:rsid w:val="00D45B63"/>
    <w:rsid w:val="00D45E89"/>
    <w:rsid w:val="00D46247"/>
    <w:rsid w:val="00D463A3"/>
    <w:rsid w:val="00D46441"/>
    <w:rsid w:val="00D464A6"/>
    <w:rsid w:val="00D46844"/>
    <w:rsid w:val="00D468AA"/>
    <w:rsid w:val="00D46B00"/>
    <w:rsid w:val="00D46BB3"/>
    <w:rsid w:val="00D46C07"/>
    <w:rsid w:val="00D46DAD"/>
    <w:rsid w:val="00D46E33"/>
    <w:rsid w:val="00D46F8E"/>
    <w:rsid w:val="00D47443"/>
    <w:rsid w:val="00D47500"/>
    <w:rsid w:val="00D477B3"/>
    <w:rsid w:val="00D47EE1"/>
    <w:rsid w:val="00D47F3F"/>
    <w:rsid w:val="00D505AE"/>
    <w:rsid w:val="00D50672"/>
    <w:rsid w:val="00D50741"/>
    <w:rsid w:val="00D5083D"/>
    <w:rsid w:val="00D50B8F"/>
    <w:rsid w:val="00D50F98"/>
    <w:rsid w:val="00D50FE5"/>
    <w:rsid w:val="00D510FF"/>
    <w:rsid w:val="00D511BC"/>
    <w:rsid w:val="00D511D2"/>
    <w:rsid w:val="00D51304"/>
    <w:rsid w:val="00D5158F"/>
    <w:rsid w:val="00D5166C"/>
    <w:rsid w:val="00D516CB"/>
    <w:rsid w:val="00D5176D"/>
    <w:rsid w:val="00D5187D"/>
    <w:rsid w:val="00D519FE"/>
    <w:rsid w:val="00D51A92"/>
    <w:rsid w:val="00D51B2B"/>
    <w:rsid w:val="00D51BAB"/>
    <w:rsid w:val="00D51BDD"/>
    <w:rsid w:val="00D51BEA"/>
    <w:rsid w:val="00D51D89"/>
    <w:rsid w:val="00D51D9F"/>
    <w:rsid w:val="00D51DAB"/>
    <w:rsid w:val="00D51EC2"/>
    <w:rsid w:val="00D521E0"/>
    <w:rsid w:val="00D52200"/>
    <w:rsid w:val="00D5221C"/>
    <w:rsid w:val="00D52606"/>
    <w:rsid w:val="00D527DF"/>
    <w:rsid w:val="00D52A61"/>
    <w:rsid w:val="00D52BA6"/>
    <w:rsid w:val="00D52C92"/>
    <w:rsid w:val="00D52CD4"/>
    <w:rsid w:val="00D52DE8"/>
    <w:rsid w:val="00D52E0C"/>
    <w:rsid w:val="00D52F05"/>
    <w:rsid w:val="00D53624"/>
    <w:rsid w:val="00D5370A"/>
    <w:rsid w:val="00D537A2"/>
    <w:rsid w:val="00D538FF"/>
    <w:rsid w:val="00D53996"/>
    <w:rsid w:val="00D53E3A"/>
    <w:rsid w:val="00D53F58"/>
    <w:rsid w:val="00D5412E"/>
    <w:rsid w:val="00D5423D"/>
    <w:rsid w:val="00D54272"/>
    <w:rsid w:val="00D542DA"/>
    <w:rsid w:val="00D54841"/>
    <w:rsid w:val="00D54A4E"/>
    <w:rsid w:val="00D54BD3"/>
    <w:rsid w:val="00D54C35"/>
    <w:rsid w:val="00D54DEB"/>
    <w:rsid w:val="00D55135"/>
    <w:rsid w:val="00D55515"/>
    <w:rsid w:val="00D5595D"/>
    <w:rsid w:val="00D55A68"/>
    <w:rsid w:val="00D55BBF"/>
    <w:rsid w:val="00D55C84"/>
    <w:rsid w:val="00D55D42"/>
    <w:rsid w:val="00D55F19"/>
    <w:rsid w:val="00D561D9"/>
    <w:rsid w:val="00D561EF"/>
    <w:rsid w:val="00D56334"/>
    <w:rsid w:val="00D563C4"/>
    <w:rsid w:val="00D56668"/>
    <w:rsid w:val="00D5687A"/>
    <w:rsid w:val="00D56C15"/>
    <w:rsid w:val="00D56E64"/>
    <w:rsid w:val="00D56EAE"/>
    <w:rsid w:val="00D56FEE"/>
    <w:rsid w:val="00D57261"/>
    <w:rsid w:val="00D572D2"/>
    <w:rsid w:val="00D57360"/>
    <w:rsid w:val="00D57481"/>
    <w:rsid w:val="00D5751C"/>
    <w:rsid w:val="00D5766E"/>
    <w:rsid w:val="00D57BDA"/>
    <w:rsid w:val="00D57F63"/>
    <w:rsid w:val="00D57F8C"/>
    <w:rsid w:val="00D600B5"/>
    <w:rsid w:val="00D6018B"/>
    <w:rsid w:val="00D603FD"/>
    <w:rsid w:val="00D604A7"/>
    <w:rsid w:val="00D604B4"/>
    <w:rsid w:val="00D60676"/>
    <w:rsid w:val="00D606F1"/>
    <w:rsid w:val="00D60746"/>
    <w:rsid w:val="00D60AC0"/>
    <w:rsid w:val="00D60DF2"/>
    <w:rsid w:val="00D61366"/>
    <w:rsid w:val="00D614C6"/>
    <w:rsid w:val="00D617ED"/>
    <w:rsid w:val="00D618C2"/>
    <w:rsid w:val="00D61B0C"/>
    <w:rsid w:val="00D61C7D"/>
    <w:rsid w:val="00D61D84"/>
    <w:rsid w:val="00D61F39"/>
    <w:rsid w:val="00D61F76"/>
    <w:rsid w:val="00D62066"/>
    <w:rsid w:val="00D62241"/>
    <w:rsid w:val="00D62812"/>
    <w:rsid w:val="00D628D7"/>
    <w:rsid w:val="00D6295F"/>
    <w:rsid w:val="00D62B94"/>
    <w:rsid w:val="00D62C2C"/>
    <w:rsid w:val="00D62E8B"/>
    <w:rsid w:val="00D62F7E"/>
    <w:rsid w:val="00D62FE3"/>
    <w:rsid w:val="00D631C2"/>
    <w:rsid w:val="00D63452"/>
    <w:rsid w:val="00D6352B"/>
    <w:rsid w:val="00D637D0"/>
    <w:rsid w:val="00D6398A"/>
    <w:rsid w:val="00D639A0"/>
    <w:rsid w:val="00D639A7"/>
    <w:rsid w:val="00D63D0A"/>
    <w:rsid w:val="00D63D75"/>
    <w:rsid w:val="00D63DCA"/>
    <w:rsid w:val="00D63E1E"/>
    <w:rsid w:val="00D63F3D"/>
    <w:rsid w:val="00D648A3"/>
    <w:rsid w:val="00D64ACA"/>
    <w:rsid w:val="00D64B4E"/>
    <w:rsid w:val="00D64D4B"/>
    <w:rsid w:val="00D64E55"/>
    <w:rsid w:val="00D64EEE"/>
    <w:rsid w:val="00D651C2"/>
    <w:rsid w:val="00D65361"/>
    <w:rsid w:val="00D653FC"/>
    <w:rsid w:val="00D65614"/>
    <w:rsid w:val="00D65793"/>
    <w:rsid w:val="00D65841"/>
    <w:rsid w:val="00D6588B"/>
    <w:rsid w:val="00D65930"/>
    <w:rsid w:val="00D659E2"/>
    <w:rsid w:val="00D661E5"/>
    <w:rsid w:val="00D662CA"/>
    <w:rsid w:val="00D664D5"/>
    <w:rsid w:val="00D6666D"/>
    <w:rsid w:val="00D66848"/>
    <w:rsid w:val="00D669E8"/>
    <w:rsid w:val="00D66B4A"/>
    <w:rsid w:val="00D670E9"/>
    <w:rsid w:val="00D671E4"/>
    <w:rsid w:val="00D67229"/>
    <w:rsid w:val="00D67363"/>
    <w:rsid w:val="00D67779"/>
    <w:rsid w:val="00D67B41"/>
    <w:rsid w:val="00D67EB1"/>
    <w:rsid w:val="00D67F31"/>
    <w:rsid w:val="00D67FF5"/>
    <w:rsid w:val="00D705F7"/>
    <w:rsid w:val="00D7061A"/>
    <w:rsid w:val="00D70627"/>
    <w:rsid w:val="00D70799"/>
    <w:rsid w:val="00D709C7"/>
    <w:rsid w:val="00D709F8"/>
    <w:rsid w:val="00D70B3C"/>
    <w:rsid w:val="00D70CBD"/>
    <w:rsid w:val="00D70D4B"/>
    <w:rsid w:val="00D70E52"/>
    <w:rsid w:val="00D710A5"/>
    <w:rsid w:val="00D7140A"/>
    <w:rsid w:val="00D71609"/>
    <w:rsid w:val="00D716EB"/>
    <w:rsid w:val="00D716ED"/>
    <w:rsid w:val="00D717B0"/>
    <w:rsid w:val="00D71B0F"/>
    <w:rsid w:val="00D71C11"/>
    <w:rsid w:val="00D71FA4"/>
    <w:rsid w:val="00D72097"/>
    <w:rsid w:val="00D7230C"/>
    <w:rsid w:val="00D723D1"/>
    <w:rsid w:val="00D72524"/>
    <w:rsid w:val="00D72529"/>
    <w:rsid w:val="00D7265F"/>
    <w:rsid w:val="00D726A7"/>
    <w:rsid w:val="00D72BB2"/>
    <w:rsid w:val="00D72C70"/>
    <w:rsid w:val="00D7309D"/>
    <w:rsid w:val="00D73B44"/>
    <w:rsid w:val="00D73C84"/>
    <w:rsid w:val="00D73EE2"/>
    <w:rsid w:val="00D74200"/>
    <w:rsid w:val="00D744C5"/>
    <w:rsid w:val="00D74618"/>
    <w:rsid w:val="00D7463C"/>
    <w:rsid w:val="00D7476C"/>
    <w:rsid w:val="00D7486C"/>
    <w:rsid w:val="00D74C0B"/>
    <w:rsid w:val="00D74F3B"/>
    <w:rsid w:val="00D74F97"/>
    <w:rsid w:val="00D75126"/>
    <w:rsid w:val="00D75348"/>
    <w:rsid w:val="00D75349"/>
    <w:rsid w:val="00D75391"/>
    <w:rsid w:val="00D753E8"/>
    <w:rsid w:val="00D75430"/>
    <w:rsid w:val="00D7591F"/>
    <w:rsid w:val="00D75A28"/>
    <w:rsid w:val="00D75C19"/>
    <w:rsid w:val="00D75C5C"/>
    <w:rsid w:val="00D75C94"/>
    <w:rsid w:val="00D75EA6"/>
    <w:rsid w:val="00D76396"/>
    <w:rsid w:val="00D765F0"/>
    <w:rsid w:val="00D76608"/>
    <w:rsid w:val="00D76A28"/>
    <w:rsid w:val="00D76A64"/>
    <w:rsid w:val="00D76C30"/>
    <w:rsid w:val="00D76C39"/>
    <w:rsid w:val="00D76CC4"/>
    <w:rsid w:val="00D770EF"/>
    <w:rsid w:val="00D771E6"/>
    <w:rsid w:val="00D771EA"/>
    <w:rsid w:val="00D77618"/>
    <w:rsid w:val="00D77ACE"/>
    <w:rsid w:val="00D77B26"/>
    <w:rsid w:val="00D77BA9"/>
    <w:rsid w:val="00D77D69"/>
    <w:rsid w:val="00D8013C"/>
    <w:rsid w:val="00D801BE"/>
    <w:rsid w:val="00D802AF"/>
    <w:rsid w:val="00D802BB"/>
    <w:rsid w:val="00D8068A"/>
    <w:rsid w:val="00D807AD"/>
    <w:rsid w:val="00D80A31"/>
    <w:rsid w:val="00D80CF2"/>
    <w:rsid w:val="00D80E60"/>
    <w:rsid w:val="00D81136"/>
    <w:rsid w:val="00D811A1"/>
    <w:rsid w:val="00D813D8"/>
    <w:rsid w:val="00D813FA"/>
    <w:rsid w:val="00D81601"/>
    <w:rsid w:val="00D81809"/>
    <w:rsid w:val="00D81B8E"/>
    <w:rsid w:val="00D81BF0"/>
    <w:rsid w:val="00D8204E"/>
    <w:rsid w:val="00D822F9"/>
    <w:rsid w:val="00D8232C"/>
    <w:rsid w:val="00D824E5"/>
    <w:rsid w:val="00D828A4"/>
    <w:rsid w:val="00D82B1F"/>
    <w:rsid w:val="00D82B8D"/>
    <w:rsid w:val="00D82CB6"/>
    <w:rsid w:val="00D82CD4"/>
    <w:rsid w:val="00D82DD9"/>
    <w:rsid w:val="00D83177"/>
    <w:rsid w:val="00D8318C"/>
    <w:rsid w:val="00D83274"/>
    <w:rsid w:val="00D832E7"/>
    <w:rsid w:val="00D83569"/>
    <w:rsid w:val="00D836BB"/>
    <w:rsid w:val="00D8395B"/>
    <w:rsid w:val="00D83A49"/>
    <w:rsid w:val="00D83F7C"/>
    <w:rsid w:val="00D8423B"/>
    <w:rsid w:val="00D842F9"/>
    <w:rsid w:val="00D8431C"/>
    <w:rsid w:val="00D8438D"/>
    <w:rsid w:val="00D843EA"/>
    <w:rsid w:val="00D84496"/>
    <w:rsid w:val="00D846D4"/>
    <w:rsid w:val="00D84E23"/>
    <w:rsid w:val="00D84EEA"/>
    <w:rsid w:val="00D85109"/>
    <w:rsid w:val="00D852E1"/>
    <w:rsid w:val="00D854FE"/>
    <w:rsid w:val="00D85AF0"/>
    <w:rsid w:val="00D85B77"/>
    <w:rsid w:val="00D85B78"/>
    <w:rsid w:val="00D85B79"/>
    <w:rsid w:val="00D85C2C"/>
    <w:rsid w:val="00D85DD4"/>
    <w:rsid w:val="00D85E05"/>
    <w:rsid w:val="00D85EAD"/>
    <w:rsid w:val="00D85EE0"/>
    <w:rsid w:val="00D85F16"/>
    <w:rsid w:val="00D8605D"/>
    <w:rsid w:val="00D86303"/>
    <w:rsid w:val="00D86473"/>
    <w:rsid w:val="00D86550"/>
    <w:rsid w:val="00D865CE"/>
    <w:rsid w:val="00D865E8"/>
    <w:rsid w:val="00D869AA"/>
    <w:rsid w:val="00D86D77"/>
    <w:rsid w:val="00D86F1D"/>
    <w:rsid w:val="00D86FE4"/>
    <w:rsid w:val="00D871C5"/>
    <w:rsid w:val="00D871C6"/>
    <w:rsid w:val="00D8724E"/>
    <w:rsid w:val="00D875E6"/>
    <w:rsid w:val="00D8773D"/>
    <w:rsid w:val="00D877A7"/>
    <w:rsid w:val="00D877FC"/>
    <w:rsid w:val="00D87845"/>
    <w:rsid w:val="00D87880"/>
    <w:rsid w:val="00D87985"/>
    <w:rsid w:val="00D87A89"/>
    <w:rsid w:val="00D87C1D"/>
    <w:rsid w:val="00D87CF5"/>
    <w:rsid w:val="00D87D86"/>
    <w:rsid w:val="00D87DE9"/>
    <w:rsid w:val="00D87E0B"/>
    <w:rsid w:val="00D87EC8"/>
    <w:rsid w:val="00D901E6"/>
    <w:rsid w:val="00D90274"/>
    <w:rsid w:val="00D902F9"/>
    <w:rsid w:val="00D909EB"/>
    <w:rsid w:val="00D90F11"/>
    <w:rsid w:val="00D90F19"/>
    <w:rsid w:val="00D90F66"/>
    <w:rsid w:val="00D91091"/>
    <w:rsid w:val="00D912E2"/>
    <w:rsid w:val="00D916C6"/>
    <w:rsid w:val="00D91726"/>
    <w:rsid w:val="00D91B66"/>
    <w:rsid w:val="00D91CE3"/>
    <w:rsid w:val="00D9222A"/>
    <w:rsid w:val="00D9266A"/>
    <w:rsid w:val="00D928E7"/>
    <w:rsid w:val="00D92969"/>
    <w:rsid w:val="00D92A38"/>
    <w:rsid w:val="00D92C58"/>
    <w:rsid w:val="00D92FD9"/>
    <w:rsid w:val="00D92FE0"/>
    <w:rsid w:val="00D93118"/>
    <w:rsid w:val="00D93360"/>
    <w:rsid w:val="00D933A5"/>
    <w:rsid w:val="00D93709"/>
    <w:rsid w:val="00D93A1E"/>
    <w:rsid w:val="00D93A9F"/>
    <w:rsid w:val="00D93C3E"/>
    <w:rsid w:val="00D93C4A"/>
    <w:rsid w:val="00D93EB6"/>
    <w:rsid w:val="00D93EBD"/>
    <w:rsid w:val="00D93EFC"/>
    <w:rsid w:val="00D93F15"/>
    <w:rsid w:val="00D94270"/>
    <w:rsid w:val="00D945D1"/>
    <w:rsid w:val="00D94A85"/>
    <w:rsid w:val="00D94C61"/>
    <w:rsid w:val="00D94C6D"/>
    <w:rsid w:val="00D95127"/>
    <w:rsid w:val="00D952EB"/>
    <w:rsid w:val="00D953DE"/>
    <w:rsid w:val="00D9548D"/>
    <w:rsid w:val="00D954D1"/>
    <w:rsid w:val="00D95779"/>
    <w:rsid w:val="00D95827"/>
    <w:rsid w:val="00D95BC9"/>
    <w:rsid w:val="00D95E92"/>
    <w:rsid w:val="00D95F07"/>
    <w:rsid w:val="00D95FE7"/>
    <w:rsid w:val="00D96230"/>
    <w:rsid w:val="00D963E5"/>
    <w:rsid w:val="00D9668D"/>
    <w:rsid w:val="00D9691C"/>
    <w:rsid w:val="00D96ED1"/>
    <w:rsid w:val="00D96F57"/>
    <w:rsid w:val="00D97008"/>
    <w:rsid w:val="00D970B7"/>
    <w:rsid w:val="00D97119"/>
    <w:rsid w:val="00D971E5"/>
    <w:rsid w:val="00D97361"/>
    <w:rsid w:val="00D9747F"/>
    <w:rsid w:val="00D975A0"/>
    <w:rsid w:val="00D975D9"/>
    <w:rsid w:val="00D975E0"/>
    <w:rsid w:val="00D97A7A"/>
    <w:rsid w:val="00D97AE8"/>
    <w:rsid w:val="00D97AFB"/>
    <w:rsid w:val="00D97C04"/>
    <w:rsid w:val="00D97C52"/>
    <w:rsid w:val="00D97C8E"/>
    <w:rsid w:val="00D97DA8"/>
    <w:rsid w:val="00D97E7F"/>
    <w:rsid w:val="00DA0396"/>
    <w:rsid w:val="00DA05C1"/>
    <w:rsid w:val="00DA067F"/>
    <w:rsid w:val="00DA06BC"/>
    <w:rsid w:val="00DA076B"/>
    <w:rsid w:val="00DA07B8"/>
    <w:rsid w:val="00DA0BCF"/>
    <w:rsid w:val="00DA0EDC"/>
    <w:rsid w:val="00DA0EF0"/>
    <w:rsid w:val="00DA0F5C"/>
    <w:rsid w:val="00DA16D0"/>
    <w:rsid w:val="00DA1849"/>
    <w:rsid w:val="00DA19BD"/>
    <w:rsid w:val="00DA1B32"/>
    <w:rsid w:val="00DA1CA7"/>
    <w:rsid w:val="00DA1D99"/>
    <w:rsid w:val="00DA1EC7"/>
    <w:rsid w:val="00DA2066"/>
    <w:rsid w:val="00DA23DF"/>
    <w:rsid w:val="00DA2418"/>
    <w:rsid w:val="00DA2728"/>
    <w:rsid w:val="00DA274A"/>
    <w:rsid w:val="00DA2925"/>
    <w:rsid w:val="00DA2A3D"/>
    <w:rsid w:val="00DA2D91"/>
    <w:rsid w:val="00DA2EC8"/>
    <w:rsid w:val="00DA2FDF"/>
    <w:rsid w:val="00DA32FA"/>
    <w:rsid w:val="00DA3328"/>
    <w:rsid w:val="00DA3413"/>
    <w:rsid w:val="00DA359B"/>
    <w:rsid w:val="00DA36B3"/>
    <w:rsid w:val="00DA37A5"/>
    <w:rsid w:val="00DA38CD"/>
    <w:rsid w:val="00DA3B04"/>
    <w:rsid w:val="00DA3EAA"/>
    <w:rsid w:val="00DA400E"/>
    <w:rsid w:val="00DA413F"/>
    <w:rsid w:val="00DA4167"/>
    <w:rsid w:val="00DA43EE"/>
    <w:rsid w:val="00DA4931"/>
    <w:rsid w:val="00DA50CA"/>
    <w:rsid w:val="00DA5279"/>
    <w:rsid w:val="00DA5509"/>
    <w:rsid w:val="00DA5841"/>
    <w:rsid w:val="00DA5DC0"/>
    <w:rsid w:val="00DA5E03"/>
    <w:rsid w:val="00DA5FC2"/>
    <w:rsid w:val="00DA5FDE"/>
    <w:rsid w:val="00DA6732"/>
    <w:rsid w:val="00DA6938"/>
    <w:rsid w:val="00DA69D7"/>
    <w:rsid w:val="00DA6F4B"/>
    <w:rsid w:val="00DA7083"/>
    <w:rsid w:val="00DA7155"/>
    <w:rsid w:val="00DA7256"/>
    <w:rsid w:val="00DA7280"/>
    <w:rsid w:val="00DA72E4"/>
    <w:rsid w:val="00DA741C"/>
    <w:rsid w:val="00DA7702"/>
    <w:rsid w:val="00DA770D"/>
    <w:rsid w:val="00DA786F"/>
    <w:rsid w:val="00DA7B00"/>
    <w:rsid w:val="00DA7B9E"/>
    <w:rsid w:val="00DA7D89"/>
    <w:rsid w:val="00DA7D8A"/>
    <w:rsid w:val="00DB01AA"/>
    <w:rsid w:val="00DB05F1"/>
    <w:rsid w:val="00DB073F"/>
    <w:rsid w:val="00DB0878"/>
    <w:rsid w:val="00DB09DF"/>
    <w:rsid w:val="00DB0BEA"/>
    <w:rsid w:val="00DB0DD3"/>
    <w:rsid w:val="00DB0F4B"/>
    <w:rsid w:val="00DB1014"/>
    <w:rsid w:val="00DB1415"/>
    <w:rsid w:val="00DB161F"/>
    <w:rsid w:val="00DB16D8"/>
    <w:rsid w:val="00DB178F"/>
    <w:rsid w:val="00DB185F"/>
    <w:rsid w:val="00DB19ED"/>
    <w:rsid w:val="00DB1D0A"/>
    <w:rsid w:val="00DB1E08"/>
    <w:rsid w:val="00DB1E15"/>
    <w:rsid w:val="00DB2604"/>
    <w:rsid w:val="00DB2AE6"/>
    <w:rsid w:val="00DB2CCB"/>
    <w:rsid w:val="00DB2F7F"/>
    <w:rsid w:val="00DB3138"/>
    <w:rsid w:val="00DB3428"/>
    <w:rsid w:val="00DB3ACB"/>
    <w:rsid w:val="00DB3B4F"/>
    <w:rsid w:val="00DB3BB4"/>
    <w:rsid w:val="00DB3C4C"/>
    <w:rsid w:val="00DB3EE7"/>
    <w:rsid w:val="00DB401A"/>
    <w:rsid w:val="00DB403A"/>
    <w:rsid w:val="00DB4343"/>
    <w:rsid w:val="00DB462B"/>
    <w:rsid w:val="00DB468E"/>
    <w:rsid w:val="00DB491B"/>
    <w:rsid w:val="00DB497F"/>
    <w:rsid w:val="00DB4B1A"/>
    <w:rsid w:val="00DB4F35"/>
    <w:rsid w:val="00DB5150"/>
    <w:rsid w:val="00DB5378"/>
    <w:rsid w:val="00DB541E"/>
    <w:rsid w:val="00DB5442"/>
    <w:rsid w:val="00DB5628"/>
    <w:rsid w:val="00DB56BF"/>
    <w:rsid w:val="00DB59D4"/>
    <w:rsid w:val="00DB5ED0"/>
    <w:rsid w:val="00DB5F0D"/>
    <w:rsid w:val="00DB5F43"/>
    <w:rsid w:val="00DB5F85"/>
    <w:rsid w:val="00DB6080"/>
    <w:rsid w:val="00DB6083"/>
    <w:rsid w:val="00DB61F9"/>
    <w:rsid w:val="00DB646F"/>
    <w:rsid w:val="00DB64A7"/>
    <w:rsid w:val="00DB6806"/>
    <w:rsid w:val="00DB6C0D"/>
    <w:rsid w:val="00DB6EA2"/>
    <w:rsid w:val="00DB702F"/>
    <w:rsid w:val="00DB73D8"/>
    <w:rsid w:val="00DB75F7"/>
    <w:rsid w:val="00DB7748"/>
    <w:rsid w:val="00DB7BE1"/>
    <w:rsid w:val="00DB7D41"/>
    <w:rsid w:val="00DB7DFB"/>
    <w:rsid w:val="00DC0243"/>
    <w:rsid w:val="00DC0852"/>
    <w:rsid w:val="00DC0A3A"/>
    <w:rsid w:val="00DC0A52"/>
    <w:rsid w:val="00DC0AE7"/>
    <w:rsid w:val="00DC0D5E"/>
    <w:rsid w:val="00DC0D9B"/>
    <w:rsid w:val="00DC0E15"/>
    <w:rsid w:val="00DC1062"/>
    <w:rsid w:val="00DC1072"/>
    <w:rsid w:val="00DC10E8"/>
    <w:rsid w:val="00DC12E6"/>
    <w:rsid w:val="00DC1568"/>
    <w:rsid w:val="00DC1734"/>
    <w:rsid w:val="00DC1914"/>
    <w:rsid w:val="00DC1944"/>
    <w:rsid w:val="00DC19A1"/>
    <w:rsid w:val="00DC1F70"/>
    <w:rsid w:val="00DC21EF"/>
    <w:rsid w:val="00DC22E9"/>
    <w:rsid w:val="00DC23B0"/>
    <w:rsid w:val="00DC23B7"/>
    <w:rsid w:val="00DC23D5"/>
    <w:rsid w:val="00DC2573"/>
    <w:rsid w:val="00DC2636"/>
    <w:rsid w:val="00DC2648"/>
    <w:rsid w:val="00DC2925"/>
    <w:rsid w:val="00DC2969"/>
    <w:rsid w:val="00DC2A4B"/>
    <w:rsid w:val="00DC2AA1"/>
    <w:rsid w:val="00DC2B8E"/>
    <w:rsid w:val="00DC2C31"/>
    <w:rsid w:val="00DC2CF8"/>
    <w:rsid w:val="00DC2DDD"/>
    <w:rsid w:val="00DC2EB7"/>
    <w:rsid w:val="00DC31F7"/>
    <w:rsid w:val="00DC34B2"/>
    <w:rsid w:val="00DC34BF"/>
    <w:rsid w:val="00DC3595"/>
    <w:rsid w:val="00DC35AE"/>
    <w:rsid w:val="00DC3673"/>
    <w:rsid w:val="00DC371F"/>
    <w:rsid w:val="00DC3775"/>
    <w:rsid w:val="00DC3827"/>
    <w:rsid w:val="00DC3B37"/>
    <w:rsid w:val="00DC3B5A"/>
    <w:rsid w:val="00DC3B5F"/>
    <w:rsid w:val="00DC3DCF"/>
    <w:rsid w:val="00DC3EF2"/>
    <w:rsid w:val="00DC3FA7"/>
    <w:rsid w:val="00DC3FBE"/>
    <w:rsid w:val="00DC45DC"/>
    <w:rsid w:val="00DC461E"/>
    <w:rsid w:val="00DC46A5"/>
    <w:rsid w:val="00DC4807"/>
    <w:rsid w:val="00DC487A"/>
    <w:rsid w:val="00DC487F"/>
    <w:rsid w:val="00DC4AA8"/>
    <w:rsid w:val="00DC4AB4"/>
    <w:rsid w:val="00DC4BEE"/>
    <w:rsid w:val="00DC4E9C"/>
    <w:rsid w:val="00DC4EF8"/>
    <w:rsid w:val="00DC5034"/>
    <w:rsid w:val="00DC5075"/>
    <w:rsid w:val="00DC5119"/>
    <w:rsid w:val="00DC525B"/>
    <w:rsid w:val="00DC542F"/>
    <w:rsid w:val="00DC54D2"/>
    <w:rsid w:val="00DC551F"/>
    <w:rsid w:val="00DC5573"/>
    <w:rsid w:val="00DC55D8"/>
    <w:rsid w:val="00DC564E"/>
    <w:rsid w:val="00DC5696"/>
    <w:rsid w:val="00DC58DA"/>
    <w:rsid w:val="00DC59BB"/>
    <w:rsid w:val="00DC5CEF"/>
    <w:rsid w:val="00DC5D1C"/>
    <w:rsid w:val="00DC5D3C"/>
    <w:rsid w:val="00DC5DC5"/>
    <w:rsid w:val="00DC61F6"/>
    <w:rsid w:val="00DC6303"/>
    <w:rsid w:val="00DC6545"/>
    <w:rsid w:val="00DC6776"/>
    <w:rsid w:val="00DC6D24"/>
    <w:rsid w:val="00DC6E75"/>
    <w:rsid w:val="00DC7122"/>
    <w:rsid w:val="00DC7179"/>
    <w:rsid w:val="00DC736E"/>
    <w:rsid w:val="00DC7400"/>
    <w:rsid w:val="00DC7791"/>
    <w:rsid w:val="00DC7921"/>
    <w:rsid w:val="00DC799F"/>
    <w:rsid w:val="00DC7A5E"/>
    <w:rsid w:val="00DC7AAA"/>
    <w:rsid w:val="00DC7B4E"/>
    <w:rsid w:val="00DC7BA1"/>
    <w:rsid w:val="00DC7BDA"/>
    <w:rsid w:val="00DD044B"/>
    <w:rsid w:val="00DD05DD"/>
    <w:rsid w:val="00DD0731"/>
    <w:rsid w:val="00DD08D9"/>
    <w:rsid w:val="00DD0A22"/>
    <w:rsid w:val="00DD0B97"/>
    <w:rsid w:val="00DD0C0B"/>
    <w:rsid w:val="00DD0C8A"/>
    <w:rsid w:val="00DD1070"/>
    <w:rsid w:val="00DD10A0"/>
    <w:rsid w:val="00DD1109"/>
    <w:rsid w:val="00DD11E1"/>
    <w:rsid w:val="00DD12AC"/>
    <w:rsid w:val="00DD14E2"/>
    <w:rsid w:val="00DD1701"/>
    <w:rsid w:val="00DD17FA"/>
    <w:rsid w:val="00DD1A39"/>
    <w:rsid w:val="00DD1EC0"/>
    <w:rsid w:val="00DD1EE8"/>
    <w:rsid w:val="00DD2087"/>
    <w:rsid w:val="00DD21A8"/>
    <w:rsid w:val="00DD21DA"/>
    <w:rsid w:val="00DD22B3"/>
    <w:rsid w:val="00DD243C"/>
    <w:rsid w:val="00DD2463"/>
    <w:rsid w:val="00DD25F0"/>
    <w:rsid w:val="00DD294E"/>
    <w:rsid w:val="00DD2B32"/>
    <w:rsid w:val="00DD2D4A"/>
    <w:rsid w:val="00DD2E8E"/>
    <w:rsid w:val="00DD2F4D"/>
    <w:rsid w:val="00DD3045"/>
    <w:rsid w:val="00DD3126"/>
    <w:rsid w:val="00DD32A6"/>
    <w:rsid w:val="00DD32B6"/>
    <w:rsid w:val="00DD34E0"/>
    <w:rsid w:val="00DD3512"/>
    <w:rsid w:val="00DD357E"/>
    <w:rsid w:val="00DD3710"/>
    <w:rsid w:val="00DD3C38"/>
    <w:rsid w:val="00DD3D02"/>
    <w:rsid w:val="00DD3F28"/>
    <w:rsid w:val="00DD4116"/>
    <w:rsid w:val="00DD432B"/>
    <w:rsid w:val="00DD4475"/>
    <w:rsid w:val="00DD44C8"/>
    <w:rsid w:val="00DD46B5"/>
    <w:rsid w:val="00DD4782"/>
    <w:rsid w:val="00DD492F"/>
    <w:rsid w:val="00DD4C61"/>
    <w:rsid w:val="00DD517A"/>
    <w:rsid w:val="00DD528D"/>
    <w:rsid w:val="00DD5410"/>
    <w:rsid w:val="00DD55B5"/>
    <w:rsid w:val="00DD57D5"/>
    <w:rsid w:val="00DD58D7"/>
    <w:rsid w:val="00DD5A8F"/>
    <w:rsid w:val="00DD5C01"/>
    <w:rsid w:val="00DD5D3A"/>
    <w:rsid w:val="00DD5DEA"/>
    <w:rsid w:val="00DD5F69"/>
    <w:rsid w:val="00DD6482"/>
    <w:rsid w:val="00DD6767"/>
    <w:rsid w:val="00DD699F"/>
    <w:rsid w:val="00DD6D98"/>
    <w:rsid w:val="00DD6E0B"/>
    <w:rsid w:val="00DD6E89"/>
    <w:rsid w:val="00DD74CF"/>
    <w:rsid w:val="00DD7528"/>
    <w:rsid w:val="00DD768C"/>
    <w:rsid w:val="00DD7723"/>
    <w:rsid w:val="00DD77E3"/>
    <w:rsid w:val="00DD786E"/>
    <w:rsid w:val="00DD7871"/>
    <w:rsid w:val="00DD78D9"/>
    <w:rsid w:val="00DD791D"/>
    <w:rsid w:val="00DD7BEA"/>
    <w:rsid w:val="00DD7CDC"/>
    <w:rsid w:val="00DD7CF7"/>
    <w:rsid w:val="00DE0052"/>
    <w:rsid w:val="00DE012B"/>
    <w:rsid w:val="00DE0275"/>
    <w:rsid w:val="00DE0319"/>
    <w:rsid w:val="00DE0340"/>
    <w:rsid w:val="00DE0628"/>
    <w:rsid w:val="00DE093A"/>
    <w:rsid w:val="00DE0C94"/>
    <w:rsid w:val="00DE0D0B"/>
    <w:rsid w:val="00DE0EE5"/>
    <w:rsid w:val="00DE10FF"/>
    <w:rsid w:val="00DE1367"/>
    <w:rsid w:val="00DE13E4"/>
    <w:rsid w:val="00DE192F"/>
    <w:rsid w:val="00DE193D"/>
    <w:rsid w:val="00DE1F27"/>
    <w:rsid w:val="00DE265E"/>
    <w:rsid w:val="00DE26A4"/>
    <w:rsid w:val="00DE2856"/>
    <w:rsid w:val="00DE2931"/>
    <w:rsid w:val="00DE2A85"/>
    <w:rsid w:val="00DE2C52"/>
    <w:rsid w:val="00DE2C53"/>
    <w:rsid w:val="00DE2CCA"/>
    <w:rsid w:val="00DE2E35"/>
    <w:rsid w:val="00DE30F8"/>
    <w:rsid w:val="00DE3244"/>
    <w:rsid w:val="00DE37CE"/>
    <w:rsid w:val="00DE3AD3"/>
    <w:rsid w:val="00DE3AD4"/>
    <w:rsid w:val="00DE3D0A"/>
    <w:rsid w:val="00DE3D57"/>
    <w:rsid w:val="00DE3FD0"/>
    <w:rsid w:val="00DE3FF1"/>
    <w:rsid w:val="00DE403A"/>
    <w:rsid w:val="00DE421B"/>
    <w:rsid w:val="00DE43B2"/>
    <w:rsid w:val="00DE4523"/>
    <w:rsid w:val="00DE46BC"/>
    <w:rsid w:val="00DE46F5"/>
    <w:rsid w:val="00DE4A1C"/>
    <w:rsid w:val="00DE4A43"/>
    <w:rsid w:val="00DE4A58"/>
    <w:rsid w:val="00DE4AE2"/>
    <w:rsid w:val="00DE4AFF"/>
    <w:rsid w:val="00DE5353"/>
    <w:rsid w:val="00DE555A"/>
    <w:rsid w:val="00DE55AF"/>
    <w:rsid w:val="00DE583E"/>
    <w:rsid w:val="00DE5904"/>
    <w:rsid w:val="00DE5C51"/>
    <w:rsid w:val="00DE5DEC"/>
    <w:rsid w:val="00DE5EB4"/>
    <w:rsid w:val="00DE6051"/>
    <w:rsid w:val="00DE61FC"/>
    <w:rsid w:val="00DE628C"/>
    <w:rsid w:val="00DE6558"/>
    <w:rsid w:val="00DE6A1F"/>
    <w:rsid w:val="00DE6C6F"/>
    <w:rsid w:val="00DE6EA0"/>
    <w:rsid w:val="00DE6F18"/>
    <w:rsid w:val="00DE73CC"/>
    <w:rsid w:val="00DE7502"/>
    <w:rsid w:val="00DE76DA"/>
    <w:rsid w:val="00DE7837"/>
    <w:rsid w:val="00DE7A9C"/>
    <w:rsid w:val="00DE7C22"/>
    <w:rsid w:val="00DE7D7E"/>
    <w:rsid w:val="00DF0287"/>
    <w:rsid w:val="00DF0370"/>
    <w:rsid w:val="00DF04A2"/>
    <w:rsid w:val="00DF0A64"/>
    <w:rsid w:val="00DF0BF6"/>
    <w:rsid w:val="00DF0C43"/>
    <w:rsid w:val="00DF0D08"/>
    <w:rsid w:val="00DF0D36"/>
    <w:rsid w:val="00DF0DC0"/>
    <w:rsid w:val="00DF1201"/>
    <w:rsid w:val="00DF12D3"/>
    <w:rsid w:val="00DF12DA"/>
    <w:rsid w:val="00DF1507"/>
    <w:rsid w:val="00DF1A65"/>
    <w:rsid w:val="00DF1BF4"/>
    <w:rsid w:val="00DF1C94"/>
    <w:rsid w:val="00DF1D8B"/>
    <w:rsid w:val="00DF1E95"/>
    <w:rsid w:val="00DF21A1"/>
    <w:rsid w:val="00DF23A5"/>
    <w:rsid w:val="00DF25EB"/>
    <w:rsid w:val="00DF26BB"/>
    <w:rsid w:val="00DF2754"/>
    <w:rsid w:val="00DF28A9"/>
    <w:rsid w:val="00DF2C19"/>
    <w:rsid w:val="00DF2C60"/>
    <w:rsid w:val="00DF307F"/>
    <w:rsid w:val="00DF3136"/>
    <w:rsid w:val="00DF3259"/>
    <w:rsid w:val="00DF3A43"/>
    <w:rsid w:val="00DF3A59"/>
    <w:rsid w:val="00DF3C2D"/>
    <w:rsid w:val="00DF3FA8"/>
    <w:rsid w:val="00DF425A"/>
    <w:rsid w:val="00DF44DE"/>
    <w:rsid w:val="00DF454B"/>
    <w:rsid w:val="00DF4725"/>
    <w:rsid w:val="00DF47F0"/>
    <w:rsid w:val="00DF4825"/>
    <w:rsid w:val="00DF4B5F"/>
    <w:rsid w:val="00DF4CAF"/>
    <w:rsid w:val="00DF4F91"/>
    <w:rsid w:val="00DF52A9"/>
    <w:rsid w:val="00DF5347"/>
    <w:rsid w:val="00DF53B5"/>
    <w:rsid w:val="00DF58BB"/>
    <w:rsid w:val="00DF5900"/>
    <w:rsid w:val="00DF5A8B"/>
    <w:rsid w:val="00DF5D30"/>
    <w:rsid w:val="00DF5EC8"/>
    <w:rsid w:val="00DF652A"/>
    <w:rsid w:val="00DF66B4"/>
    <w:rsid w:val="00DF67BF"/>
    <w:rsid w:val="00DF67D4"/>
    <w:rsid w:val="00DF68F8"/>
    <w:rsid w:val="00DF6B65"/>
    <w:rsid w:val="00DF6C9B"/>
    <w:rsid w:val="00DF6D1C"/>
    <w:rsid w:val="00DF71A4"/>
    <w:rsid w:val="00DF725C"/>
    <w:rsid w:val="00DF73CC"/>
    <w:rsid w:val="00DF761C"/>
    <w:rsid w:val="00DF76E7"/>
    <w:rsid w:val="00DF7720"/>
    <w:rsid w:val="00DF7932"/>
    <w:rsid w:val="00DF7CA4"/>
    <w:rsid w:val="00DF7D2B"/>
    <w:rsid w:val="00DF7E35"/>
    <w:rsid w:val="00DF7EC1"/>
    <w:rsid w:val="00DF7F05"/>
    <w:rsid w:val="00E0006A"/>
    <w:rsid w:val="00E000A0"/>
    <w:rsid w:val="00E0017C"/>
    <w:rsid w:val="00E00457"/>
    <w:rsid w:val="00E006A1"/>
    <w:rsid w:val="00E00745"/>
    <w:rsid w:val="00E0090B"/>
    <w:rsid w:val="00E00A99"/>
    <w:rsid w:val="00E00B62"/>
    <w:rsid w:val="00E00B73"/>
    <w:rsid w:val="00E00CC3"/>
    <w:rsid w:val="00E00D10"/>
    <w:rsid w:val="00E00EDE"/>
    <w:rsid w:val="00E01253"/>
    <w:rsid w:val="00E014AA"/>
    <w:rsid w:val="00E014EF"/>
    <w:rsid w:val="00E01617"/>
    <w:rsid w:val="00E017A1"/>
    <w:rsid w:val="00E0197D"/>
    <w:rsid w:val="00E01ACA"/>
    <w:rsid w:val="00E01B1A"/>
    <w:rsid w:val="00E01BA4"/>
    <w:rsid w:val="00E01FA3"/>
    <w:rsid w:val="00E01FE3"/>
    <w:rsid w:val="00E0213B"/>
    <w:rsid w:val="00E021A4"/>
    <w:rsid w:val="00E024B1"/>
    <w:rsid w:val="00E025D5"/>
    <w:rsid w:val="00E02632"/>
    <w:rsid w:val="00E02871"/>
    <w:rsid w:val="00E0293D"/>
    <w:rsid w:val="00E02DA4"/>
    <w:rsid w:val="00E02F71"/>
    <w:rsid w:val="00E02FBB"/>
    <w:rsid w:val="00E03266"/>
    <w:rsid w:val="00E03344"/>
    <w:rsid w:val="00E03434"/>
    <w:rsid w:val="00E034E5"/>
    <w:rsid w:val="00E035E6"/>
    <w:rsid w:val="00E037BE"/>
    <w:rsid w:val="00E03884"/>
    <w:rsid w:val="00E038E0"/>
    <w:rsid w:val="00E03B46"/>
    <w:rsid w:val="00E03B79"/>
    <w:rsid w:val="00E03B81"/>
    <w:rsid w:val="00E03DA6"/>
    <w:rsid w:val="00E03DE6"/>
    <w:rsid w:val="00E040D9"/>
    <w:rsid w:val="00E04279"/>
    <w:rsid w:val="00E04311"/>
    <w:rsid w:val="00E043B0"/>
    <w:rsid w:val="00E043B4"/>
    <w:rsid w:val="00E0443A"/>
    <w:rsid w:val="00E04455"/>
    <w:rsid w:val="00E04497"/>
    <w:rsid w:val="00E0477E"/>
    <w:rsid w:val="00E047C3"/>
    <w:rsid w:val="00E0488E"/>
    <w:rsid w:val="00E049C7"/>
    <w:rsid w:val="00E04A3F"/>
    <w:rsid w:val="00E04BA7"/>
    <w:rsid w:val="00E04F14"/>
    <w:rsid w:val="00E05076"/>
    <w:rsid w:val="00E050A5"/>
    <w:rsid w:val="00E05163"/>
    <w:rsid w:val="00E05318"/>
    <w:rsid w:val="00E0538E"/>
    <w:rsid w:val="00E053B8"/>
    <w:rsid w:val="00E05590"/>
    <w:rsid w:val="00E0594A"/>
    <w:rsid w:val="00E05AD5"/>
    <w:rsid w:val="00E05CBC"/>
    <w:rsid w:val="00E05D19"/>
    <w:rsid w:val="00E0631A"/>
    <w:rsid w:val="00E06438"/>
    <w:rsid w:val="00E0651A"/>
    <w:rsid w:val="00E06898"/>
    <w:rsid w:val="00E06A38"/>
    <w:rsid w:val="00E06A67"/>
    <w:rsid w:val="00E06B21"/>
    <w:rsid w:val="00E06C12"/>
    <w:rsid w:val="00E06DA3"/>
    <w:rsid w:val="00E06DE7"/>
    <w:rsid w:val="00E06EAD"/>
    <w:rsid w:val="00E07030"/>
    <w:rsid w:val="00E071BA"/>
    <w:rsid w:val="00E07416"/>
    <w:rsid w:val="00E0756D"/>
    <w:rsid w:val="00E0762C"/>
    <w:rsid w:val="00E07B27"/>
    <w:rsid w:val="00E1000E"/>
    <w:rsid w:val="00E1020E"/>
    <w:rsid w:val="00E102B4"/>
    <w:rsid w:val="00E1032B"/>
    <w:rsid w:val="00E107A6"/>
    <w:rsid w:val="00E10A5A"/>
    <w:rsid w:val="00E10C80"/>
    <w:rsid w:val="00E10EC5"/>
    <w:rsid w:val="00E10F93"/>
    <w:rsid w:val="00E1106D"/>
    <w:rsid w:val="00E110F3"/>
    <w:rsid w:val="00E113AF"/>
    <w:rsid w:val="00E113F4"/>
    <w:rsid w:val="00E114B6"/>
    <w:rsid w:val="00E11626"/>
    <w:rsid w:val="00E118F8"/>
    <w:rsid w:val="00E119CC"/>
    <w:rsid w:val="00E11D96"/>
    <w:rsid w:val="00E11E1B"/>
    <w:rsid w:val="00E11EF3"/>
    <w:rsid w:val="00E11F53"/>
    <w:rsid w:val="00E12229"/>
    <w:rsid w:val="00E12681"/>
    <w:rsid w:val="00E12708"/>
    <w:rsid w:val="00E1278F"/>
    <w:rsid w:val="00E12830"/>
    <w:rsid w:val="00E12984"/>
    <w:rsid w:val="00E12C26"/>
    <w:rsid w:val="00E1307D"/>
    <w:rsid w:val="00E1311F"/>
    <w:rsid w:val="00E131C2"/>
    <w:rsid w:val="00E13306"/>
    <w:rsid w:val="00E13405"/>
    <w:rsid w:val="00E134FB"/>
    <w:rsid w:val="00E136C6"/>
    <w:rsid w:val="00E139C6"/>
    <w:rsid w:val="00E13A8D"/>
    <w:rsid w:val="00E13C9D"/>
    <w:rsid w:val="00E13DBA"/>
    <w:rsid w:val="00E13EAF"/>
    <w:rsid w:val="00E13F83"/>
    <w:rsid w:val="00E141BB"/>
    <w:rsid w:val="00E142F3"/>
    <w:rsid w:val="00E142F7"/>
    <w:rsid w:val="00E14604"/>
    <w:rsid w:val="00E1466F"/>
    <w:rsid w:val="00E146DB"/>
    <w:rsid w:val="00E14806"/>
    <w:rsid w:val="00E14CD1"/>
    <w:rsid w:val="00E14D4A"/>
    <w:rsid w:val="00E14E67"/>
    <w:rsid w:val="00E14F26"/>
    <w:rsid w:val="00E151A4"/>
    <w:rsid w:val="00E15213"/>
    <w:rsid w:val="00E1555B"/>
    <w:rsid w:val="00E1559F"/>
    <w:rsid w:val="00E1572B"/>
    <w:rsid w:val="00E15B1B"/>
    <w:rsid w:val="00E15B75"/>
    <w:rsid w:val="00E15D5C"/>
    <w:rsid w:val="00E15E70"/>
    <w:rsid w:val="00E15F12"/>
    <w:rsid w:val="00E16088"/>
    <w:rsid w:val="00E1618E"/>
    <w:rsid w:val="00E1639F"/>
    <w:rsid w:val="00E163CE"/>
    <w:rsid w:val="00E163EC"/>
    <w:rsid w:val="00E165B2"/>
    <w:rsid w:val="00E167C1"/>
    <w:rsid w:val="00E168F7"/>
    <w:rsid w:val="00E16978"/>
    <w:rsid w:val="00E16B80"/>
    <w:rsid w:val="00E16E50"/>
    <w:rsid w:val="00E16F9F"/>
    <w:rsid w:val="00E170BB"/>
    <w:rsid w:val="00E17147"/>
    <w:rsid w:val="00E171CA"/>
    <w:rsid w:val="00E173E2"/>
    <w:rsid w:val="00E175C1"/>
    <w:rsid w:val="00E17606"/>
    <w:rsid w:val="00E17D40"/>
    <w:rsid w:val="00E17E2C"/>
    <w:rsid w:val="00E17E5D"/>
    <w:rsid w:val="00E17E99"/>
    <w:rsid w:val="00E200BE"/>
    <w:rsid w:val="00E2024B"/>
    <w:rsid w:val="00E20354"/>
    <w:rsid w:val="00E2064B"/>
    <w:rsid w:val="00E2090D"/>
    <w:rsid w:val="00E209F3"/>
    <w:rsid w:val="00E20A91"/>
    <w:rsid w:val="00E20AFA"/>
    <w:rsid w:val="00E20C13"/>
    <w:rsid w:val="00E20EA5"/>
    <w:rsid w:val="00E20F5E"/>
    <w:rsid w:val="00E213AC"/>
    <w:rsid w:val="00E21497"/>
    <w:rsid w:val="00E216FA"/>
    <w:rsid w:val="00E21842"/>
    <w:rsid w:val="00E21962"/>
    <w:rsid w:val="00E21AC7"/>
    <w:rsid w:val="00E21B28"/>
    <w:rsid w:val="00E21DE9"/>
    <w:rsid w:val="00E21E2E"/>
    <w:rsid w:val="00E21E57"/>
    <w:rsid w:val="00E21F4A"/>
    <w:rsid w:val="00E222BE"/>
    <w:rsid w:val="00E223EA"/>
    <w:rsid w:val="00E22495"/>
    <w:rsid w:val="00E2262E"/>
    <w:rsid w:val="00E22805"/>
    <w:rsid w:val="00E229F9"/>
    <w:rsid w:val="00E22BEC"/>
    <w:rsid w:val="00E22CEB"/>
    <w:rsid w:val="00E22DC7"/>
    <w:rsid w:val="00E22E4C"/>
    <w:rsid w:val="00E22F99"/>
    <w:rsid w:val="00E230B9"/>
    <w:rsid w:val="00E2316A"/>
    <w:rsid w:val="00E23181"/>
    <w:rsid w:val="00E23236"/>
    <w:rsid w:val="00E232C8"/>
    <w:rsid w:val="00E234F8"/>
    <w:rsid w:val="00E23A2A"/>
    <w:rsid w:val="00E23B5A"/>
    <w:rsid w:val="00E23C67"/>
    <w:rsid w:val="00E23E62"/>
    <w:rsid w:val="00E241D9"/>
    <w:rsid w:val="00E242D0"/>
    <w:rsid w:val="00E244E4"/>
    <w:rsid w:val="00E24576"/>
    <w:rsid w:val="00E24920"/>
    <w:rsid w:val="00E24AA7"/>
    <w:rsid w:val="00E24BD1"/>
    <w:rsid w:val="00E24E4C"/>
    <w:rsid w:val="00E24F09"/>
    <w:rsid w:val="00E2507D"/>
    <w:rsid w:val="00E2507E"/>
    <w:rsid w:val="00E25358"/>
    <w:rsid w:val="00E2544A"/>
    <w:rsid w:val="00E25567"/>
    <w:rsid w:val="00E255D7"/>
    <w:rsid w:val="00E25712"/>
    <w:rsid w:val="00E25822"/>
    <w:rsid w:val="00E25AA0"/>
    <w:rsid w:val="00E25D59"/>
    <w:rsid w:val="00E25EEC"/>
    <w:rsid w:val="00E25F20"/>
    <w:rsid w:val="00E2643D"/>
    <w:rsid w:val="00E264C0"/>
    <w:rsid w:val="00E265BE"/>
    <w:rsid w:val="00E265D6"/>
    <w:rsid w:val="00E266B3"/>
    <w:rsid w:val="00E2690A"/>
    <w:rsid w:val="00E269BB"/>
    <w:rsid w:val="00E26D28"/>
    <w:rsid w:val="00E26EF6"/>
    <w:rsid w:val="00E2708E"/>
    <w:rsid w:val="00E274DE"/>
    <w:rsid w:val="00E27581"/>
    <w:rsid w:val="00E27827"/>
    <w:rsid w:val="00E27882"/>
    <w:rsid w:val="00E27949"/>
    <w:rsid w:val="00E27C62"/>
    <w:rsid w:val="00E27C7D"/>
    <w:rsid w:val="00E27D4D"/>
    <w:rsid w:val="00E27EAF"/>
    <w:rsid w:val="00E30040"/>
    <w:rsid w:val="00E30080"/>
    <w:rsid w:val="00E305BC"/>
    <w:rsid w:val="00E3064A"/>
    <w:rsid w:val="00E30754"/>
    <w:rsid w:val="00E307F2"/>
    <w:rsid w:val="00E30D45"/>
    <w:rsid w:val="00E30EE9"/>
    <w:rsid w:val="00E3126B"/>
    <w:rsid w:val="00E316A3"/>
    <w:rsid w:val="00E317FB"/>
    <w:rsid w:val="00E31820"/>
    <w:rsid w:val="00E3213A"/>
    <w:rsid w:val="00E3277D"/>
    <w:rsid w:val="00E32B44"/>
    <w:rsid w:val="00E32D54"/>
    <w:rsid w:val="00E32DA2"/>
    <w:rsid w:val="00E32DC4"/>
    <w:rsid w:val="00E330C1"/>
    <w:rsid w:val="00E33245"/>
    <w:rsid w:val="00E333C0"/>
    <w:rsid w:val="00E33450"/>
    <w:rsid w:val="00E334BB"/>
    <w:rsid w:val="00E336BC"/>
    <w:rsid w:val="00E336D5"/>
    <w:rsid w:val="00E33931"/>
    <w:rsid w:val="00E33A66"/>
    <w:rsid w:val="00E33AF9"/>
    <w:rsid w:val="00E33BF0"/>
    <w:rsid w:val="00E33F87"/>
    <w:rsid w:val="00E33FFA"/>
    <w:rsid w:val="00E34068"/>
    <w:rsid w:val="00E340B8"/>
    <w:rsid w:val="00E34161"/>
    <w:rsid w:val="00E3432F"/>
    <w:rsid w:val="00E34594"/>
    <w:rsid w:val="00E34792"/>
    <w:rsid w:val="00E34840"/>
    <w:rsid w:val="00E34A35"/>
    <w:rsid w:val="00E34BE0"/>
    <w:rsid w:val="00E34F18"/>
    <w:rsid w:val="00E34F93"/>
    <w:rsid w:val="00E34FA5"/>
    <w:rsid w:val="00E350E7"/>
    <w:rsid w:val="00E350F7"/>
    <w:rsid w:val="00E351BE"/>
    <w:rsid w:val="00E352A4"/>
    <w:rsid w:val="00E35365"/>
    <w:rsid w:val="00E3598F"/>
    <w:rsid w:val="00E359E4"/>
    <w:rsid w:val="00E35DF3"/>
    <w:rsid w:val="00E361D2"/>
    <w:rsid w:val="00E362E7"/>
    <w:rsid w:val="00E3630F"/>
    <w:rsid w:val="00E3631F"/>
    <w:rsid w:val="00E369C0"/>
    <w:rsid w:val="00E36E38"/>
    <w:rsid w:val="00E36F53"/>
    <w:rsid w:val="00E36F96"/>
    <w:rsid w:val="00E37147"/>
    <w:rsid w:val="00E374F3"/>
    <w:rsid w:val="00E3752B"/>
    <w:rsid w:val="00E375E3"/>
    <w:rsid w:val="00E37645"/>
    <w:rsid w:val="00E37974"/>
    <w:rsid w:val="00E37D27"/>
    <w:rsid w:val="00E37D45"/>
    <w:rsid w:val="00E37F4D"/>
    <w:rsid w:val="00E40085"/>
    <w:rsid w:val="00E40368"/>
    <w:rsid w:val="00E403B1"/>
    <w:rsid w:val="00E40EDA"/>
    <w:rsid w:val="00E41173"/>
    <w:rsid w:val="00E411C3"/>
    <w:rsid w:val="00E411D3"/>
    <w:rsid w:val="00E418D0"/>
    <w:rsid w:val="00E41CB2"/>
    <w:rsid w:val="00E41CCD"/>
    <w:rsid w:val="00E41CFD"/>
    <w:rsid w:val="00E41D24"/>
    <w:rsid w:val="00E4201B"/>
    <w:rsid w:val="00E420E0"/>
    <w:rsid w:val="00E42137"/>
    <w:rsid w:val="00E4229D"/>
    <w:rsid w:val="00E42314"/>
    <w:rsid w:val="00E424ED"/>
    <w:rsid w:val="00E425DC"/>
    <w:rsid w:val="00E4265C"/>
    <w:rsid w:val="00E42768"/>
    <w:rsid w:val="00E42949"/>
    <w:rsid w:val="00E429B0"/>
    <w:rsid w:val="00E42B94"/>
    <w:rsid w:val="00E42FBE"/>
    <w:rsid w:val="00E43090"/>
    <w:rsid w:val="00E430AD"/>
    <w:rsid w:val="00E43238"/>
    <w:rsid w:val="00E43246"/>
    <w:rsid w:val="00E4370F"/>
    <w:rsid w:val="00E43949"/>
    <w:rsid w:val="00E43CC9"/>
    <w:rsid w:val="00E43D27"/>
    <w:rsid w:val="00E44221"/>
    <w:rsid w:val="00E444F7"/>
    <w:rsid w:val="00E446E1"/>
    <w:rsid w:val="00E44836"/>
    <w:rsid w:val="00E448F6"/>
    <w:rsid w:val="00E44A23"/>
    <w:rsid w:val="00E44A4E"/>
    <w:rsid w:val="00E44AF7"/>
    <w:rsid w:val="00E44B5D"/>
    <w:rsid w:val="00E44C97"/>
    <w:rsid w:val="00E44D11"/>
    <w:rsid w:val="00E44EF2"/>
    <w:rsid w:val="00E44F12"/>
    <w:rsid w:val="00E44F1A"/>
    <w:rsid w:val="00E44FDD"/>
    <w:rsid w:val="00E4515B"/>
    <w:rsid w:val="00E45244"/>
    <w:rsid w:val="00E45273"/>
    <w:rsid w:val="00E45437"/>
    <w:rsid w:val="00E454DA"/>
    <w:rsid w:val="00E4588E"/>
    <w:rsid w:val="00E45AE4"/>
    <w:rsid w:val="00E45C8C"/>
    <w:rsid w:val="00E45D6C"/>
    <w:rsid w:val="00E45F08"/>
    <w:rsid w:val="00E46012"/>
    <w:rsid w:val="00E46051"/>
    <w:rsid w:val="00E46191"/>
    <w:rsid w:val="00E46515"/>
    <w:rsid w:val="00E46737"/>
    <w:rsid w:val="00E4681F"/>
    <w:rsid w:val="00E4687A"/>
    <w:rsid w:val="00E468EC"/>
    <w:rsid w:val="00E46A1A"/>
    <w:rsid w:val="00E46AF3"/>
    <w:rsid w:val="00E46B17"/>
    <w:rsid w:val="00E46B4B"/>
    <w:rsid w:val="00E46BAF"/>
    <w:rsid w:val="00E46BD1"/>
    <w:rsid w:val="00E46C30"/>
    <w:rsid w:val="00E46C8A"/>
    <w:rsid w:val="00E46EF7"/>
    <w:rsid w:val="00E46FFC"/>
    <w:rsid w:val="00E47210"/>
    <w:rsid w:val="00E472FD"/>
    <w:rsid w:val="00E4759F"/>
    <w:rsid w:val="00E476DF"/>
    <w:rsid w:val="00E476FB"/>
    <w:rsid w:val="00E477DD"/>
    <w:rsid w:val="00E47890"/>
    <w:rsid w:val="00E47ADB"/>
    <w:rsid w:val="00E47B1D"/>
    <w:rsid w:val="00E47B6D"/>
    <w:rsid w:val="00E47B9D"/>
    <w:rsid w:val="00E47DBC"/>
    <w:rsid w:val="00E500EE"/>
    <w:rsid w:val="00E50103"/>
    <w:rsid w:val="00E5020E"/>
    <w:rsid w:val="00E5032B"/>
    <w:rsid w:val="00E50354"/>
    <w:rsid w:val="00E5047C"/>
    <w:rsid w:val="00E507BD"/>
    <w:rsid w:val="00E507C9"/>
    <w:rsid w:val="00E508CD"/>
    <w:rsid w:val="00E509E6"/>
    <w:rsid w:val="00E50ACB"/>
    <w:rsid w:val="00E50C45"/>
    <w:rsid w:val="00E50C91"/>
    <w:rsid w:val="00E50CDB"/>
    <w:rsid w:val="00E51143"/>
    <w:rsid w:val="00E5117F"/>
    <w:rsid w:val="00E511DF"/>
    <w:rsid w:val="00E512B3"/>
    <w:rsid w:val="00E51356"/>
    <w:rsid w:val="00E514F2"/>
    <w:rsid w:val="00E51547"/>
    <w:rsid w:val="00E51642"/>
    <w:rsid w:val="00E51863"/>
    <w:rsid w:val="00E5186E"/>
    <w:rsid w:val="00E518CB"/>
    <w:rsid w:val="00E519DD"/>
    <w:rsid w:val="00E519EC"/>
    <w:rsid w:val="00E51A23"/>
    <w:rsid w:val="00E51A63"/>
    <w:rsid w:val="00E51D3E"/>
    <w:rsid w:val="00E51E5E"/>
    <w:rsid w:val="00E5205D"/>
    <w:rsid w:val="00E521CE"/>
    <w:rsid w:val="00E52494"/>
    <w:rsid w:val="00E524CE"/>
    <w:rsid w:val="00E5268F"/>
    <w:rsid w:val="00E526AD"/>
    <w:rsid w:val="00E52793"/>
    <w:rsid w:val="00E527DF"/>
    <w:rsid w:val="00E52B12"/>
    <w:rsid w:val="00E52BF3"/>
    <w:rsid w:val="00E52C06"/>
    <w:rsid w:val="00E52C46"/>
    <w:rsid w:val="00E52CE2"/>
    <w:rsid w:val="00E52DC7"/>
    <w:rsid w:val="00E52F14"/>
    <w:rsid w:val="00E52F36"/>
    <w:rsid w:val="00E53047"/>
    <w:rsid w:val="00E5329A"/>
    <w:rsid w:val="00E535DF"/>
    <w:rsid w:val="00E536C8"/>
    <w:rsid w:val="00E537B6"/>
    <w:rsid w:val="00E53D2A"/>
    <w:rsid w:val="00E53D8C"/>
    <w:rsid w:val="00E544A5"/>
    <w:rsid w:val="00E544FF"/>
    <w:rsid w:val="00E545F8"/>
    <w:rsid w:val="00E5485B"/>
    <w:rsid w:val="00E5495C"/>
    <w:rsid w:val="00E54AC0"/>
    <w:rsid w:val="00E54AC3"/>
    <w:rsid w:val="00E54B1C"/>
    <w:rsid w:val="00E54DE5"/>
    <w:rsid w:val="00E54F18"/>
    <w:rsid w:val="00E54FDE"/>
    <w:rsid w:val="00E5553E"/>
    <w:rsid w:val="00E5561C"/>
    <w:rsid w:val="00E557A4"/>
    <w:rsid w:val="00E557A6"/>
    <w:rsid w:val="00E559EF"/>
    <w:rsid w:val="00E55A33"/>
    <w:rsid w:val="00E55A5A"/>
    <w:rsid w:val="00E55B02"/>
    <w:rsid w:val="00E55C6B"/>
    <w:rsid w:val="00E55DB9"/>
    <w:rsid w:val="00E55F47"/>
    <w:rsid w:val="00E560B0"/>
    <w:rsid w:val="00E560B6"/>
    <w:rsid w:val="00E560D8"/>
    <w:rsid w:val="00E560E5"/>
    <w:rsid w:val="00E561F6"/>
    <w:rsid w:val="00E563DC"/>
    <w:rsid w:val="00E56506"/>
    <w:rsid w:val="00E5657B"/>
    <w:rsid w:val="00E56580"/>
    <w:rsid w:val="00E56974"/>
    <w:rsid w:val="00E569EE"/>
    <w:rsid w:val="00E56B7A"/>
    <w:rsid w:val="00E56C6E"/>
    <w:rsid w:val="00E56C73"/>
    <w:rsid w:val="00E56C97"/>
    <w:rsid w:val="00E57019"/>
    <w:rsid w:val="00E57167"/>
    <w:rsid w:val="00E5722D"/>
    <w:rsid w:val="00E57671"/>
    <w:rsid w:val="00E577CC"/>
    <w:rsid w:val="00E57A29"/>
    <w:rsid w:val="00E57C3A"/>
    <w:rsid w:val="00E60910"/>
    <w:rsid w:val="00E60B27"/>
    <w:rsid w:val="00E60BFC"/>
    <w:rsid w:val="00E60C33"/>
    <w:rsid w:val="00E610A7"/>
    <w:rsid w:val="00E611A1"/>
    <w:rsid w:val="00E6131A"/>
    <w:rsid w:val="00E61517"/>
    <w:rsid w:val="00E6153B"/>
    <w:rsid w:val="00E61847"/>
    <w:rsid w:val="00E61A4C"/>
    <w:rsid w:val="00E6224E"/>
    <w:rsid w:val="00E62311"/>
    <w:rsid w:val="00E623D8"/>
    <w:rsid w:val="00E628C4"/>
    <w:rsid w:val="00E629B5"/>
    <w:rsid w:val="00E62A39"/>
    <w:rsid w:val="00E62D57"/>
    <w:rsid w:val="00E62E80"/>
    <w:rsid w:val="00E62EFE"/>
    <w:rsid w:val="00E62F60"/>
    <w:rsid w:val="00E634E1"/>
    <w:rsid w:val="00E636DE"/>
    <w:rsid w:val="00E63756"/>
    <w:rsid w:val="00E63763"/>
    <w:rsid w:val="00E63914"/>
    <w:rsid w:val="00E63967"/>
    <w:rsid w:val="00E63A32"/>
    <w:rsid w:val="00E63B24"/>
    <w:rsid w:val="00E643D3"/>
    <w:rsid w:val="00E6444F"/>
    <w:rsid w:val="00E6456A"/>
    <w:rsid w:val="00E6499A"/>
    <w:rsid w:val="00E64A5E"/>
    <w:rsid w:val="00E64A97"/>
    <w:rsid w:val="00E64AD9"/>
    <w:rsid w:val="00E64C81"/>
    <w:rsid w:val="00E64CDB"/>
    <w:rsid w:val="00E64F0A"/>
    <w:rsid w:val="00E651C6"/>
    <w:rsid w:val="00E65489"/>
    <w:rsid w:val="00E65507"/>
    <w:rsid w:val="00E657C9"/>
    <w:rsid w:val="00E65881"/>
    <w:rsid w:val="00E6597C"/>
    <w:rsid w:val="00E65A81"/>
    <w:rsid w:val="00E65B19"/>
    <w:rsid w:val="00E65B8B"/>
    <w:rsid w:val="00E65DCC"/>
    <w:rsid w:val="00E65E23"/>
    <w:rsid w:val="00E65E3E"/>
    <w:rsid w:val="00E6674A"/>
    <w:rsid w:val="00E66764"/>
    <w:rsid w:val="00E66877"/>
    <w:rsid w:val="00E668A3"/>
    <w:rsid w:val="00E66984"/>
    <w:rsid w:val="00E66D39"/>
    <w:rsid w:val="00E670FE"/>
    <w:rsid w:val="00E67313"/>
    <w:rsid w:val="00E675D1"/>
    <w:rsid w:val="00E6765E"/>
    <w:rsid w:val="00E677F9"/>
    <w:rsid w:val="00E67831"/>
    <w:rsid w:val="00E67863"/>
    <w:rsid w:val="00E678C2"/>
    <w:rsid w:val="00E67ADD"/>
    <w:rsid w:val="00E67BE4"/>
    <w:rsid w:val="00E67BF0"/>
    <w:rsid w:val="00E67CE1"/>
    <w:rsid w:val="00E67D09"/>
    <w:rsid w:val="00E67F19"/>
    <w:rsid w:val="00E67F45"/>
    <w:rsid w:val="00E67FCC"/>
    <w:rsid w:val="00E7005F"/>
    <w:rsid w:val="00E70108"/>
    <w:rsid w:val="00E7016F"/>
    <w:rsid w:val="00E705F7"/>
    <w:rsid w:val="00E706DC"/>
    <w:rsid w:val="00E70A12"/>
    <w:rsid w:val="00E70F6B"/>
    <w:rsid w:val="00E711A1"/>
    <w:rsid w:val="00E711E0"/>
    <w:rsid w:val="00E71237"/>
    <w:rsid w:val="00E712EB"/>
    <w:rsid w:val="00E716F5"/>
    <w:rsid w:val="00E71736"/>
    <w:rsid w:val="00E717C6"/>
    <w:rsid w:val="00E718E8"/>
    <w:rsid w:val="00E71942"/>
    <w:rsid w:val="00E71967"/>
    <w:rsid w:val="00E71978"/>
    <w:rsid w:val="00E71AE9"/>
    <w:rsid w:val="00E71CD9"/>
    <w:rsid w:val="00E71CF4"/>
    <w:rsid w:val="00E71D57"/>
    <w:rsid w:val="00E71D73"/>
    <w:rsid w:val="00E71EF2"/>
    <w:rsid w:val="00E7213F"/>
    <w:rsid w:val="00E721D2"/>
    <w:rsid w:val="00E721E7"/>
    <w:rsid w:val="00E72384"/>
    <w:rsid w:val="00E72575"/>
    <w:rsid w:val="00E725E2"/>
    <w:rsid w:val="00E7272D"/>
    <w:rsid w:val="00E72ABE"/>
    <w:rsid w:val="00E72BB1"/>
    <w:rsid w:val="00E72D6C"/>
    <w:rsid w:val="00E72F60"/>
    <w:rsid w:val="00E72F78"/>
    <w:rsid w:val="00E72F84"/>
    <w:rsid w:val="00E72F90"/>
    <w:rsid w:val="00E7321C"/>
    <w:rsid w:val="00E73402"/>
    <w:rsid w:val="00E73685"/>
    <w:rsid w:val="00E7377D"/>
    <w:rsid w:val="00E73795"/>
    <w:rsid w:val="00E7381F"/>
    <w:rsid w:val="00E73DA9"/>
    <w:rsid w:val="00E73DE7"/>
    <w:rsid w:val="00E73FF4"/>
    <w:rsid w:val="00E74053"/>
    <w:rsid w:val="00E7409F"/>
    <w:rsid w:val="00E74175"/>
    <w:rsid w:val="00E74355"/>
    <w:rsid w:val="00E743C2"/>
    <w:rsid w:val="00E746CF"/>
    <w:rsid w:val="00E74715"/>
    <w:rsid w:val="00E74A0E"/>
    <w:rsid w:val="00E74B94"/>
    <w:rsid w:val="00E74C3C"/>
    <w:rsid w:val="00E74D00"/>
    <w:rsid w:val="00E74D68"/>
    <w:rsid w:val="00E74DED"/>
    <w:rsid w:val="00E74E1F"/>
    <w:rsid w:val="00E751FA"/>
    <w:rsid w:val="00E752F1"/>
    <w:rsid w:val="00E753E2"/>
    <w:rsid w:val="00E7544C"/>
    <w:rsid w:val="00E75629"/>
    <w:rsid w:val="00E75716"/>
    <w:rsid w:val="00E75845"/>
    <w:rsid w:val="00E758D2"/>
    <w:rsid w:val="00E75BCA"/>
    <w:rsid w:val="00E75CFE"/>
    <w:rsid w:val="00E75D25"/>
    <w:rsid w:val="00E75E38"/>
    <w:rsid w:val="00E75EBE"/>
    <w:rsid w:val="00E75EFA"/>
    <w:rsid w:val="00E7606F"/>
    <w:rsid w:val="00E764FB"/>
    <w:rsid w:val="00E7658F"/>
    <w:rsid w:val="00E76A68"/>
    <w:rsid w:val="00E76ACA"/>
    <w:rsid w:val="00E76C26"/>
    <w:rsid w:val="00E76C3E"/>
    <w:rsid w:val="00E76CB0"/>
    <w:rsid w:val="00E76D21"/>
    <w:rsid w:val="00E76D28"/>
    <w:rsid w:val="00E76E47"/>
    <w:rsid w:val="00E76ED3"/>
    <w:rsid w:val="00E771C8"/>
    <w:rsid w:val="00E7738B"/>
    <w:rsid w:val="00E773B8"/>
    <w:rsid w:val="00E7758A"/>
    <w:rsid w:val="00E776D2"/>
    <w:rsid w:val="00E77E57"/>
    <w:rsid w:val="00E77EDF"/>
    <w:rsid w:val="00E8017C"/>
    <w:rsid w:val="00E802C5"/>
    <w:rsid w:val="00E80637"/>
    <w:rsid w:val="00E80974"/>
    <w:rsid w:val="00E80ABB"/>
    <w:rsid w:val="00E80B4D"/>
    <w:rsid w:val="00E80DA5"/>
    <w:rsid w:val="00E80DA7"/>
    <w:rsid w:val="00E80E97"/>
    <w:rsid w:val="00E80F2D"/>
    <w:rsid w:val="00E80FA4"/>
    <w:rsid w:val="00E81228"/>
    <w:rsid w:val="00E812D9"/>
    <w:rsid w:val="00E81391"/>
    <w:rsid w:val="00E81602"/>
    <w:rsid w:val="00E81651"/>
    <w:rsid w:val="00E818C4"/>
    <w:rsid w:val="00E81971"/>
    <w:rsid w:val="00E819D9"/>
    <w:rsid w:val="00E81A8E"/>
    <w:rsid w:val="00E81C3F"/>
    <w:rsid w:val="00E81E1D"/>
    <w:rsid w:val="00E81E35"/>
    <w:rsid w:val="00E81FFD"/>
    <w:rsid w:val="00E82183"/>
    <w:rsid w:val="00E822B3"/>
    <w:rsid w:val="00E822DA"/>
    <w:rsid w:val="00E822F9"/>
    <w:rsid w:val="00E82436"/>
    <w:rsid w:val="00E824DA"/>
    <w:rsid w:val="00E82503"/>
    <w:rsid w:val="00E8267D"/>
    <w:rsid w:val="00E828E4"/>
    <w:rsid w:val="00E82AAE"/>
    <w:rsid w:val="00E82C5D"/>
    <w:rsid w:val="00E82F2D"/>
    <w:rsid w:val="00E82F53"/>
    <w:rsid w:val="00E83002"/>
    <w:rsid w:val="00E830FB"/>
    <w:rsid w:val="00E833CB"/>
    <w:rsid w:val="00E8359A"/>
    <w:rsid w:val="00E836C7"/>
    <w:rsid w:val="00E837B1"/>
    <w:rsid w:val="00E83ABB"/>
    <w:rsid w:val="00E83B21"/>
    <w:rsid w:val="00E83C55"/>
    <w:rsid w:val="00E83CC6"/>
    <w:rsid w:val="00E83CDD"/>
    <w:rsid w:val="00E83D2B"/>
    <w:rsid w:val="00E83D6B"/>
    <w:rsid w:val="00E8403C"/>
    <w:rsid w:val="00E842F8"/>
    <w:rsid w:val="00E8458F"/>
    <w:rsid w:val="00E845BC"/>
    <w:rsid w:val="00E84750"/>
    <w:rsid w:val="00E847AE"/>
    <w:rsid w:val="00E848A8"/>
    <w:rsid w:val="00E84B36"/>
    <w:rsid w:val="00E84B8A"/>
    <w:rsid w:val="00E84BB0"/>
    <w:rsid w:val="00E84BF2"/>
    <w:rsid w:val="00E84C68"/>
    <w:rsid w:val="00E84FC8"/>
    <w:rsid w:val="00E84FCA"/>
    <w:rsid w:val="00E85111"/>
    <w:rsid w:val="00E8546E"/>
    <w:rsid w:val="00E8549A"/>
    <w:rsid w:val="00E854DA"/>
    <w:rsid w:val="00E855A0"/>
    <w:rsid w:val="00E85866"/>
    <w:rsid w:val="00E85A2F"/>
    <w:rsid w:val="00E85A4D"/>
    <w:rsid w:val="00E85AB1"/>
    <w:rsid w:val="00E85CCE"/>
    <w:rsid w:val="00E86264"/>
    <w:rsid w:val="00E86400"/>
    <w:rsid w:val="00E8648A"/>
    <w:rsid w:val="00E864CC"/>
    <w:rsid w:val="00E865B5"/>
    <w:rsid w:val="00E86745"/>
    <w:rsid w:val="00E86750"/>
    <w:rsid w:val="00E86895"/>
    <w:rsid w:val="00E86A0C"/>
    <w:rsid w:val="00E86A41"/>
    <w:rsid w:val="00E86A81"/>
    <w:rsid w:val="00E86B55"/>
    <w:rsid w:val="00E86EA7"/>
    <w:rsid w:val="00E87011"/>
    <w:rsid w:val="00E870EE"/>
    <w:rsid w:val="00E87324"/>
    <w:rsid w:val="00E87420"/>
    <w:rsid w:val="00E8763E"/>
    <w:rsid w:val="00E878C9"/>
    <w:rsid w:val="00E87B4E"/>
    <w:rsid w:val="00E87DF7"/>
    <w:rsid w:val="00E87E44"/>
    <w:rsid w:val="00E87F52"/>
    <w:rsid w:val="00E87FCF"/>
    <w:rsid w:val="00E901AB"/>
    <w:rsid w:val="00E90426"/>
    <w:rsid w:val="00E9045E"/>
    <w:rsid w:val="00E90460"/>
    <w:rsid w:val="00E905A2"/>
    <w:rsid w:val="00E90D2A"/>
    <w:rsid w:val="00E90DEC"/>
    <w:rsid w:val="00E90F1A"/>
    <w:rsid w:val="00E90FB5"/>
    <w:rsid w:val="00E918C3"/>
    <w:rsid w:val="00E91AFB"/>
    <w:rsid w:val="00E91BCF"/>
    <w:rsid w:val="00E91D9C"/>
    <w:rsid w:val="00E92273"/>
    <w:rsid w:val="00E925A5"/>
    <w:rsid w:val="00E925ED"/>
    <w:rsid w:val="00E927AD"/>
    <w:rsid w:val="00E93264"/>
    <w:rsid w:val="00E932C9"/>
    <w:rsid w:val="00E937D7"/>
    <w:rsid w:val="00E9394B"/>
    <w:rsid w:val="00E939FD"/>
    <w:rsid w:val="00E93BAF"/>
    <w:rsid w:val="00E93BDE"/>
    <w:rsid w:val="00E93DD1"/>
    <w:rsid w:val="00E93E22"/>
    <w:rsid w:val="00E93E2B"/>
    <w:rsid w:val="00E94008"/>
    <w:rsid w:val="00E941F7"/>
    <w:rsid w:val="00E942B5"/>
    <w:rsid w:val="00E944E6"/>
    <w:rsid w:val="00E944F5"/>
    <w:rsid w:val="00E945E2"/>
    <w:rsid w:val="00E94848"/>
    <w:rsid w:val="00E94928"/>
    <w:rsid w:val="00E94958"/>
    <w:rsid w:val="00E949AF"/>
    <w:rsid w:val="00E94BEE"/>
    <w:rsid w:val="00E94E3E"/>
    <w:rsid w:val="00E94F09"/>
    <w:rsid w:val="00E9503E"/>
    <w:rsid w:val="00E951DC"/>
    <w:rsid w:val="00E952CE"/>
    <w:rsid w:val="00E95448"/>
    <w:rsid w:val="00E95583"/>
    <w:rsid w:val="00E955FA"/>
    <w:rsid w:val="00E956FC"/>
    <w:rsid w:val="00E95882"/>
    <w:rsid w:val="00E958E0"/>
    <w:rsid w:val="00E95A67"/>
    <w:rsid w:val="00E95A8D"/>
    <w:rsid w:val="00E95D41"/>
    <w:rsid w:val="00E95D89"/>
    <w:rsid w:val="00E95E3B"/>
    <w:rsid w:val="00E95ECC"/>
    <w:rsid w:val="00E95FD7"/>
    <w:rsid w:val="00E96010"/>
    <w:rsid w:val="00E960A3"/>
    <w:rsid w:val="00E96256"/>
    <w:rsid w:val="00E9647F"/>
    <w:rsid w:val="00E96539"/>
    <w:rsid w:val="00E96660"/>
    <w:rsid w:val="00E96729"/>
    <w:rsid w:val="00E96887"/>
    <w:rsid w:val="00E969A7"/>
    <w:rsid w:val="00E96A66"/>
    <w:rsid w:val="00E96C1E"/>
    <w:rsid w:val="00E96C40"/>
    <w:rsid w:val="00E96C4D"/>
    <w:rsid w:val="00E96C63"/>
    <w:rsid w:val="00E96F16"/>
    <w:rsid w:val="00E96FD6"/>
    <w:rsid w:val="00E976EE"/>
    <w:rsid w:val="00E977BC"/>
    <w:rsid w:val="00E978BF"/>
    <w:rsid w:val="00E97959"/>
    <w:rsid w:val="00E97E87"/>
    <w:rsid w:val="00E97EE6"/>
    <w:rsid w:val="00EA0038"/>
    <w:rsid w:val="00EA01D5"/>
    <w:rsid w:val="00EA02B9"/>
    <w:rsid w:val="00EA0661"/>
    <w:rsid w:val="00EA0668"/>
    <w:rsid w:val="00EA07D6"/>
    <w:rsid w:val="00EA0B77"/>
    <w:rsid w:val="00EA0DA8"/>
    <w:rsid w:val="00EA0F59"/>
    <w:rsid w:val="00EA1054"/>
    <w:rsid w:val="00EA11FD"/>
    <w:rsid w:val="00EA1387"/>
    <w:rsid w:val="00EA164A"/>
    <w:rsid w:val="00EA182D"/>
    <w:rsid w:val="00EA21BF"/>
    <w:rsid w:val="00EA2290"/>
    <w:rsid w:val="00EA22DE"/>
    <w:rsid w:val="00EA22FA"/>
    <w:rsid w:val="00EA2409"/>
    <w:rsid w:val="00EA259A"/>
    <w:rsid w:val="00EA26F3"/>
    <w:rsid w:val="00EA2CF0"/>
    <w:rsid w:val="00EA2F31"/>
    <w:rsid w:val="00EA3108"/>
    <w:rsid w:val="00EA310F"/>
    <w:rsid w:val="00EA3250"/>
    <w:rsid w:val="00EA3266"/>
    <w:rsid w:val="00EA3288"/>
    <w:rsid w:val="00EA3437"/>
    <w:rsid w:val="00EA351B"/>
    <w:rsid w:val="00EA3626"/>
    <w:rsid w:val="00EA39F2"/>
    <w:rsid w:val="00EA3B41"/>
    <w:rsid w:val="00EA3E8A"/>
    <w:rsid w:val="00EA3F04"/>
    <w:rsid w:val="00EA3FA5"/>
    <w:rsid w:val="00EA40DC"/>
    <w:rsid w:val="00EA4199"/>
    <w:rsid w:val="00EA421F"/>
    <w:rsid w:val="00EA422F"/>
    <w:rsid w:val="00EA4656"/>
    <w:rsid w:val="00EA480F"/>
    <w:rsid w:val="00EA4999"/>
    <w:rsid w:val="00EA4A61"/>
    <w:rsid w:val="00EA4E95"/>
    <w:rsid w:val="00EA5359"/>
    <w:rsid w:val="00EA5473"/>
    <w:rsid w:val="00EA55B6"/>
    <w:rsid w:val="00EA566C"/>
    <w:rsid w:val="00EA5787"/>
    <w:rsid w:val="00EA5989"/>
    <w:rsid w:val="00EA5C54"/>
    <w:rsid w:val="00EA5D27"/>
    <w:rsid w:val="00EA5FB7"/>
    <w:rsid w:val="00EA5FC9"/>
    <w:rsid w:val="00EA5FD4"/>
    <w:rsid w:val="00EA605E"/>
    <w:rsid w:val="00EA61C3"/>
    <w:rsid w:val="00EA6246"/>
    <w:rsid w:val="00EA641B"/>
    <w:rsid w:val="00EA65FF"/>
    <w:rsid w:val="00EA668F"/>
    <w:rsid w:val="00EA680D"/>
    <w:rsid w:val="00EA69CE"/>
    <w:rsid w:val="00EA6A09"/>
    <w:rsid w:val="00EA6A5F"/>
    <w:rsid w:val="00EA6AC9"/>
    <w:rsid w:val="00EA6B0F"/>
    <w:rsid w:val="00EA6D13"/>
    <w:rsid w:val="00EA6E9E"/>
    <w:rsid w:val="00EA6EAF"/>
    <w:rsid w:val="00EA6EE9"/>
    <w:rsid w:val="00EA705C"/>
    <w:rsid w:val="00EA710B"/>
    <w:rsid w:val="00EA7156"/>
    <w:rsid w:val="00EA7417"/>
    <w:rsid w:val="00EA741C"/>
    <w:rsid w:val="00EA74ED"/>
    <w:rsid w:val="00EA75E4"/>
    <w:rsid w:val="00EA7671"/>
    <w:rsid w:val="00EA7705"/>
    <w:rsid w:val="00EA7922"/>
    <w:rsid w:val="00EA7B76"/>
    <w:rsid w:val="00EA7C0B"/>
    <w:rsid w:val="00EA7D24"/>
    <w:rsid w:val="00EA7DB8"/>
    <w:rsid w:val="00EB0131"/>
    <w:rsid w:val="00EB0668"/>
    <w:rsid w:val="00EB09F9"/>
    <w:rsid w:val="00EB0BA1"/>
    <w:rsid w:val="00EB0E5A"/>
    <w:rsid w:val="00EB0EC2"/>
    <w:rsid w:val="00EB0ECA"/>
    <w:rsid w:val="00EB0EE5"/>
    <w:rsid w:val="00EB1018"/>
    <w:rsid w:val="00EB1639"/>
    <w:rsid w:val="00EB1C3C"/>
    <w:rsid w:val="00EB1C6A"/>
    <w:rsid w:val="00EB1D9A"/>
    <w:rsid w:val="00EB2019"/>
    <w:rsid w:val="00EB20CD"/>
    <w:rsid w:val="00EB215A"/>
    <w:rsid w:val="00EB216A"/>
    <w:rsid w:val="00EB2911"/>
    <w:rsid w:val="00EB2A33"/>
    <w:rsid w:val="00EB2C06"/>
    <w:rsid w:val="00EB2E9B"/>
    <w:rsid w:val="00EB2EA0"/>
    <w:rsid w:val="00EB30EF"/>
    <w:rsid w:val="00EB31D5"/>
    <w:rsid w:val="00EB32D2"/>
    <w:rsid w:val="00EB346D"/>
    <w:rsid w:val="00EB3548"/>
    <w:rsid w:val="00EB3591"/>
    <w:rsid w:val="00EB36EB"/>
    <w:rsid w:val="00EB3865"/>
    <w:rsid w:val="00EB3933"/>
    <w:rsid w:val="00EB3AC9"/>
    <w:rsid w:val="00EB3C49"/>
    <w:rsid w:val="00EB3C73"/>
    <w:rsid w:val="00EB3CBA"/>
    <w:rsid w:val="00EB3DCD"/>
    <w:rsid w:val="00EB3DD6"/>
    <w:rsid w:val="00EB3E16"/>
    <w:rsid w:val="00EB4479"/>
    <w:rsid w:val="00EB4713"/>
    <w:rsid w:val="00EB48B7"/>
    <w:rsid w:val="00EB4AA3"/>
    <w:rsid w:val="00EB4EF3"/>
    <w:rsid w:val="00EB5022"/>
    <w:rsid w:val="00EB50F1"/>
    <w:rsid w:val="00EB51F0"/>
    <w:rsid w:val="00EB5252"/>
    <w:rsid w:val="00EB541D"/>
    <w:rsid w:val="00EB5432"/>
    <w:rsid w:val="00EB5568"/>
    <w:rsid w:val="00EB557F"/>
    <w:rsid w:val="00EB564C"/>
    <w:rsid w:val="00EB57D2"/>
    <w:rsid w:val="00EB594D"/>
    <w:rsid w:val="00EB5996"/>
    <w:rsid w:val="00EB5A23"/>
    <w:rsid w:val="00EB5BDF"/>
    <w:rsid w:val="00EB5C8D"/>
    <w:rsid w:val="00EB5D5C"/>
    <w:rsid w:val="00EB5E01"/>
    <w:rsid w:val="00EB5F47"/>
    <w:rsid w:val="00EB65B0"/>
    <w:rsid w:val="00EB65C6"/>
    <w:rsid w:val="00EB6650"/>
    <w:rsid w:val="00EB6AAF"/>
    <w:rsid w:val="00EB6E69"/>
    <w:rsid w:val="00EB700A"/>
    <w:rsid w:val="00EB700D"/>
    <w:rsid w:val="00EB7019"/>
    <w:rsid w:val="00EB7040"/>
    <w:rsid w:val="00EB719F"/>
    <w:rsid w:val="00EB730A"/>
    <w:rsid w:val="00EB73D3"/>
    <w:rsid w:val="00EB7685"/>
    <w:rsid w:val="00EB7829"/>
    <w:rsid w:val="00EB787B"/>
    <w:rsid w:val="00EB78BC"/>
    <w:rsid w:val="00EB7C7B"/>
    <w:rsid w:val="00EB7DF7"/>
    <w:rsid w:val="00EC07D7"/>
    <w:rsid w:val="00EC08F5"/>
    <w:rsid w:val="00EC0A76"/>
    <w:rsid w:val="00EC0B06"/>
    <w:rsid w:val="00EC0C06"/>
    <w:rsid w:val="00EC0D67"/>
    <w:rsid w:val="00EC0DEF"/>
    <w:rsid w:val="00EC0E37"/>
    <w:rsid w:val="00EC1068"/>
    <w:rsid w:val="00EC1106"/>
    <w:rsid w:val="00EC118D"/>
    <w:rsid w:val="00EC11BA"/>
    <w:rsid w:val="00EC15B5"/>
    <w:rsid w:val="00EC1615"/>
    <w:rsid w:val="00EC1692"/>
    <w:rsid w:val="00EC17AC"/>
    <w:rsid w:val="00EC1859"/>
    <w:rsid w:val="00EC186A"/>
    <w:rsid w:val="00EC1882"/>
    <w:rsid w:val="00EC18B0"/>
    <w:rsid w:val="00EC1CED"/>
    <w:rsid w:val="00EC1E2C"/>
    <w:rsid w:val="00EC2025"/>
    <w:rsid w:val="00EC2144"/>
    <w:rsid w:val="00EC23B9"/>
    <w:rsid w:val="00EC259E"/>
    <w:rsid w:val="00EC2603"/>
    <w:rsid w:val="00EC294E"/>
    <w:rsid w:val="00EC2A2D"/>
    <w:rsid w:val="00EC2AA8"/>
    <w:rsid w:val="00EC2B36"/>
    <w:rsid w:val="00EC2B4A"/>
    <w:rsid w:val="00EC2BD5"/>
    <w:rsid w:val="00EC2BDA"/>
    <w:rsid w:val="00EC2DEA"/>
    <w:rsid w:val="00EC2F24"/>
    <w:rsid w:val="00EC2FEB"/>
    <w:rsid w:val="00EC301D"/>
    <w:rsid w:val="00EC30DF"/>
    <w:rsid w:val="00EC3274"/>
    <w:rsid w:val="00EC34CB"/>
    <w:rsid w:val="00EC35D0"/>
    <w:rsid w:val="00EC3754"/>
    <w:rsid w:val="00EC3C24"/>
    <w:rsid w:val="00EC3D22"/>
    <w:rsid w:val="00EC3DCE"/>
    <w:rsid w:val="00EC3F7B"/>
    <w:rsid w:val="00EC405A"/>
    <w:rsid w:val="00EC463F"/>
    <w:rsid w:val="00EC467C"/>
    <w:rsid w:val="00EC4786"/>
    <w:rsid w:val="00EC484E"/>
    <w:rsid w:val="00EC495F"/>
    <w:rsid w:val="00EC4A6D"/>
    <w:rsid w:val="00EC4ADA"/>
    <w:rsid w:val="00EC4C04"/>
    <w:rsid w:val="00EC4FD5"/>
    <w:rsid w:val="00EC5133"/>
    <w:rsid w:val="00EC54A5"/>
    <w:rsid w:val="00EC58F0"/>
    <w:rsid w:val="00EC5A25"/>
    <w:rsid w:val="00EC5A27"/>
    <w:rsid w:val="00EC5ABA"/>
    <w:rsid w:val="00EC5BA9"/>
    <w:rsid w:val="00EC5CBF"/>
    <w:rsid w:val="00EC5F61"/>
    <w:rsid w:val="00EC60CD"/>
    <w:rsid w:val="00EC64D3"/>
    <w:rsid w:val="00EC6662"/>
    <w:rsid w:val="00EC67C9"/>
    <w:rsid w:val="00EC68C4"/>
    <w:rsid w:val="00EC68DA"/>
    <w:rsid w:val="00EC6ABA"/>
    <w:rsid w:val="00EC6C55"/>
    <w:rsid w:val="00EC6EC2"/>
    <w:rsid w:val="00EC71D5"/>
    <w:rsid w:val="00EC7230"/>
    <w:rsid w:val="00EC726D"/>
    <w:rsid w:val="00EC72C0"/>
    <w:rsid w:val="00EC74FC"/>
    <w:rsid w:val="00EC754D"/>
    <w:rsid w:val="00EC7612"/>
    <w:rsid w:val="00EC7791"/>
    <w:rsid w:val="00EC7A45"/>
    <w:rsid w:val="00EC7B31"/>
    <w:rsid w:val="00EC7BE1"/>
    <w:rsid w:val="00EC7C5D"/>
    <w:rsid w:val="00EC7F65"/>
    <w:rsid w:val="00EC7FA5"/>
    <w:rsid w:val="00ED0577"/>
    <w:rsid w:val="00ED0708"/>
    <w:rsid w:val="00ED081B"/>
    <w:rsid w:val="00ED0988"/>
    <w:rsid w:val="00ED0BAA"/>
    <w:rsid w:val="00ED1188"/>
    <w:rsid w:val="00ED1253"/>
    <w:rsid w:val="00ED12BF"/>
    <w:rsid w:val="00ED1303"/>
    <w:rsid w:val="00ED134F"/>
    <w:rsid w:val="00ED1384"/>
    <w:rsid w:val="00ED17E4"/>
    <w:rsid w:val="00ED1850"/>
    <w:rsid w:val="00ED1870"/>
    <w:rsid w:val="00ED1985"/>
    <w:rsid w:val="00ED1CAF"/>
    <w:rsid w:val="00ED209C"/>
    <w:rsid w:val="00ED21C8"/>
    <w:rsid w:val="00ED2237"/>
    <w:rsid w:val="00ED2516"/>
    <w:rsid w:val="00ED2542"/>
    <w:rsid w:val="00ED26B9"/>
    <w:rsid w:val="00ED280F"/>
    <w:rsid w:val="00ED28F5"/>
    <w:rsid w:val="00ED29C2"/>
    <w:rsid w:val="00ED2A23"/>
    <w:rsid w:val="00ED2B68"/>
    <w:rsid w:val="00ED2C31"/>
    <w:rsid w:val="00ED2E94"/>
    <w:rsid w:val="00ED304A"/>
    <w:rsid w:val="00ED313F"/>
    <w:rsid w:val="00ED31D0"/>
    <w:rsid w:val="00ED31F3"/>
    <w:rsid w:val="00ED3378"/>
    <w:rsid w:val="00ED34D4"/>
    <w:rsid w:val="00ED3914"/>
    <w:rsid w:val="00ED3C5F"/>
    <w:rsid w:val="00ED4203"/>
    <w:rsid w:val="00ED43D3"/>
    <w:rsid w:val="00ED453F"/>
    <w:rsid w:val="00ED47B2"/>
    <w:rsid w:val="00ED4B99"/>
    <w:rsid w:val="00ED4D16"/>
    <w:rsid w:val="00ED4D45"/>
    <w:rsid w:val="00ED4DBA"/>
    <w:rsid w:val="00ED51AD"/>
    <w:rsid w:val="00ED524E"/>
    <w:rsid w:val="00ED5413"/>
    <w:rsid w:val="00ED55AD"/>
    <w:rsid w:val="00ED569C"/>
    <w:rsid w:val="00ED5788"/>
    <w:rsid w:val="00ED597C"/>
    <w:rsid w:val="00ED5B0E"/>
    <w:rsid w:val="00ED5EE6"/>
    <w:rsid w:val="00ED5FBC"/>
    <w:rsid w:val="00ED60CE"/>
    <w:rsid w:val="00ED61C6"/>
    <w:rsid w:val="00ED6750"/>
    <w:rsid w:val="00ED68D5"/>
    <w:rsid w:val="00ED6AE3"/>
    <w:rsid w:val="00ED6B7D"/>
    <w:rsid w:val="00ED6B94"/>
    <w:rsid w:val="00ED6F3E"/>
    <w:rsid w:val="00ED703F"/>
    <w:rsid w:val="00ED7042"/>
    <w:rsid w:val="00ED7263"/>
    <w:rsid w:val="00ED7286"/>
    <w:rsid w:val="00ED7415"/>
    <w:rsid w:val="00ED76D6"/>
    <w:rsid w:val="00ED76F4"/>
    <w:rsid w:val="00ED77D4"/>
    <w:rsid w:val="00ED791C"/>
    <w:rsid w:val="00ED79E6"/>
    <w:rsid w:val="00ED7A8E"/>
    <w:rsid w:val="00ED7CAB"/>
    <w:rsid w:val="00ED7F2F"/>
    <w:rsid w:val="00EE01F3"/>
    <w:rsid w:val="00EE0209"/>
    <w:rsid w:val="00EE02C7"/>
    <w:rsid w:val="00EE0597"/>
    <w:rsid w:val="00EE0684"/>
    <w:rsid w:val="00EE08D7"/>
    <w:rsid w:val="00EE0975"/>
    <w:rsid w:val="00EE09C7"/>
    <w:rsid w:val="00EE09F3"/>
    <w:rsid w:val="00EE0B6D"/>
    <w:rsid w:val="00EE0BDD"/>
    <w:rsid w:val="00EE0C26"/>
    <w:rsid w:val="00EE1323"/>
    <w:rsid w:val="00EE1509"/>
    <w:rsid w:val="00EE1AF7"/>
    <w:rsid w:val="00EE1B20"/>
    <w:rsid w:val="00EE1F65"/>
    <w:rsid w:val="00EE20CA"/>
    <w:rsid w:val="00EE21F2"/>
    <w:rsid w:val="00EE22D0"/>
    <w:rsid w:val="00EE245C"/>
    <w:rsid w:val="00EE2510"/>
    <w:rsid w:val="00EE2856"/>
    <w:rsid w:val="00EE288D"/>
    <w:rsid w:val="00EE28CF"/>
    <w:rsid w:val="00EE29A5"/>
    <w:rsid w:val="00EE2A6B"/>
    <w:rsid w:val="00EE2FB3"/>
    <w:rsid w:val="00EE2FFB"/>
    <w:rsid w:val="00EE30BB"/>
    <w:rsid w:val="00EE33B4"/>
    <w:rsid w:val="00EE3542"/>
    <w:rsid w:val="00EE355E"/>
    <w:rsid w:val="00EE3793"/>
    <w:rsid w:val="00EE3A9F"/>
    <w:rsid w:val="00EE3D54"/>
    <w:rsid w:val="00EE4396"/>
    <w:rsid w:val="00EE445E"/>
    <w:rsid w:val="00EE4680"/>
    <w:rsid w:val="00EE4779"/>
    <w:rsid w:val="00EE49E3"/>
    <w:rsid w:val="00EE49FB"/>
    <w:rsid w:val="00EE4BB2"/>
    <w:rsid w:val="00EE4CBD"/>
    <w:rsid w:val="00EE4D2F"/>
    <w:rsid w:val="00EE4F7D"/>
    <w:rsid w:val="00EE502A"/>
    <w:rsid w:val="00EE507B"/>
    <w:rsid w:val="00EE514B"/>
    <w:rsid w:val="00EE5239"/>
    <w:rsid w:val="00EE57FC"/>
    <w:rsid w:val="00EE5830"/>
    <w:rsid w:val="00EE5879"/>
    <w:rsid w:val="00EE59D2"/>
    <w:rsid w:val="00EE5D62"/>
    <w:rsid w:val="00EE5FAF"/>
    <w:rsid w:val="00EE5FDB"/>
    <w:rsid w:val="00EE5FEC"/>
    <w:rsid w:val="00EE60BC"/>
    <w:rsid w:val="00EE614B"/>
    <w:rsid w:val="00EE6152"/>
    <w:rsid w:val="00EE6164"/>
    <w:rsid w:val="00EE61C8"/>
    <w:rsid w:val="00EE672A"/>
    <w:rsid w:val="00EE67FF"/>
    <w:rsid w:val="00EE6843"/>
    <w:rsid w:val="00EE68F1"/>
    <w:rsid w:val="00EE6924"/>
    <w:rsid w:val="00EE6941"/>
    <w:rsid w:val="00EE6CA4"/>
    <w:rsid w:val="00EE6EE6"/>
    <w:rsid w:val="00EE6FD0"/>
    <w:rsid w:val="00EE743E"/>
    <w:rsid w:val="00EE75BC"/>
    <w:rsid w:val="00EE7646"/>
    <w:rsid w:val="00EE775D"/>
    <w:rsid w:val="00EE7A1D"/>
    <w:rsid w:val="00EE7AC9"/>
    <w:rsid w:val="00EE7E39"/>
    <w:rsid w:val="00EE7F1B"/>
    <w:rsid w:val="00EE7F94"/>
    <w:rsid w:val="00EF015E"/>
    <w:rsid w:val="00EF0215"/>
    <w:rsid w:val="00EF0350"/>
    <w:rsid w:val="00EF040F"/>
    <w:rsid w:val="00EF0469"/>
    <w:rsid w:val="00EF0560"/>
    <w:rsid w:val="00EF0650"/>
    <w:rsid w:val="00EF06A5"/>
    <w:rsid w:val="00EF06B9"/>
    <w:rsid w:val="00EF06CD"/>
    <w:rsid w:val="00EF077F"/>
    <w:rsid w:val="00EF0A13"/>
    <w:rsid w:val="00EF0CC6"/>
    <w:rsid w:val="00EF0F0F"/>
    <w:rsid w:val="00EF1019"/>
    <w:rsid w:val="00EF10A6"/>
    <w:rsid w:val="00EF148C"/>
    <w:rsid w:val="00EF1A9B"/>
    <w:rsid w:val="00EF1C1A"/>
    <w:rsid w:val="00EF1D60"/>
    <w:rsid w:val="00EF1D7B"/>
    <w:rsid w:val="00EF2350"/>
    <w:rsid w:val="00EF2411"/>
    <w:rsid w:val="00EF241D"/>
    <w:rsid w:val="00EF2869"/>
    <w:rsid w:val="00EF2AB7"/>
    <w:rsid w:val="00EF2B6A"/>
    <w:rsid w:val="00EF2BCA"/>
    <w:rsid w:val="00EF2C27"/>
    <w:rsid w:val="00EF2CEF"/>
    <w:rsid w:val="00EF2FEB"/>
    <w:rsid w:val="00EF3000"/>
    <w:rsid w:val="00EF32BC"/>
    <w:rsid w:val="00EF3486"/>
    <w:rsid w:val="00EF34C0"/>
    <w:rsid w:val="00EF36CA"/>
    <w:rsid w:val="00EF3761"/>
    <w:rsid w:val="00EF38E7"/>
    <w:rsid w:val="00EF3905"/>
    <w:rsid w:val="00EF3A75"/>
    <w:rsid w:val="00EF3AF9"/>
    <w:rsid w:val="00EF3B02"/>
    <w:rsid w:val="00EF3B75"/>
    <w:rsid w:val="00EF3CA1"/>
    <w:rsid w:val="00EF3FB9"/>
    <w:rsid w:val="00EF41CF"/>
    <w:rsid w:val="00EF4468"/>
    <w:rsid w:val="00EF45CB"/>
    <w:rsid w:val="00EF47F2"/>
    <w:rsid w:val="00EF4DDD"/>
    <w:rsid w:val="00EF4F64"/>
    <w:rsid w:val="00EF4FA1"/>
    <w:rsid w:val="00EF529A"/>
    <w:rsid w:val="00EF531F"/>
    <w:rsid w:val="00EF5356"/>
    <w:rsid w:val="00EF53CD"/>
    <w:rsid w:val="00EF53FD"/>
    <w:rsid w:val="00EF5787"/>
    <w:rsid w:val="00EF5852"/>
    <w:rsid w:val="00EF5A57"/>
    <w:rsid w:val="00EF5B36"/>
    <w:rsid w:val="00EF5C87"/>
    <w:rsid w:val="00EF5CBE"/>
    <w:rsid w:val="00EF5FE2"/>
    <w:rsid w:val="00EF629D"/>
    <w:rsid w:val="00EF63DF"/>
    <w:rsid w:val="00EF6929"/>
    <w:rsid w:val="00EF69D4"/>
    <w:rsid w:val="00EF6F13"/>
    <w:rsid w:val="00EF6F7E"/>
    <w:rsid w:val="00EF79F7"/>
    <w:rsid w:val="00EF7A72"/>
    <w:rsid w:val="00EF7B91"/>
    <w:rsid w:val="00EF7C67"/>
    <w:rsid w:val="00F00020"/>
    <w:rsid w:val="00F001A9"/>
    <w:rsid w:val="00F004F1"/>
    <w:rsid w:val="00F00645"/>
    <w:rsid w:val="00F0066D"/>
    <w:rsid w:val="00F008D1"/>
    <w:rsid w:val="00F00937"/>
    <w:rsid w:val="00F0094F"/>
    <w:rsid w:val="00F00ACC"/>
    <w:rsid w:val="00F00AD8"/>
    <w:rsid w:val="00F00ED5"/>
    <w:rsid w:val="00F00F1E"/>
    <w:rsid w:val="00F00FA0"/>
    <w:rsid w:val="00F00FB8"/>
    <w:rsid w:val="00F0109B"/>
    <w:rsid w:val="00F0111E"/>
    <w:rsid w:val="00F0160A"/>
    <w:rsid w:val="00F01920"/>
    <w:rsid w:val="00F01B04"/>
    <w:rsid w:val="00F01D09"/>
    <w:rsid w:val="00F01D9B"/>
    <w:rsid w:val="00F01EB9"/>
    <w:rsid w:val="00F01EBB"/>
    <w:rsid w:val="00F021B6"/>
    <w:rsid w:val="00F0220D"/>
    <w:rsid w:val="00F023C4"/>
    <w:rsid w:val="00F023F3"/>
    <w:rsid w:val="00F025DF"/>
    <w:rsid w:val="00F0274D"/>
    <w:rsid w:val="00F02790"/>
    <w:rsid w:val="00F02921"/>
    <w:rsid w:val="00F02AE0"/>
    <w:rsid w:val="00F02EA5"/>
    <w:rsid w:val="00F02F8C"/>
    <w:rsid w:val="00F030AA"/>
    <w:rsid w:val="00F033A8"/>
    <w:rsid w:val="00F0347C"/>
    <w:rsid w:val="00F0352D"/>
    <w:rsid w:val="00F03614"/>
    <w:rsid w:val="00F037F4"/>
    <w:rsid w:val="00F03990"/>
    <w:rsid w:val="00F03ABE"/>
    <w:rsid w:val="00F03F96"/>
    <w:rsid w:val="00F040D9"/>
    <w:rsid w:val="00F04368"/>
    <w:rsid w:val="00F043E4"/>
    <w:rsid w:val="00F04492"/>
    <w:rsid w:val="00F04586"/>
    <w:rsid w:val="00F045DF"/>
    <w:rsid w:val="00F046BC"/>
    <w:rsid w:val="00F04A4D"/>
    <w:rsid w:val="00F04D2E"/>
    <w:rsid w:val="00F04E2D"/>
    <w:rsid w:val="00F04E6D"/>
    <w:rsid w:val="00F04F63"/>
    <w:rsid w:val="00F05020"/>
    <w:rsid w:val="00F0523E"/>
    <w:rsid w:val="00F05620"/>
    <w:rsid w:val="00F056B1"/>
    <w:rsid w:val="00F0581D"/>
    <w:rsid w:val="00F05943"/>
    <w:rsid w:val="00F05A67"/>
    <w:rsid w:val="00F05AF7"/>
    <w:rsid w:val="00F05B4D"/>
    <w:rsid w:val="00F05D14"/>
    <w:rsid w:val="00F05DED"/>
    <w:rsid w:val="00F05FCB"/>
    <w:rsid w:val="00F06239"/>
    <w:rsid w:val="00F0636F"/>
    <w:rsid w:val="00F063CB"/>
    <w:rsid w:val="00F06437"/>
    <w:rsid w:val="00F06468"/>
    <w:rsid w:val="00F066E5"/>
    <w:rsid w:val="00F0679D"/>
    <w:rsid w:val="00F06890"/>
    <w:rsid w:val="00F06C0D"/>
    <w:rsid w:val="00F06C28"/>
    <w:rsid w:val="00F06E31"/>
    <w:rsid w:val="00F06EAF"/>
    <w:rsid w:val="00F06F1E"/>
    <w:rsid w:val="00F07028"/>
    <w:rsid w:val="00F0711B"/>
    <w:rsid w:val="00F07158"/>
    <w:rsid w:val="00F07448"/>
    <w:rsid w:val="00F07619"/>
    <w:rsid w:val="00F0772A"/>
    <w:rsid w:val="00F07935"/>
    <w:rsid w:val="00F07ADA"/>
    <w:rsid w:val="00F07E5C"/>
    <w:rsid w:val="00F07EC6"/>
    <w:rsid w:val="00F10118"/>
    <w:rsid w:val="00F1019A"/>
    <w:rsid w:val="00F101D5"/>
    <w:rsid w:val="00F10212"/>
    <w:rsid w:val="00F10398"/>
    <w:rsid w:val="00F10410"/>
    <w:rsid w:val="00F10478"/>
    <w:rsid w:val="00F10516"/>
    <w:rsid w:val="00F10840"/>
    <w:rsid w:val="00F10B83"/>
    <w:rsid w:val="00F10F85"/>
    <w:rsid w:val="00F10FCC"/>
    <w:rsid w:val="00F11213"/>
    <w:rsid w:val="00F112AF"/>
    <w:rsid w:val="00F11369"/>
    <w:rsid w:val="00F11568"/>
    <w:rsid w:val="00F1181C"/>
    <w:rsid w:val="00F118B5"/>
    <w:rsid w:val="00F118B8"/>
    <w:rsid w:val="00F118CE"/>
    <w:rsid w:val="00F118E7"/>
    <w:rsid w:val="00F11AC2"/>
    <w:rsid w:val="00F11FB6"/>
    <w:rsid w:val="00F1210A"/>
    <w:rsid w:val="00F122B7"/>
    <w:rsid w:val="00F12331"/>
    <w:rsid w:val="00F125AF"/>
    <w:rsid w:val="00F125F4"/>
    <w:rsid w:val="00F12652"/>
    <w:rsid w:val="00F12666"/>
    <w:rsid w:val="00F129FB"/>
    <w:rsid w:val="00F12A7D"/>
    <w:rsid w:val="00F12B8F"/>
    <w:rsid w:val="00F12D01"/>
    <w:rsid w:val="00F12E0F"/>
    <w:rsid w:val="00F12EC3"/>
    <w:rsid w:val="00F12EE2"/>
    <w:rsid w:val="00F1304F"/>
    <w:rsid w:val="00F13050"/>
    <w:rsid w:val="00F13059"/>
    <w:rsid w:val="00F13216"/>
    <w:rsid w:val="00F1330C"/>
    <w:rsid w:val="00F13498"/>
    <w:rsid w:val="00F1394C"/>
    <w:rsid w:val="00F1397E"/>
    <w:rsid w:val="00F139FB"/>
    <w:rsid w:val="00F13B8F"/>
    <w:rsid w:val="00F13BF3"/>
    <w:rsid w:val="00F13E8A"/>
    <w:rsid w:val="00F13F13"/>
    <w:rsid w:val="00F14012"/>
    <w:rsid w:val="00F142AB"/>
    <w:rsid w:val="00F146A8"/>
    <w:rsid w:val="00F1471F"/>
    <w:rsid w:val="00F1472C"/>
    <w:rsid w:val="00F14779"/>
    <w:rsid w:val="00F14895"/>
    <w:rsid w:val="00F14944"/>
    <w:rsid w:val="00F14B34"/>
    <w:rsid w:val="00F14BB7"/>
    <w:rsid w:val="00F14BE2"/>
    <w:rsid w:val="00F14D72"/>
    <w:rsid w:val="00F14F82"/>
    <w:rsid w:val="00F14FF1"/>
    <w:rsid w:val="00F15028"/>
    <w:rsid w:val="00F150A1"/>
    <w:rsid w:val="00F151B0"/>
    <w:rsid w:val="00F15211"/>
    <w:rsid w:val="00F153D4"/>
    <w:rsid w:val="00F15433"/>
    <w:rsid w:val="00F15526"/>
    <w:rsid w:val="00F15528"/>
    <w:rsid w:val="00F15560"/>
    <w:rsid w:val="00F15608"/>
    <w:rsid w:val="00F15B59"/>
    <w:rsid w:val="00F15D33"/>
    <w:rsid w:val="00F15F2D"/>
    <w:rsid w:val="00F16174"/>
    <w:rsid w:val="00F161A6"/>
    <w:rsid w:val="00F16481"/>
    <w:rsid w:val="00F16620"/>
    <w:rsid w:val="00F168A2"/>
    <w:rsid w:val="00F16A9A"/>
    <w:rsid w:val="00F16AE2"/>
    <w:rsid w:val="00F16BBB"/>
    <w:rsid w:val="00F16D5B"/>
    <w:rsid w:val="00F1701A"/>
    <w:rsid w:val="00F1716F"/>
    <w:rsid w:val="00F174FE"/>
    <w:rsid w:val="00F17763"/>
    <w:rsid w:val="00F17796"/>
    <w:rsid w:val="00F17864"/>
    <w:rsid w:val="00F17C1C"/>
    <w:rsid w:val="00F17CCC"/>
    <w:rsid w:val="00F17E6C"/>
    <w:rsid w:val="00F201DA"/>
    <w:rsid w:val="00F20424"/>
    <w:rsid w:val="00F2065C"/>
    <w:rsid w:val="00F20C30"/>
    <w:rsid w:val="00F20CCA"/>
    <w:rsid w:val="00F214F9"/>
    <w:rsid w:val="00F2158B"/>
    <w:rsid w:val="00F218D6"/>
    <w:rsid w:val="00F21992"/>
    <w:rsid w:val="00F21C07"/>
    <w:rsid w:val="00F22170"/>
    <w:rsid w:val="00F22517"/>
    <w:rsid w:val="00F2267C"/>
    <w:rsid w:val="00F2290C"/>
    <w:rsid w:val="00F22D7B"/>
    <w:rsid w:val="00F2313A"/>
    <w:rsid w:val="00F234FA"/>
    <w:rsid w:val="00F23511"/>
    <w:rsid w:val="00F2351D"/>
    <w:rsid w:val="00F23CCE"/>
    <w:rsid w:val="00F23D01"/>
    <w:rsid w:val="00F23E89"/>
    <w:rsid w:val="00F23E8A"/>
    <w:rsid w:val="00F23FA3"/>
    <w:rsid w:val="00F23FE1"/>
    <w:rsid w:val="00F24137"/>
    <w:rsid w:val="00F2422D"/>
    <w:rsid w:val="00F24266"/>
    <w:rsid w:val="00F2463F"/>
    <w:rsid w:val="00F2476A"/>
    <w:rsid w:val="00F24B61"/>
    <w:rsid w:val="00F24FB7"/>
    <w:rsid w:val="00F25041"/>
    <w:rsid w:val="00F25301"/>
    <w:rsid w:val="00F25694"/>
    <w:rsid w:val="00F258EB"/>
    <w:rsid w:val="00F25A45"/>
    <w:rsid w:val="00F25B2F"/>
    <w:rsid w:val="00F25F0F"/>
    <w:rsid w:val="00F25F52"/>
    <w:rsid w:val="00F25F54"/>
    <w:rsid w:val="00F25FB6"/>
    <w:rsid w:val="00F260BB"/>
    <w:rsid w:val="00F26417"/>
    <w:rsid w:val="00F264E2"/>
    <w:rsid w:val="00F26646"/>
    <w:rsid w:val="00F268B5"/>
    <w:rsid w:val="00F26A24"/>
    <w:rsid w:val="00F26D93"/>
    <w:rsid w:val="00F27298"/>
    <w:rsid w:val="00F274B5"/>
    <w:rsid w:val="00F27525"/>
    <w:rsid w:val="00F27651"/>
    <w:rsid w:val="00F27925"/>
    <w:rsid w:val="00F279E1"/>
    <w:rsid w:val="00F27AB8"/>
    <w:rsid w:val="00F27FF6"/>
    <w:rsid w:val="00F306A0"/>
    <w:rsid w:val="00F307B7"/>
    <w:rsid w:val="00F3081E"/>
    <w:rsid w:val="00F30FEC"/>
    <w:rsid w:val="00F31050"/>
    <w:rsid w:val="00F31058"/>
    <w:rsid w:val="00F3118D"/>
    <w:rsid w:val="00F311D5"/>
    <w:rsid w:val="00F313D4"/>
    <w:rsid w:val="00F31717"/>
    <w:rsid w:val="00F31BFA"/>
    <w:rsid w:val="00F31EE8"/>
    <w:rsid w:val="00F31F02"/>
    <w:rsid w:val="00F321B2"/>
    <w:rsid w:val="00F32262"/>
    <w:rsid w:val="00F3246A"/>
    <w:rsid w:val="00F32696"/>
    <w:rsid w:val="00F32882"/>
    <w:rsid w:val="00F32A03"/>
    <w:rsid w:val="00F32BD1"/>
    <w:rsid w:val="00F32BDB"/>
    <w:rsid w:val="00F32CBF"/>
    <w:rsid w:val="00F32E27"/>
    <w:rsid w:val="00F32F14"/>
    <w:rsid w:val="00F33091"/>
    <w:rsid w:val="00F3309C"/>
    <w:rsid w:val="00F33413"/>
    <w:rsid w:val="00F33555"/>
    <w:rsid w:val="00F33688"/>
    <w:rsid w:val="00F33735"/>
    <w:rsid w:val="00F33749"/>
    <w:rsid w:val="00F338CB"/>
    <w:rsid w:val="00F3392C"/>
    <w:rsid w:val="00F3395C"/>
    <w:rsid w:val="00F33D0E"/>
    <w:rsid w:val="00F33EA8"/>
    <w:rsid w:val="00F33FCD"/>
    <w:rsid w:val="00F34401"/>
    <w:rsid w:val="00F34489"/>
    <w:rsid w:val="00F3459B"/>
    <w:rsid w:val="00F34758"/>
    <w:rsid w:val="00F348E5"/>
    <w:rsid w:val="00F34BE5"/>
    <w:rsid w:val="00F34C94"/>
    <w:rsid w:val="00F34D3D"/>
    <w:rsid w:val="00F34E09"/>
    <w:rsid w:val="00F350C4"/>
    <w:rsid w:val="00F35585"/>
    <w:rsid w:val="00F355A7"/>
    <w:rsid w:val="00F3587E"/>
    <w:rsid w:val="00F358A2"/>
    <w:rsid w:val="00F35A02"/>
    <w:rsid w:val="00F35C50"/>
    <w:rsid w:val="00F35D70"/>
    <w:rsid w:val="00F35EA3"/>
    <w:rsid w:val="00F35EA6"/>
    <w:rsid w:val="00F35EF3"/>
    <w:rsid w:val="00F360AF"/>
    <w:rsid w:val="00F3697F"/>
    <w:rsid w:val="00F36B2C"/>
    <w:rsid w:val="00F36CEC"/>
    <w:rsid w:val="00F36E56"/>
    <w:rsid w:val="00F3725A"/>
    <w:rsid w:val="00F37477"/>
    <w:rsid w:val="00F37712"/>
    <w:rsid w:val="00F378F8"/>
    <w:rsid w:val="00F37936"/>
    <w:rsid w:val="00F37DBB"/>
    <w:rsid w:val="00F37E4D"/>
    <w:rsid w:val="00F400E6"/>
    <w:rsid w:val="00F401BE"/>
    <w:rsid w:val="00F402C2"/>
    <w:rsid w:val="00F40670"/>
    <w:rsid w:val="00F406FF"/>
    <w:rsid w:val="00F40878"/>
    <w:rsid w:val="00F40879"/>
    <w:rsid w:val="00F4093E"/>
    <w:rsid w:val="00F409BC"/>
    <w:rsid w:val="00F40AEC"/>
    <w:rsid w:val="00F40D0B"/>
    <w:rsid w:val="00F40F9F"/>
    <w:rsid w:val="00F41322"/>
    <w:rsid w:val="00F41705"/>
    <w:rsid w:val="00F417B5"/>
    <w:rsid w:val="00F41996"/>
    <w:rsid w:val="00F41A0B"/>
    <w:rsid w:val="00F41B20"/>
    <w:rsid w:val="00F41B99"/>
    <w:rsid w:val="00F41DC2"/>
    <w:rsid w:val="00F41DFA"/>
    <w:rsid w:val="00F41F6B"/>
    <w:rsid w:val="00F4202F"/>
    <w:rsid w:val="00F42760"/>
    <w:rsid w:val="00F4290F"/>
    <w:rsid w:val="00F42913"/>
    <w:rsid w:val="00F42A5C"/>
    <w:rsid w:val="00F42E86"/>
    <w:rsid w:val="00F42FE1"/>
    <w:rsid w:val="00F42FF9"/>
    <w:rsid w:val="00F43341"/>
    <w:rsid w:val="00F433C5"/>
    <w:rsid w:val="00F43703"/>
    <w:rsid w:val="00F4378E"/>
    <w:rsid w:val="00F43A5A"/>
    <w:rsid w:val="00F43D5D"/>
    <w:rsid w:val="00F43DF6"/>
    <w:rsid w:val="00F43F99"/>
    <w:rsid w:val="00F43FDF"/>
    <w:rsid w:val="00F44119"/>
    <w:rsid w:val="00F44202"/>
    <w:rsid w:val="00F442BA"/>
    <w:rsid w:val="00F442D6"/>
    <w:rsid w:val="00F4447B"/>
    <w:rsid w:val="00F44506"/>
    <w:rsid w:val="00F445EA"/>
    <w:rsid w:val="00F44781"/>
    <w:rsid w:val="00F448D0"/>
    <w:rsid w:val="00F44BB9"/>
    <w:rsid w:val="00F44F6A"/>
    <w:rsid w:val="00F44FC8"/>
    <w:rsid w:val="00F4505F"/>
    <w:rsid w:val="00F45116"/>
    <w:rsid w:val="00F45165"/>
    <w:rsid w:val="00F45351"/>
    <w:rsid w:val="00F453E1"/>
    <w:rsid w:val="00F454EA"/>
    <w:rsid w:val="00F455B1"/>
    <w:rsid w:val="00F456CA"/>
    <w:rsid w:val="00F4574F"/>
    <w:rsid w:val="00F45779"/>
    <w:rsid w:val="00F45A61"/>
    <w:rsid w:val="00F45CCE"/>
    <w:rsid w:val="00F45D16"/>
    <w:rsid w:val="00F45E3A"/>
    <w:rsid w:val="00F46142"/>
    <w:rsid w:val="00F4622A"/>
    <w:rsid w:val="00F46253"/>
    <w:rsid w:val="00F4635B"/>
    <w:rsid w:val="00F464CF"/>
    <w:rsid w:val="00F465A0"/>
    <w:rsid w:val="00F465FB"/>
    <w:rsid w:val="00F46ABA"/>
    <w:rsid w:val="00F46B84"/>
    <w:rsid w:val="00F46BAC"/>
    <w:rsid w:val="00F46BC1"/>
    <w:rsid w:val="00F46BC5"/>
    <w:rsid w:val="00F46DF6"/>
    <w:rsid w:val="00F46FE5"/>
    <w:rsid w:val="00F4710C"/>
    <w:rsid w:val="00F4710F"/>
    <w:rsid w:val="00F47157"/>
    <w:rsid w:val="00F471CF"/>
    <w:rsid w:val="00F471DC"/>
    <w:rsid w:val="00F476BD"/>
    <w:rsid w:val="00F47ABA"/>
    <w:rsid w:val="00F47AD1"/>
    <w:rsid w:val="00F47BC2"/>
    <w:rsid w:val="00F47EAF"/>
    <w:rsid w:val="00F47F66"/>
    <w:rsid w:val="00F47F97"/>
    <w:rsid w:val="00F500A3"/>
    <w:rsid w:val="00F5022D"/>
    <w:rsid w:val="00F509A0"/>
    <w:rsid w:val="00F50BBD"/>
    <w:rsid w:val="00F50D82"/>
    <w:rsid w:val="00F50EF5"/>
    <w:rsid w:val="00F510AA"/>
    <w:rsid w:val="00F5142C"/>
    <w:rsid w:val="00F5164E"/>
    <w:rsid w:val="00F519A4"/>
    <w:rsid w:val="00F51D53"/>
    <w:rsid w:val="00F51E48"/>
    <w:rsid w:val="00F51EBC"/>
    <w:rsid w:val="00F51F31"/>
    <w:rsid w:val="00F521E0"/>
    <w:rsid w:val="00F5263A"/>
    <w:rsid w:val="00F526BB"/>
    <w:rsid w:val="00F52951"/>
    <w:rsid w:val="00F52D2B"/>
    <w:rsid w:val="00F52FEF"/>
    <w:rsid w:val="00F530C0"/>
    <w:rsid w:val="00F5326D"/>
    <w:rsid w:val="00F532C5"/>
    <w:rsid w:val="00F536C7"/>
    <w:rsid w:val="00F53857"/>
    <w:rsid w:val="00F538E9"/>
    <w:rsid w:val="00F538FD"/>
    <w:rsid w:val="00F53B2F"/>
    <w:rsid w:val="00F5415B"/>
    <w:rsid w:val="00F54321"/>
    <w:rsid w:val="00F5447D"/>
    <w:rsid w:val="00F546BE"/>
    <w:rsid w:val="00F5477E"/>
    <w:rsid w:val="00F547BB"/>
    <w:rsid w:val="00F5499C"/>
    <w:rsid w:val="00F54A99"/>
    <w:rsid w:val="00F54A9F"/>
    <w:rsid w:val="00F54AB4"/>
    <w:rsid w:val="00F54B0A"/>
    <w:rsid w:val="00F54BE2"/>
    <w:rsid w:val="00F54C05"/>
    <w:rsid w:val="00F54CD3"/>
    <w:rsid w:val="00F54D32"/>
    <w:rsid w:val="00F54D70"/>
    <w:rsid w:val="00F55007"/>
    <w:rsid w:val="00F5504E"/>
    <w:rsid w:val="00F55192"/>
    <w:rsid w:val="00F55216"/>
    <w:rsid w:val="00F554AB"/>
    <w:rsid w:val="00F555E4"/>
    <w:rsid w:val="00F55704"/>
    <w:rsid w:val="00F557AC"/>
    <w:rsid w:val="00F55DE3"/>
    <w:rsid w:val="00F55F37"/>
    <w:rsid w:val="00F56189"/>
    <w:rsid w:val="00F5621D"/>
    <w:rsid w:val="00F5624B"/>
    <w:rsid w:val="00F563E8"/>
    <w:rsid w:val="00F564D6"/>
    <w:rsid w:val="00F56607"/>
    <w:rsid w:val="00F56851"/>
    <w:rsid w:val="00F5687D"/>
    <w:rsid w:val="00F56962"/>
    <w:rsid w:val="00F56A47"/>
    <w:rsid w:val="00F56A99"/>
    <w:rsid w:val="00F56AE8"/>
    <w:rsid w:val="00F56DE8"/>
    <w:rsid w:val="00F56E11"/>
    <w:rsid w:val="00F56E73"/>
    <w:rsid w:val="00F56F3E"/>
    <w:rsid w:val="00F570A7"/>
    <w:rsid w:val="00F57121"/>
    <w:rsid w:val="00F571BE"/>
    <w:rsid w:val="00F57462"/>
    <w:rsid w:val="00F57840"/>
    <w:rsid w:val="00F57848"/>
    <w:rsid w:val="00F57B05"/>
    <w:rsid w:val="00F57C69"/>
    <w:rsid w:val="00F57C92"/>
    <w:rsid w:val="00F57CAE"/>
    <w:rsid w:val="00F57E7E"/>
    <w:rsid w:val="00F57F77"/>
    <w:rsid w:val="00F60076"/>
    <w:rsid w:val="00F601BC"/>
    <w:rsid w:val="00F60A1B"/>
    <w:rsid w:val="00F60F61"/>
    <w:rsid w:val="00F60F6D"/>
    <w:rsid w:val="00F6102D"/>
    <w:rsid w:val="00F6106D"/>
    <w:rsid w:val="00F610D2"/>
    <w:rsid w:val="00F6124F"/>
    <w:rsid w:val="00F61599"/>
    <w:rsid w:val="00F616AA"/>
    <w:rsid w:val="00F61703"/>
    <w:rsid w:val="00F61837"/>
    <w:rsid w:val="00F6189E"/>
    <w:rsid w:val="00F61A53"/>
    <w:rsid w:val="00F61A8F"/>
    <w:rsid w:val="00F61EDB"/>
    <w:rsid w:val="00F61F41"/>
    <w:rsid w:val="00F627E8"/>
    <w:rsid w:val="00F62922"/>
    <w:rsid w:val="00F6295B"/>
    <w:rsid w:val="00F62CA6"/>
    <w:rsid w:val="00F62E92"/>
    <w:rsid w:val="00F63554"/>
    <w:rsid w:val="00F635AC"/>
    <w:rsid w:val="00F6389B"/>
    <w:rsid w:val="00F63D5E"/>
    <w:rsid w:val="00F63DB8"/>
    <w:rsid w:val="00F640F7"/>
    <w:rsid w:val="00F642E1"/>
    <w:rsid w:val="00F644C3"/>
    <w:rsid w:val="00F64656"/>
    <w:rsid w:val="00F6479C"/>
    <w:rsid w:val="00F647D5"/>
    <w:rsid w:val="00F64862"/>
    <w:rsid w:val="00F64886"/>
    <w:rsid w:val="00F64B14"/>
    <w:rsid w:val="00F64BCF"/>
    <w:rsid w:val="00F64EEE"/>
    <w:rsid w:val="00F65074"/>
    <w:rsid w:val="00F650F6"/>
    <w:rsid w:val="00F65240"/>
    <w:rsid w:val="00F654AF"/>
    <w:rsid w:val="00F654DB"/>
    <w:rsid w:val="00F65518"/>
    <w:rsid w:val="00F6559B"/>
    <w:rsid w:val="00F65653"/>
    <w:rsid w:val="00F65831"/>
    <w:rsid w:val="00F65975"/>
    <w:rsid w:val="00F6598E"/>
    <w:rsid w:val="00F65A58"/>
    <w:rsid w:val="00F65AF4"/>
    <w:rsid w:val="00F65B97"/>
    <w:rsid w:val="00F65D78"/>
    <w:rsid w:val="00F65EAE"/>
    <w:rsid w:val="00F65EBF"/>
    <w:rsid w:val="00F65F59"/>
    <w:rsid w:val="00F661B5"/>
    <w:rsid w:val="00F661C6"/>
    <w:rsid w:val="00F66238"/>
    <w:rsid w:val="00F663CC"/>
    <w:rsid w:val="00F66454"/>
    <w:rsid w:val="00F6654B"/>
    <w:rsid w:val="00F66766"/>
    <w:rsid w:val="00F6678A"/>
    <w:rsid w:val="00F66873"/>
    <w:rsid w:val="00F66950"/>
    <w:rsid w:val="00F66A8D"/>
    <w:rsid w:val="00F66AC4"/>
    <w:rsid w:val="00F66BB5"/>
    <w:rsid w:val="00F66D32"/>
    <w:rsid w:val="00F66D7A"/>
    <w:rsid w:val="00F67054"/>
    <w:rsid w:val="00F67188"/>
    <w:rsid w:val="00F67230"/>
    <w:rsid w:val="00F6726F"/>
    <w:rsid w:val="00F67310"/>
    <w:rsid w:val="00F67353"/>
    <w:rsid w:val="00F67444"/>
    <w:rsid w:val="00F675B1"/>
    <w:rsid w:val="00F675DA"/>
    <w:rsid w:val="00F67875"/>
    <w:rsid w:val="00F700A1"/>
    <w:rsid w:val="00F700DB"/>
    <w:rsid w:val="00F701DA"/>
    <w:rsid w:val="00F70343"/>
    <w:rsid w:val="00F707D4"/>
    <w:rsid w:val="00F7093D"/>
    <w:rsid w:val="00F70AB6"/>
    <w:rsid w:val="00F70B27"/>
    <w:rsid w:val="00F70B9B"/>
    <w:rsid w:val="00F70C19"/>
    <w:rsid w:val="00F70C83"/>
    <w:rsid w:val="00F70FC7"/>
    <w:rsid w:val="00F71658"/>
    <w:rsid w:val="00F71875"/>
    <w:rsid w:val="00F71B24"/>
    <w:rsid w:val="00F71BAC"/>
    <w:rsid w:val="00F71BD6"/>
    <w:rsid w:val="00F71CF9"/>
    <w:rsid w:val="00F71CFC"/>
    <w:rsid w:val="00F71F73"/>
    <w:rsid w:val="00F720FF"/>
    <w:rsid w:val="00F7213C"/>
    <w:rsid w:val="00F7246D"/>
    <w:rsid w:val="00F724C2"/>
    <w:rsid w:val="00F72529"/>
    <w:rsid w:val="00F725E8"/>
    <w:rsid w:val="00F7260A"/>
    <w:rsid w:val="00F72DE4"/>
    <w:rsid w:val="00F72E26"/>
    <w:rsid w:val="00F72E41"/>
    <w:rsid w:val="00F72FBD"/>
    <w:rsid w:val="00F7313B"/>
    <w:rsid w:val="00F73190"/>
    <w:rsid w:val="00F73392"/>
    <w:rsid w:val="00F734E0"/>
    <w:rsid w:val="00F73838"/>
    <w:rsid w:val="00F739E5"/>
    <w:rsid w:val="00F73B23"/>
    <w:rsid w:val="00F74031"/>
    <w:rsid w:val="00F742CD"/>
    <w:rsid w:val="00F743F1"/>
    <w:rsid w:val="00F7444E"/>
    <w:rsid w:val="00F7467B"/>
    <w:rsid w:val="00F749B1"/>
    <w:rsid w:val="00F749EE"/>
    <w:rsid w:val="00F74A43"/>
    <w:rsid w:val="00F74AE1"/>
    <w:rsid w:val="00F74C08"/>
    <w:rsid w:val="00F74CFF"/>
    <w:rsid w:val="00F74DB2"/>
    <w:rsid w:val="00F74DF2"/>
    <w:rsid w:val="00F74F9D"/>
    <w:rsid w:val="00F7510B"/>
    <w:rsid w:val="00F75181"/>
    <w:rsid w:val="00F7518A"/>
    <w:rsid w:val="00F75673"/>
    <w:rsid w:val="00F75956"/>
    <w:rsid w:val="00F75AAC"/>
    <w:rsid w:val="00F75AC4"/>
    <w:rsid w:val="00F75D96"/>
    <w:rsid w:val="00F76839"/>
    <w:rsid w:val="00F768DD"/>
    <w:rsid w:val="00F7698F"/>
    <w:rsid w:val="00F76DA9"/>
    <w:rsid w:val="00F76F41"/>
    <w:rsid w:val="00F76F64"/>
    <w:rsid w:val="00F7719E"/>
    <w:rsid w:val="00F771B8"/>
    <w:rsid w:val="00F771C3"/>
    <w:rsid w:val="00F773E7"/>
    <w:rsid w:val="00F77A39"/>
    <w:rsid w:val="00F77FF5"/>
    <w:rsid w:val="00F800FB"/>
    <w:rsid w:val="00F8017C"/>
    <w:rsid w:val="00F802C1"/>
    <w:rsid w:val="00F802D3"/>
    <w:rsid w:val="00F80430"/>
    <w:rsid w:val="00F80482"/>
    <w:rsid w:val="00F80569"/>
    <w:rsid w:val="00F80570"/>
    <w:rsid w:val="00F808D5"/>
    <w:rsid w:val="00F80A76"/>
    <w:rsid w:val="00F80A88"/>
    <w:rsid w:val="00F80B22"/>
    <w:rsid w:val="00F80B93"/>
    <w:rsid w:val="00F80BD5"/>
    <w:rsid w:val="00F80C15"/>
    <w:rsid w:val="00F80CE6"/>
    <w:rsid w:val="00F81063"/>
    <w:rsid w:val="00F810BF"/>
    <w:rsid w:val="00F81209"/>
    <w:rsid w:val="00F81361"/>
    <w:rsid w:val="00F81401"/>
    <w:rsid w:val="00F81524"/>
    <w:rsid w:val="00F81B6D"/>
    <w:rsid w:val="00F81D65"/>
    <w:rsid w:val="00F81E98"/>
    <w:rsid w:val="00F8210C"/>
    <w:rsid w:val="00F8225C"/>
    <w:rsid w:val="00F8226E"/>
    <w:rsid w:val="00F822B2"/>
    <w:rsid w:val="00F82314"/>
    <w:rsid w:val="00F82423"/>
    <w:rsid w:val="00F82560"/>
    <w:rsid w:val="00F825C6"/>
    <w:rsid w:val="00F826DD"/>
    <w:rsid w:val="00F827D1"/>
    <w:rsid w:val="00F82800"/>
    <w:rsid w:val="00F82BA5"/>
    <w:rsid w:val="00F82C84"/>
    <w:rsid w:val="00F82CFE"/>
    <w:rsid w:val="00F82E0F"/>
    <w:rsid w:val="00F82E69"/>
    <w:rsid w:val="00F82F11"/>
    <w:rsid w:val="00F8313F"/>
    <w:rsid w:val="00F833A3"/>
    <w:rsid w:val="00F836E0"/>
    <w:rsid w:val="00F836EC"/>
    <w:rsid w:val="00F8395B"/>
    <w:rsid w:val="00F83C18"/>
    <w:rsid w:val="00F83E8B"/>
    <w:rsid w:val="00F83F14"/>
    <w:rsid w:val="00F83FCD"/>
    <w:rsid w:val="00F84185"/>
    <w:rsid w:val="00F84421"/>
    <w:rsid w:val="00F845B7"/>
    <w:rsid w:val="00F8479E"/>
    <w:rsid w:val="00F8484A"/>
    <w:rsid w:val="00F84B0E"/>
    <w:rsid w:val="00F84BED"/>
    <w:rsid w:val="00F84D21"/>
    <w:rsid w:val="00F84E51"/>
    <w:rsid w:val="00F8507B"/>
    <w:rsid w:val="00F8508E"/>
    <w:rsid w:val="00F851EF"/>
    <w:rsid w:val="00F857CD"/>
    <w:rsid w:val="00F858D9"/>
    <w:rsid w:val="00F8591D"/>
    <w:rsid w:val="00F85968"/>
    <w:rsid w:val="00F85D75"/>
    <w:rsid w:val="00F85E24"/>
    <w:rsid w:val="00F86295"/>
    <w:rsid w:val="00F8632C"/>
    <w:rsid w:val="00F863D3"/>
    <w:rsid w:val="00F86579"/>
    <w:rsid w:val="00F866EC"/>
    <w:rsid w:val="00F868C0"/>
    <w:rsid w:val="00F86CF9"/>
    <w:rsid w:val="00F87109"/>
    <w:rsid w:val="00F8710B"/>
    <w:rsid w:val="00F87117"/>
    <w:rsid w:val="00F8712C"/>
    <w:rsid w:val="00F87673"/>
    <w:rsid w:val="00F87788"/>
    <w:rsid w:val="00F8783B"/>
    <w:rsid w:val="00F878A1"/>
    <w:rsid w:val="00F8799C"/>
    <w:rsid w:val="00F87D13"/>
    <w:rsid w:val="00F87E22"/>
    <w:rsid w:val="00F87F7D"/>
    <w:rsid w:val="00F900B0"/>
    <w:rsid w:val="00F90540"/>
    <w:rsid w:val="00F905C6"/>
    <w:rsid w:val="00F90796"/>
    <w:rsid w:val="00F907A5"/>
    <w:rsid w:val="00F90979"/>
    <w:rsid w:val="00F909DA"/>
    <w:rsid w:val="00F909E2"/>
    <w:rsid w:val="00F90AC1"/>
    <w:rsid w:val="00F90D30"/>
    <w:rsid w:val="00F90E99"/>
    <w:rsid w:val="00F91076"/>
    <w:rsid w:val="00F9118E"/>
    <w:rsid w:val="00F911B5"/>
    <w:rsid w:val="00F9120B"/>
    <w:rsid w:val="00F91429"/>
    <w:rsid w:val="00F915A5"/>
    <w:rsid w:val="00F916DB"/>
    <w:rsid w:val="00F917A0"/>
    <w:rsid w:val="00F91B37"/>
    <w:rsid w:val="00F91C21"/>
    <w:rsid w:val="00F91C25"/>
    <w:rsid w:val="00F91D25"/>
    <w:rsid w:val="00F91DE1"/>
    <w:rsid w:val="00F91E7C"/>
    <w:rsid w:val="00F91F30"/>
    <w:rsid w:val="00F91F99"/>
    <w:rsid w:val="00F92087"/>
    <w:rsid w:val="00F920AA"/>
    <w:rsid w:val="00F9223C"/>
    <w:rsid w:val="00F9234B"/>
    <w:rsid w:val="00F923AE"/>
    <w:rsid w:val="00F923D4"/>
    <w:rsid w:val="00F92531"/>
    <w:rsid w:val="00F92748"/>
    <w:rsid w:val="00F928B0"/>
    <w:rsid w:val="00F92907"/>
    <w:rsid w:val="00F92916"/>
    <w:rsid w:val="00F92928"/>
    <w:rsid w:val="00F92AC6"/>
    <w:rsid w:val="00F92B60"/>
    <w:rsid w:val="00F92B6A"/>
    <w:rsid w:val="00F92B77"/>
    <w:rsid w:val="00F92C2F"/>
    <w:rsid w:val="00F92C69"/>
    <w:rsid w:val="00F92DD9"/>
    <w:rsid w:val="00F92E59"/>
    <w:rsid w:val="00F934DD"/>
    <w:rsid w:val="00F937C2"/>
    <w:rsid w:val="00F937E2"/>
    <w:rsid w:val="00F9380A"/>
    <w:rsid w:val="00F9385D"/>
    <w:rsid w:val="00F93903"/>
    <w:rsid w:val="00F93BB8"/>
    <w:rsid w:val="00F93C3F"/>
    <w:rsid w:val="00F93E35"/>
    <w:rsid w:val="00F93E87"/>
    <w:rsid w:val="00F943C7"/>
    <w:rsid w:val="00F94468"/>
    <w:rsid w:val="00F9451A"/>
    <w:rsid w:val="00F947EA"/>
    <w:rsid w:val="00F9487D"/>
    <w:rsid w:val="00F948EA"/>
    <w:rsid w:val="00F9494D"/>
    <w:rsid w:val="00F94AD2"/>
    <w:rsid w:val="00F94CF4"/>
    <w:rsid w:val="00F94F3A"/>
    <w:rsid w:val="00F95048"/>
    <w:rsid w:val="00F950E7"/>
    <w:rsid w:val="00F951DF"/>
    <w:rsid w:val="00F95213"/>
    <w:rsid w:val="00F95401"/>
    <w:rsid w:val="00F95699"/>
    <w:rsid w:val="00F9570F"/>
    <w:rsid w:val="00F95AA4"/>
    <w:rsid w:val="00F95B05"/>
    <w:rsid w:val="00F95C89"/>
    <w:rsid w:val="00F95D09"/>
    <w:rsid w:val="00F95DE8"/>
    <w:rsid w:val="00F95F58"/>
    <w:rsid w:val="00F961CB"/>
    <w:rsid w:val="00F96964"/>
    <w:rsid w:val="00F96BC9"/>
    <w:rsid w:val="00F96BD7"/>
    <w:rsid w:val="00F96D6F"/>
    <w:rsid w:val="00F96EFC"/>
    <w:rsid w:val="00F9728D"/>
    <w:rsid w:val="00F972ED"/>
    <w:rsid w:val="00F97356"/>
    <w:rsid w:val="00F973F1"/>
    <w:rsid w:val="00F97539"/>
    <w:rsid w:val="00F9775B"/>
    <w:rsid w:val="00F9788C"/>
    <w:rsid w:val="00F97A02"/>
    <w:rsid w:val="00F97A0E"/>
    <w:rsid w:val="00F97A66"/>
    <w:rsid w:val="00F97A6A"/>
    <w:rsid w:val="00F97B3A"/>
    <w:rsid w:val="00F97B89"/>
    <w:rsid w:val="00F97CB3"/>
    <w:rsid w:val="00F97DB6"/>
    <w:rsid w:val="00F97FDD"/>
    <w:rsid w:val="00FA01D1"/>
    <w:rsid w:val="00FA023E"/>
    <w:rsid w:val="00FA094C"/>
    <w:rsid w:val="00FA09C8"/>
    <w:rsid w:val="00FA09DA"/>
    <w:rsid w:val="00FA0ABA"/>
    <w:rsid w:val="00FA0D66"/>
    <w:rsid w:val="00FA1477"/>
    <w:rsid w:val="00FA1532"/>
    <w:rsid w:val="00FA15A0"/>
    <w:rsid w:val="00FA15AF"/>
    <w:rsid w:val="00FA1701"/>
    <w:rsid w:val="00FA17E4"/>
    <w:rsid w:val="00FA1AC1"/>
    <w:rsid w:val="00FA1AF8"/>
    <w:rsid w:val="00FA1DFA"/>
    <w:rsid w:val="00FA1E43"/>
    <w:rsid w:val="00FA1F43"/>
    <w:rsid w:val="00FA208A"/>
    <w:rsid w:val="00FA20AB"/>
    <w:rsid w:val="00FA2206"/>
    <w:rsid w:val="00FA224D"/>
    <w:rsid w:val="00FA2722"/>
    <w:rsid w:val="00FA27CF"/>
    <w:rsid w:val="00FA2886"/>
    <w:rsid w:val="00FA3102"/>
    <w:rsid w:val="00FA311A"/>
    <w:rsid w:val="00FA3154"/>
    <w:rsid w:val="00FA33C3"/>
    <w:rsid w:val="00FA3592"/>
    <w:rsid w:val="00FA3687"/>
    <w:rsid w:val="00FA370C"/>
    <w:rsid w:val="00FA392B"/>
    <w:rsid w:val="00FA39C4"/>
    <w:rsid w:val="00FA3BD9"/>
    <w:rsid w:val="00FA3C3E"/>
    <w:rsid w:val="00FA436D"/>
    <w:rsid w:val="00FA43C1"/>
    <w:rsid w:val="00FA4460"/>
    <w:rsid w:val="00FA4547"/>
    <w:rsid w:val="00FA45D7"/>
    <w:rsid w:val="00FA4DD2"/>
    <w:rsid w:val="00FA4E5C"/>
    <w:rsid w:val="00FA4EC2"/>
    <w:rsid w:val="00FA4F35"/>
    <w:rsid w:val="00FA4F46"/>
    <w:rsid w:val="00FA56DE"/>
    <w:rsid w:val="00FA5735"/>
    <w:rsid w:val="00FA5917"/>
    <w:rsid w:val="00FA5ECA"/>
    <w:rsid w:val="00FA60DB"/>
    <w:rsid w:val="00FA61E7"/>
    <w:rsid w:val="00FA6345"/>
    <w:rsid w:val="00FA63C1"/>
    <w:rsid w:val="00FA642D"/>
    <w:rsid w:val="00FA663D"/>
    <w:rsid w:val="00FA666C"/>
    <w:rsid w:val="00FA666E"/>
    <w:rsid w:val="00FA689E"/>
    <w:rsid w:val="00FA69E6"/>
    <w:rsid w:val="00FA6C48"/>
    <w:rsid w:val="00FA6DE1"/>
    <w:rsid w:val="00FA6F53"/>
    <w:rsid w:val="00FA70E8"/>
    <w:rsid w:val="00FA7320"/>
    <w:rsid w:val="00FA7337"/>
    <w:rsid w:val="00FA75E5"/>
    <w:rsid w:val="00FA776C"/>
    <w:rsid w:val="00FA7A80"/>
    <w:rsid w:val="00FA7C4A"/>
    <w:rsid w:val="00FA7D45"/>
    <w:rsid w:val="00FB01D1"/>
    <w:rsid w:val="00FB02E3"/>
    <w:rsid w:val="00FB0378"/>
    <w:rsid w:val="00FB0472"/>
    <w:rsid w:val="00FB0873"/>
    <w:rsid w:val="00FB08A4"/>
    <w:rsid w:val="00FB0E61"/>
    <w:rsid w:val="00FB110A"/>
    <w:rsid w:val="00FB1409"/>
    <w:rsid w:val="00FB158B"/>
    <w:rsid w:val="00FB15B5"/>
    <w:rsid w:val="00FB1872"/>
    <w:rsid w:val="00FB1AE5"/>
    <w:rsid w:val="00FB1E23"/>
    <w:rsid w:val="00FB2481"/>
    <w:rsid w:val="00FB28DC"/>
    <w:rsid w:val="00FB2B13"/>
    <w:rsid w:val="00FB2F72"/>
    <w:rsid w:val="00FB3104"/>
    <w:rsid w:val="00FB31A3"/>
    <w:rsid w:val="00FB3350"/>
    <w:rsid w:val="00FB3386"/>
    <w:rsid w:val="00FB33E3"/>
    <w:rsid w:val="00FB37EC"/>
    <w:rsid w:val="00FB3A9C"/>
    <w:rsid w:val="00FB3BB6"/>
    <w:rsid w:val="00FB4059"/>
    <w:rsid w:val="00FB4094"/>
    <w:rsid w:val="00FB430A"/>
    <w:rsid w:val="00FB4460"/>
    <w:rsid w:val="00FB45B7"/>
    <w:rsid w:val="00FB4644"/>
    <w:rsid w:val="00FB4716"/>
    <w:rsid w:val="00FB496A"/>
    <w:rsid w:val="00FB49BD"/>
    <w:rsid w:val="00FB4A41"/>
    <w:rsid w:val="00FB4A71"/>
    <w:rsid w:val="00FB4B5C"/>
    <w:rsid w:val="00FB4C63"/>
    <w:rsid w:val="00FB4CAB"/>
    <w:rsid w:val="00FB5097"/>
    <w:rsid w:val="00FB527C"/>
    <w:rsid w:val="00FB54FA"/>
    <w:rsid w:val="00FB5776"/>
    <w:rsid w:val="00FB58EF"/>
    <w:rsid w:val="00FB5A74"/>
    <w:rsid w:val="00FB5CB1"/>
    <w:rsid w:val="00FB5DDB"/>
    <w:rsid w:val="00FB5DF8"/>
    <w:rsid w:val="00FB6030"/>
    <w:rsid w:val="00FB628D"/>
    <w:rsid w:val="00FB6356"/>
    <w:rsid w:val="00FB678F"/>
    <w:rsid w:val="00FB683F"/>
    <w:rsid w:val="00FB6A04"/>
    <w:rsid w:val="00FB6D68"/>
    <w:rsid w:val="00FB71E1"/>
    <w:rsid w:val="00FB74F1"/>
    <w:rsid w:val="00FB765A"/>
    <w:rsid w:val="00FB76A3"/>
    <w:rsid w:val="00FB77A2"/>
    <w:rsid w:val="00FB7E0A"/>
    <w:rsid w:val="00FB7FE3"/>
    <w:rsid w:val="00FB7FF0"/>
    <w:rsid w:val="00FC00F5"/>
    <w:rsid w:val="00FC012A"/>
    <w:rsid w:val="00FC03DB"/>
    <w:rsid w:val="00FC0405"/>
    <w:rsid w:val="00FC04DB"/>
    <w:rsid w:val="00FC06DA"/>
    <w:rsid w:val="00FC08EC"/>
    <w:rsid w:val="00FC090C"/>
    <w:rsid w:val="00FC0AAD"/>
    <w:rsid w:val="00FC0C09"/>
    <w:rsid w:val="00FC0D25"/>
    <w:rsid w:val="00FC0DC5"/>
    <w:rsid w:val="00FC0E58"/>
    <w:rsid w:val="00FC0F79"/>
    <w:rsid w:val="00FC0FB3"/>
    <w:rsid w:val="00FC15A8"/>
    <w:rsid w:val="00FC1654"/>
    <w:rsid w:val="00FC18C9"/>
    <w:rsid w:val="00FC1A12"/>
    <w:rsid w:val="00FC1A55"/>
    <w:rsid w:val="00FC1B3D"/>
    <w:rsid w:val="00FC1C4C"/>
    <w:rsid w:val="00FC1C64"/>
    <w:rsid w:val="00FC1CF8"/>
    <w:rsid w:val="00FC1D3F"/>
    <w:rsid w:val="00FC1F6F"/>
    <w:rsid w:val="00FC1FCA"/>
    <w:rsid w:val="00FC22C0"/>
    <w:rsid w:val="00FC245B"/>
    <w:rsid w:val="00FC27AC"/>
    <w:rsid w:val="00FC284B"/>
    <w:rsid w:val="00FC28AB"/>
    <w:rsid w:val="00FC2A64"/>
    <w:rsid w:val="00FC2CF0"/>
    <w:rsid w:val="00FC2E41"/>
    <w:rsid w:val="00FC2E7A"/>
    <w:rsid w:val="00FC30CA"/>
    <w:rsid w:val="00FC341C"/>
    <w:rsid w:val="00FC34AE"/>
    <w:rsid w:val="00FC35AB"/>
    <w:rsid w:val="00FC36ED"/>
    <w:rsid w:val="00FC37E2"/>
    <w:rsid w:val="00FC3811"/>
    <w:rsid w:val="00FC3919"/>
    <w:rsid w:val="00FC3952"/>
    <w:rsid w:val="00FC39EA"/>
    <w:rsid w:val="00FC3B88"/>
    <w:rsid w:val="00FC3C91"/>
    <w:rsid w:val="00FC404C"/>
    <w:rsid w:val="00FC41B2"/>
    <w:rsid w:val="00FC41D2"/>
    <w:rsid w:val="00FC4321"/>
    <w:rsid w:val="00FC453B"/>
    <w:rsid w:val="00FC458C"/>
    <w:rsid w:val="00FC45E9"/>
    <w:rsid w:val="00FC4807"/>
    <w:rsid w:val="00FC4846"/>
    <w:rsid w:val="00FC48C8"/>
    <w:rsid w:val="00FC49F3"/>
    <w:rsid w:val="00FC5058"/>
    <w:rsid w:val="00FC51DE"/>
    <w:rsid w:val="00FC5338"/>
    <w:rsid w:val="00FC5714"/>
    <w:rsid w:val="00FC5781"/>
    <w:rsid w:val="00FC58C7"/>
    <w:rsid w:val="00FC6046"/>
    <w:rsid w:val="00FC640D"/>
    <w:rsid w:val="00FC645B"/>
    <w:rsid w:val="00FC68D1"/>
    <w:rsid w:val="00FC6AFD"/>
    <w:rsid w:val="00FC6E7E"/>
    <w:rsid w:val="00FC6F83"/>
    <w:rsid w:val="00FC7026"/>
    <w:rsid w:val="00FC7154"/>
    <w:rsid w:val="00FC732F"/>
    <w:rsid w:val="00FC733D"/>
    <w:rsid w:val="00FC7688"/>
    <w:rsid w:val="00FC7869"/>
    <w:rsid w:val="00FC7A72"/>
    <w:rsid w:val="00FC7ABE"/>
    <w:rsid w:val="00FC7BA7"/>
    <w:rsid w:val="00FC7E4B"/>
    <w:rsid w:val="00FC7EF4"/>
    <w:rsid w:val="00FC7F04"/>
    <w:rsid w:val="00FC7F24"/>
    <w:rsid w:val="00FD0297"/>
    <w:rsid w:val="00FD0344"/>
    <w:rsid w:val="00FD04A1"/>
    <w:rsid w:val="00FD05FC"/>
    <w:rsid w:val="00FD082D"/>
    <w:rsid w:val="00FD085F"/>
    <w:rsid w:val="00FD08D1"/>
    <w:rsid w:val="00FD0BB5"/>
    <w:rsid w:val="00FD0DD4"/>
    <w:rsid w:val="00FD0E15"/>
    <w:rsid w:val="00FD0E5F"/>
    <w:rsid w:val="00FD11E8"/>
    <w:rsid w:val="00FD14AF"/>
    <w:rsid w:val="00FD14F3"/>
    <w:rsid w:val="00FD1557"/>
    <w:rsid w:val="00FD15F0"/>
    <w:rsid w:val="00FD1954"/>
    <w:rsid w:val="00FD19F7"/>
    <w:rsid w:val="00FD1A19"/>
    <w:rsid w:val="00FD1AD9"/>
    <w:rsid w:val="00FD1CEE"/>
    <w:rsid w:val="00FD217B"/>
    <w:rsid w:val="00FD22EF"/>
    <w:rsid w:val="00FD2353"/>
    <w:rsid w:val="00FD25E6"/>
    <w:rsid w:val="00FD2933"/>
    <w:rsid w:val="00FD2A8E"/>
    <w:rsid w:val="00FD2B68"/>
    <w:rsid w:val="00FD2C5A"/>
    <w:rsid w:val="00FD2C87"/>
    <w:rsid w:val="00FD2F7C"/>
    <w:rsid w:val="00FD2F89"/>
    <w:rsid w:val="00FD2F98"/>
    <w:rsid w:val="00FD399E"/>
    <w:rsid w:val="00FD3A28"/>
    <w:rsid w:val="00FD3B1F"/>
    <w:rsid w:val="00FD3B74"/>
    <w:rsid w:val="00FD3BA7"/>
    <w:rsid w:val="00FD3C40"/>
    <w:rsid w:val="00FD3D9E"/>
    <w:rsid w:val="00FD40A8"/>
    <w:rsid w:val="00FD4153"/>
    <w:rsid w:val="00FD42B1"/>
    <w:rsid w:val="00FD43AC"/>
    <w:rsid w:val="00FD4714"/>
    <w:rsid w:val="00FD48BA"/>
    <w:rsid w:val="00FD494B"/>
    <w:rsid w:val="00FD4C32"/>
    <w:rsid w:val="00FD4D5B"/>
    <w:rsid w:val="00FD4F18"/>
    <w:rsid w:val="00FD5516"/>
    <w:rsid w:val="00FD555C"/>
    <w:rsid w:val="00FD55AE"/>
    <w:rsid w:val="00FD562B"/>
    <w:rsid w:val="00FD59D0"/>
    <w:rsid w:val="00FD5C11"/>
    <w:rsid w:val="00FD60AD"/>
    <w:rsid w:val="00FD61AC"/>
    <w:rsid w:val="00FD63DC"/>
    <w:rsid w:val="00FD64B3"/>
    <w:rsid w:val="00FD653D"/>
    <w:rsid w:val="00FD689E"/>
    <w:rsid w:val="00FD6C33"/>
    <w:rsid w:val="00FD6F09"/>
    <w:rsid w:val="00FD6FD2"/>
    <w:rsid w:val="00FD71CA"/>
    <w:rsid w:val="00FD7398"/>
    <w:rsid w:val="00FD76D1"/>
    <w:rsid w:val="00FD775D"/>
    <w:rsid w:val="00FD7854"/>
    <w:rsid w:val="00FD7936"/>
    <w:rsid w:val="00FD798F"/>
    <w:rsid w:val="00FD7A7C"/>
    <w:rsid w:val="00FD7B4F"/>
    <w:rsid w:val="00FD7DD2"/>
    <w:rsid w:val="00FD7DFC"/>
    <w:rsid w:val="00FD7E62"/>
    <w:rsid w:val="00FE0174"/>
    <w:rsid w:val="00FE04C4"/>
    <w:rsid w:val="00FE04EA"/>
    <w:rsid w:val="00FE0789"/>
    <w:rsid w:val="00FE08ED"/>
    <w:rsid w:val="00FE0B50"/>
    <w:rsid w:val="00FE0EB6"/>
    <w:rsid w:val="00FE10A8"/>
    <w:rsid w:val="00FE1333"/>
    <w:rsid w:val="00FE14EB"/>
    <w:rsid w:val="00FE1954"/>
    <w:rsid w:val="00FE1B83"/>
    <w:rsid w:val="00FE1F36"/>
    <w:rsid w:val="00FE22F3"/>
    <w:rsid w:val="00FE2364"/>
    <w:rsid w:val="00FE236E"/>
    <w:rsid w:val="00FE23FE"/>
    <w:rsid w:val="00FE249F"/>
    <w:rsid w:val="00FE26A6"/>
    <w:rsid w:val="00FE26C5"/>
    <w:rsid w:val="00FE2767"/>
    <w:rsid w:val="00FE29DC"/>
    <w:rsid w:val="00FE2A4F"/>
    <w:rsid w:val="00FE2BB9"/>
    <w:rsid w:val="00FE2C3D"/>
    <w:rsid w:val="00FE2F50"/>
    <w:rsid w:val="00FE30ED"/>
    <w:rsid w:val="00FE3159"/>
    <w:rsid w:val="00FE33AB"/>
    <w:rsid w:val="00FE371A"/>
    <w:rsid w:val="00FE3822"/>
    <w:rsid w:val="00FE38C6"/>
    <w:rsid w:val="00FE3ADC"/>
    <w:rsid w:val="00FE3AF4"/>
    <w:rsid w:val="00FE3DDC"/>
    <w:rsid w:val="00FE3E31"/>
    <w:rsid w:val="00FE3EBD"/>
    <w:rsid w:val="00FE405B"/>
    <w:rsid w:val="00FE40C6"/>
    <w:rsid w:val="00FE40EB"/>
    <w:rsid w:val="00FE40FE"/>
    <w:rsid w:val="00FE41BE"/>
    <w:rsid w:val="00FE41F6"/>
    <w:rsid w:val="00FE428E"/>
    <w:rsid w:val="00FE42A9"/>
    <w:rsid w:val="00FE44DF"/>
    <w:rsid w:val="00FE4629"/>
    <w:rsid w:val="00FE46AD"/>
    <w:rsid w:val="00FE498C"/>
    <w:rsid w:val="00FE4B2D"/>
    <w:rsid w:val="00FE4BB9"/>
    <w:rsid w:val="00FE4BE6"/>
    <w:rsid w:val="00FE4D71"/>
    <w:rsid w:val="00FE4EED"/>
    <w:rsid w:val="00FE503F"/>
    <w:rsid w:val="00FE5057"/>
    <w:rsid w:val="00FE579D"/>
    <w:rsid w:val="00FE57AD"/>
    <w:rsid w:val="00FE5910"/>
    <w:rsid w:val="00FE5FE7"/>
    <w:rsid w:val="00FE5FFE"/>
    <w:rsid w:val="00FE61CE"/>
    <w:rsid w:val="00FE621E"/>
    <w:rsid w:val="00FE6563"/>
    <w:rsid w:val="00FE65AD"/>
    <w:rsid w:val="00FE670C"/>
    <w:rsid w:val="00FE6722"/>
    <w:rsid w:val="00FE6792"/>
    <w:rsid w:val="00FE68CA"/>
    <w:rsid w:val="00FE6A11"/>
    <w:rsid w:val="00FE6A79"/>
    <w:rsid w:val="00FE6D4D"/>
    <w:rsid w:val="00FE6F51"/>
    <w:rsid w:val="00FE6FC6"/>
    <w:rsid w:val="00FE70A9"/>
    <w:rsid w:val="00FE7593"/>
    <w:rsid w:val="00FE7644"/>
    <w:rsid w:val="00FE76C8"/>
    <w:rsid w:val="00FE7754"/>
    <w:rsid w:val="00FE775A"/>
    <w:rsid w:val="00FE78C4"/>
    <w:rsid w:val="00FE78F0"/>
    <w:rsid w:val="00FE7955"/>
    <w:rsid w:val="00FF0067"/>
    <w:rsid w:val="00FF043C"/>
    <w:rsid w:val="00FF0957"/>
    <w:rsid w:val="00FF0CA3"/>
    <w:rsid w:val="00FF0D69"/>
    <w:rsid w:val="00FF0FE7"/>
    <w:rsid w:val="00FF0FF4"/>
    <w:rsid w:val="00FF1196"/>
    <w:rsid w:val="00FF1206"/>
    <w:rsid w:val="00FF13CF"/>
    <w:rsid w:val="00FF15EF"/>
    <w:rsid w:val="00FF164D"/>
    <w:rsid w:val="00FF178A"/>
    <w:rsid w:val="00FF17B2"/>
    <w:rsid w:val="00FF18A5"/>
    <w:rsid w:val="00FF1B5D"/>
    <w:rsid w:val="00FF1D7C"/>
    <w:rsid w:val="00FF1ED7"/>
    <w:rsid w:val="00FF20B1"/>
    <w:rsid w:val="00FF20C5"/>
    <w:rsid w:val="00FF237B"/>
    <w:rsid w:val="00FF23C5"/>
    <w:rsid w:val="00FF242C"/>
    <w:rsid w:val="00FF248B"/>
    <w:rsid w:val="00FF26BD"/>
    <w:rsid w:val="00FF273B"/>
    <w:rsid w:val="00FF2B28"/>
    <w:rsid w:val="00FF2E1A"/>
    <w:rsid w:val="00FF3034"/>
    <w:rsid w:val="00FF3232"/>
    <w:rsid w:val="00FF361F"/>
    <w:rsid w:val="00FF3A16"/>
    <w:rsid w:val="00FF3AE9"/>
    <w:rsid w:val="00FF428E"/>
    <w:rsid w:val="00FF42F7"/>
    <w:rsid w:val="00FF45C8"/>
    <w:rsid w:val="00FF45DB"/>
    <w:rsid w:val="00FF4737"/>
    <w:rsid w:val="00FF475C"/>
    <w:rsid w:val="00FF4795"/>
    <w:rsid w:val="00FF4843"/>
    <w:rsid w:val="00FF48E6"/>
    <w:rsid w:val="00FF4AF9"/>
    <w:rsid w:val="00FF4D2E"/>
    <w:rsid w:val="00FF4DFB"/>
    <w:rsid w:val="00FF4E9E"/>
    <w:rsid w:val="00FF4ECA"/>
    <w:rsid w:val="00FF5598"/>
    <w:rsid w:val="00FF568C"/>
    <w:rsid w:val="00FF58AE"/>
    <w:rsid w:val="00FF59D9"/>
    <w:rsid w:val="00FF5BA0"/>
    <w:rsid w:val="00FF5D5F"/>
    <w:rsid w:val="00FF5EFE"/>
    <w:rsid w:val="00FF5F2C"/>
    <w:rsid w:val="00FF5FF0"/>
    <w:rsid w:val="00FF61F4"/>
    <w:rsid w:val="00FF6354"/>
    <w:rsid w:val="00FF655B"/>
    <w:rsid w:val="00FF656E"/>
    <w:rsid w:val="00FF676B"/>
    <w:rsid w:val="00FF6783"/>
    <w:rsid w:val="00FF67AD"/>
    <w:rsid w:val="00FF6980"/>
    <w:rsid w:val="00FF6996"/>
    <w:rsid w:val="00FF6CD9"/>
    <w:rsid w:val="00FF6F80"/>
    <w:rsid w:val="00FF707C"/>
    <w:rsid w:val="00FF70C3"/>
    <w:rsid w:val="00FF7127"/>
    <w:rsid w:val="00FF7128"/>
    <w:rsid w:val="00FF7448"/>
    <w:rsid w:val="00FF7525"/>
    <w:rsid w:val="00FF76F9"/>
    <w:rsid w:val="00FF77EB"/>
    <w:rsid w:val="00FF7A5F"/>
    <w:rsid w:val="00FF7C6F"/>
    <w:rsid w:val="011125BC"/>
    <w:rsid w:val="011E6C21"/>
    <w:rsid w:val="017DE520"/>
    <w:rsid w:val="026192C3"/>
    <w:rsid w:val="02836D7B"/>
    <w:rsid w:val="02CCFDC9"/>
    <w:rsid w:val="02EB40AB"/>
    <w:rsid w:val="031E8F1F"/>
    <w:rsid w:val="0324EC4D"/>
    <w:rsid w:val="047FCB0A"/>
    <w:rsid w:val="055A2DBF"/>
    <w:rsid w:val="0568CF7D"/>
    <w:rsid w:val="060063DC"/>
    <w:rsid w:val="061538A2"/>
    <w:rsid w:val="06406196"/>
    <w:rsid w:val="065C7DCD"/>
    <w:rsid w:val="06D3C625"/>
    <w:rsid w:val="07079DED"/>
    <w:rsid w:val="0716B11A"/>
    <w:rsid w:val="078E8DE2"/>
    <w:rsid w:val="089FEAE0"/>
    <w:rsid w:val="09933EEB"/>
    <w:rsid w:val="09938F6F"/>
    <w:rsid w:val="099782F4"/>
    <w:rsid w:val="09B96827"/>
    <w:rsid w:val="09D0CA28"/>
    <w:rsid w:val="09D8CEBA"/>
    <w:rsid w:val="09E757E4"/>
    <w:rsid w:val="09E809C6"/>
    <w:rsid w:val="0A6C4330"/>
    <w:rsid w:val="0AF72E2E"/>
    <w:rsid w:val="0C8FDADF"/>
    <w:rsid w:val="0CD98178"/>
    <w:rsid w:val="0D0D2397"/>
    <w:rsid w:val="0D292035"/>
    <w:rsid w:val="0D6A56BB"/>
    <w:rsid w:val="0D8418EA"/>
    <w:rsid w:val="0DC103FB"/>
    <w:rsid w:val="0E906128"/>
    <w:rsid w:val="0F1CC458"/>
    <w:rsid w:val="0F5B2A9C"/>
    <w:rsid w:val="105213FB"/>
    <w:rsid w:val="1053A606"/>
    <w:rsid w:val="11581228"/>
    <w:rsid w:val="11772C55"/>
    <w:rsid w:val="11A4F732"/>
    <w:rsid w:val="11AF7003"/>
    <w:rsid w:val="11E411B8"/>
    <w:rsid w:val="12070386"/>
    <w:rsid w:val="1298AECD"/>
    <w:rsid w:val="1317219B"/>
    <w:rsid w:val="13203EBD"/>
    <w:rsid w:val="134CA769"/>
    <w:rsid w:val="13754716"/>
    <w:rsid w:val="13C86865"/>
    <w:rsid w:val="1418A48B"/>
    <w:rsid w:val="146C309C"/>
    <w:rsid w:val="14E699D6"/>
    <w:rsid w:val="1608AD56"/>
    <w:rsid w:val="1746CA7F"/>
    <w:rsid w:val="17B79824"/>
    <w:rsid w:val="17F52494"/>
    <w:rsid w:val="18139B1E"/>
    <w:rsid w:val="18214546"/>
    <w:rsid w:val="184C11CE"/>
    <w:rsid w:val="18593310"/>
    <w:rsid w:val="18603054"/>
    <w:rsid w:val="19590B4A"/>
    <w:rsid w:val="1A488C31"/>
    <w:rsid w:val="1B227254"/>
    <w:rsid w:val="1C702607"/>
    <w:rsid w:val="1CDD0E40"/>
    <w:rsid w:val="1D13B2F5"/>
    <w:rsid w:val="1DD12BA6"/>
    <w:rsid w:val="1E226425"/>
    <w:rsid w:val="1E2D5036"/>
    <w:rsid w:val="1E40A0AD"/>
    <w:rsid w:val="1EA23253"/>
    <w:rsid w:val="1ED47022"/>
    <w:rsid w:val="1ED71270"/>
    <w:rsid w:val="1F02C23F"/>
    <w:rsid w:val="1F39522E"/>
    <w:rsid w:val="1FA4FC20"/>
    <w:rsid w:val="1FE834F1"/>
    <w:rsid w:val="200C1556"/>
    <w:rsid w:val="202DE7E0"/>
    <w:rsid w:val="214C5534"/>
    <w:rsid w:val="216175A3"/>
    <w:rsid w:val="21B843C7"/>
    <w:rsid w:val="21DE5E22"/>
    <w:rsid w:val="228B4A74"/>
    <w:rsid w:val="22EA00EA"/>
    <w:rsid w:val="24149362"/>
    <w:rsid w:val="2436A063"/>
    <w:rsid w:val="2482A51B"/>
    <w:rsid w:val="2498593A"/>
    <w:rsid w:val="25761E48"/>
    <w:rsid w:val="259879F4"/>
    <w:rsid w:val="25CBE3F2"/>
    <w:rsid w:val="261415DE"/>
    <w:rsid w:val="26992CF5"/>
    <w:rsid w:val="2759A576"/>
    <w:rsid w:val="27DC37C2"/>
    <w:rsid w:val="2813D965"/>
    <w:rsid w:val="283454D5"/>
    <w:rsid w:val="283DEFDD"/>
    <w:rsid w:val="28C94075"/>
    <w:rsid w:val="291C8BDD"/>
    <w:rsid w:val="2B0B3BFC"/>
    <w:rsid w:val="2C256FC1"/>
    <w:rsid w:val="2C392E63"/>
    <w:rsid w:val="2C4B3D5C"/>
    <w:rsid w:val="2CA302D9"/>
    <w:rsid w:val="2CDD180E"/>
    <w:rsid w:val="2D26AE14"/>
    <w:rsid w:val="2DC458ED"/>
    <w:rsid w:val="2E1E1FEF"/>
    <w:rsid w:val="2E2A6DA2"/>
    <w:rsid w:val="2ED3A550"/>
    <w:rsid w:val="2ED4DE02"/>
    <w:rsid w:val="2F358688"/>
    <w:rsid w:val="2F8379BF"/>
    <w:rsid w:val="317D0304"/>
    <w:rsid w:val="32184593"/>
    <w:rsid w:val="3264ACC8"/>
    <w:rsid w:val="3272D0F1"/>
    <w:rsid w:val="328D54E1"/>
    <w:rsid w:val="32B4E82E"/>
    <w:rsid w:val="333CA050"/>
    <w:rsid w:val="3341B85A"/>
    <w:rsid w:val="33B799E1"/>
    <w:rsid w:val="33DDFA53"/>
    <w:rsid w:val="3422A822"/>
    <w:rsid w:val="343CBD3A"/>
    <w:rsid w:val="34C07605"/>
    <w:rsid w:val="352B3D94"/>
    <w:rsid w:val="35897B8E"/>
    <w:rsid w:val="362931F5"/>
    <w:rsid w:val="36B83586"/>
    <w:rsid w:val="372FC115"/>
    <w:rsid w:val="3755F4F1"/>
    <w:rsid w:val="378812D7"/>
    <w:rsid w:val="37B50C40"/>
    <w:rsid w:val="37B66DE6"/>
    <w:rsid w:val="37F36B44"/>
    <w:rsid w:val="39FBC7BC"/>
    <w:rsid w:val="3A44F6D0"/>
    <w:rsid w:val="3A4C2757"/>
    <w:rsid w:val="3A5CBE0E"/>
    <w:rsid w:val="3B282429"/>
    <w:rsid w:val="3B798DC5"/>
    <w:rsid w:val="3CF671EC"/>
    <w:rsid w:val="3D0D13F1"/>
    <w:rsid w:val="3DE281DD"/>
    <w:rsid w:val="3DEFE9B3"/>
    <w:rsid w:val="3DF5F042"/>
    <w:rsid w:val="3E0061C2"/>
    <w:rsid w:val="3E69CEDA"/>
    <w:rsid w:val="3F16DA2D"/>
    <w:rsid w:val="3F61C832"/>
    <w:rsid w:val="3F7A163C"/>
    <w:rsid w:val="3FB5DEAE"/>
    <w:rsid w:val="40118982"/>
    <w:rsid w:val="40161686"/>
    <w:rsid w:val="4136044B"/>
    <w:rsid w:val="413954EC"/>
    <w:rsid w:val="417F9C57"/>
    <w:rsid w:val="41EEE282"/>
    <w:rsid w:val="425B93FD"/>
    <w:rsid w:val="4260CF03"/>
    <w:rsid w:val="42915840"/>
    <w:rsid w:val="42B93DBB"/>
    <w:rsid w:val="42BE363C"/>
    <w:rsid w:val="42F346AB"/>
    <w:rsid w:val="43609C6D"/>
    <w:rsid w:val="43A05D7C"/>
    <w:rsid w:val="440269C1"/>
    <w:rsid w:val="44329FE7"/>
    <w:rsid w:val="4471C5EC"/>
    <w:rsid w:val="44A09606"/>
    <w:rsid w:val="44EFD24F"/>
    <w:rsid w:val="45270BAA"/>
    <w:rsid w:val="459AF892"/>
    <w:rsid w:val="45AE8F33"/>
    <w:rsid w:val="460E1455"/>
    <w:rsid w:val="4623654E"/>
    <w:rsid w:val="4667ED10"/>
    <w:rsid w:val="46B794CD"/>
    <w:rsid w:val="46F80C31"/>
    <w:rsid w:val="4716E1E3"/>
    <w:rsid w:val="47CEF1E4"/>
    <w:rsid w:val="483620DE"/>
    <w:rsid w:val="4842020A"/>
    <w:rsid w:val="49889A7A"/>
    <w:rsid w:val="4A5286B6"/>
    <w:rsid w:val="4B1F6CDE"/>
    <w:rsid w:val="4BDEC6FC"/>
    <w:rsid w:val="4CCAADEB"/>
    <w:rsid w:val="4D99C197"/>
    <w:rsid w:val="4DCDDB17"/>
    <w:rsid w:val="4E31EFC0"/>
    <w:rsid w:val="4EB2C7E6"/>
    <w:rsid w:val="4ED633E0"/>
    <w:rsid w:val="4EEA1385"/>
    <w:rsid w:val="4F18E3ED"/>
    <w:rsid w:val="4F1B49DB"/>
    <w:rsid w:val="4F21993E"/>
    <w:rsid w:val="4F45FDD2"/>
    <w:rsid w:val="4F4E336B"/>
    <w:rsid w:val="4F9C2B25"/>
    <w:rsid w:val="4FCFFD18"/>
    <w:rsid w:val="501048CA"/>
    <w:rsid w:val="503DF388"/>
    <w:rsid w:val="504A8ABF"/>
    <w:rsid w:val="505063C5"/>
    <w:rsid w:val="506DEE42"/>
    <w:rsid w:val="50E06AA5"/>
    <w:rsid w:val="514EF590"/>
    <w:rsid w:val="51C683B8"/>
    <w:rsid w:val="52EBDD44"/>
    <w:rsid w:val="53F09BC8"/>
    <w:rsid w:val="541A42DA"/>
    <w:rsid w:val="544C160D"/>
    <w:rsid w:val="54A2944E"/>
    <w:rsid w:val="54B05FC1"/>
    <w:rsid w:val="54B5DDF7"/>
    <w:rsid w:val="54B8DD81"/>
    <w:rsid w:val="54CAA9B8"/>
    <w:rsid w:val="54CC8990"/>
    <w:rsid w:val="54D216AA"/>
    <w:rsid w:val="5551AD34"/>
    <w:rsid w:val="55A20C70"/>
    <w:rsid w:val="55B1E695"/>
    <w:rsid w:val="568DB834"/>
    <w:rsid w:val="56A04277"/>
    <w:rsid w:val="57050AB6"/>
    <w:rsid w:val="576A7ADA"/>
    <w:rsid w:val="57D1FC10"/>
    <w:rsid w:val="57D7AD06"/>
    <w:rsid w:val="57DBE7C8"/>
    <w:rsid w:val="580955EE"/>
    <w:rsid w:val="588E5CC3"/>
    <w:rsid w:val="5893B655"/>
    <w:rsid w:val="5941778C"/>
    <w:rsid w:val="59BDCD34"/>
    <w:rsid w:val="59CED2AA"/>
    <w:rsid w:val="5A9F0F49"/>
    <w:rsid w:val="5AF37360"/>
    <w:rsid w:val="5B2804FE"/>
    <w:rsid w:val="5BB7F96C"/>
    <w:rsid w:val="5BDFFA1D"/>
    <w:rsid w:val="5C3E34AC"/>
    <w:rsid w:val="5C87DCDC"/>
    <w:rsid w:val="5CFF5AA2"/>
    <w:rsid w:val="5D875DC4"/>
    <w:rsid w:val="5E21AD29"/>
    <w:rsid w:val="5E6E2D33"/>
    <w:rsid w:val="5F42F9AB"/>
    <w:rsid w:val="5F447CA1"/>
    <w:rsid w:val="5F866EBD"/>
    <w:rsid w:val="600333EC"/>
    <w:rsid w:val="601DA239"/>
    <w:rsid w:val="601DD4B7"/>
    <w:rsid w:val="60A162E3"/>
    <w:rsid w:val="60CDCDB0"/>
    <w:rsid w:val="616F494C"/>
    <w:rsid w:val="6197E6CA"/>
    <w:rsid w:val="61B5884A"/>
    <w:rsid w:val="61CCEE92"/>
    <w:rsid w:val="629A1A2D"/>
    <w:rsid w:val="6319A3C4"/>
    <w:rsid w:val="6444445B"/>
    <w:rsid w:val="64496E0F"/>
    <w:rsid w:val="64538AE4"/>
    <w:rsid w:val="649960F4"/>
    <w:rsid w:val="6564F946"/>
    <w:rsid w:val="65BDC8AA"/>
    <w:rsid w:val="6606F2F9"/>
    <w:rsid w:val="666FF336"/>
    <w:rsid w:val="6693FACB"/>
    <w:rsid w:val="6734054F"/>
    <w:rsid w:val="680E891C"/>
    <w:rsid w:val="68475F63"/>
    <w:rsid w:val="68DCB8DC"/>
    <w:rsid w:val="69756A7F"/>
    <w:rsid w:val="69D62E60"/>
    <w:rsid w:val="69E20390"/>
    <w:rsid w:val="6A123F0C"/>
    <w:rsid w:val="6A2E1E5E"/>
    <w:rsid w:val="6A479685"/>
    <w:rsid w:val="6AFE6F42"/>
    <w:rsid w:val="6B32D8DD"/>
    <w:rsid w:val="6B5267A8"/>
    <w:rsid w:val="6BD2BE77"/>
    <w:rsid w:val="6CBDA4BE"/>
    <w:rsid w:val="6D59F95B"/>
    <w:rsid w:val="6D6C146B"/>
    <w:rsid w:val="6D836A27"/>
    <w:rsid w:val="6D94A24A"/>
    <w:rsid w:val="6DC95634"/>
    <w:rsid w:val="6EB29555"/>
    <w:rsid w:val="6EC5A27C"/>
    <w:rsid w:val="6EECD020"/>
    <w:rsid w:val="6EFB9929"/>
    <w:rsid w:val="6F1E54BE"/>
    <w:rsid w:val="6FAB019C"/>
    <w:rsid w:val="703F4326"/>
    <w:rsid w:val="706FF549"/>
    <w:rsid w:val="70A0D535"/>
    <w:rsid w:val="70CE4B70"/>
    <w:rsid w:val="70D08468"/>
    <w:rsid w:val="70E40B18"/>
    <w:rsid w:val="716A7295"/>
    <w:rsid w:val="71CEF59C"/>
    <w:rsid w:val="7283C08C"/>
    <w:rsid w:val="72C387FA"/>
    <w:rsid w:val="734CF667"/>
    <w:rsid w:val="73B127EB"/>
    <w:rsid w:val="73C23441"/>
    <w:rsid w:val="7404E543"/>
    <w:rsid w:val="747FC7CB"/>
    <w:rsid w:val="75566A53"/>
    <w:rsid w:val="75B43EB6"/>
    <w:rsid w:val="760B754F"/>
    <w:rsid w:val="76C20076"/>
    <w:rsid w:val="77B86E48"/>
    <w:rsid w:val="78C07DF1"/>
    <w:rsid w:val="790C27B5"/>
    <w:rsid w:val="7978972F"/>
    <w:rsid w:val="7A555A6B"/>
    <w:rsid w:val="7AFDF64B"/>
    <w:rsid w:val="7B381E80"/>
    <w:rsid w:val="7BBA8440"/>
    <w:rsid w:val="7C024F0F"/>
    <w:rsid w:val="7C2D878D"/>
    <w:rsid w:val="7C49052D"/>
    <w:rsid w:val="7C7CEB96"/>
    <w:rsid w:val="7C94E6BA"/>
    <w:rsid w:val="7D8665DC"/>
    <w:rsid w:val="7DC9B404"/>
    <w:rsid w:val="7E65C7CB"/>
    <w:rsid w:val="7ECD2EF4"/>
    <w:rsid w:val="7F1D75DB"/>
    <w:rsid w:val="7FB3C9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D8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679A"/>
    <w:pPr>
      <w:spacing w:before="120" w:after="120"/>
    </w:pPr>
    <w:rPr>
      <w:rFonts w:ascii="Calibri Light" w:hAnsi="Calibri Light"/>
      <w:sz w:val="22"/>
    </w:rPr>
  </w:style>
  <w:style w:type="paragraph" w:styleId="Heading1">
    <w:name w:val="heading 1"/>
    <w:basedOn w:val="Normal"/>
    <w:next w:val="Normal"/>
    <w:link w:val="Heading1Char"/>
    <w:qFormat/>
    <w:rsid w:val="006323CF"/>
    <w:pPr>
      <w:keepNext/>
      <w:numPr>
        <w:numId w:val="45"/>
      </w:numPr>
      <w:spacing w:before="360" w:after="160" w:line="460" w:lineRule="exact"/>
      <w:outlineLvl w:val="0"/>
    </w:pPr>
    <w:rPr>
      <w:rFonts w:ascii="Calibri" w:hAnsi="Calibri" w:cs="Arial"/>
      <w:b/>
      <w:color w:val="5D779D" w:themeColor="accent3"/>
      <w:kern w:val="32"/>
      <w:sz w:val="36"/>
      <w:szCs w:val="28"/>
    </w:rPr>
  </w:style>
  <w:style w:type="paragraph" w:styleId="Heading2">
    <w:name w:val="heading 2"/>
    <w:basedOn w:val="Normal"/>
    <w:next w:val="Normal"/>
    <w:link w:val="Heading2Char"/>
    <w:qFormat/>
    <w:rsid w:val="003618DB"/>
    <w:pPr>
      <w:keepNext/>
      <w:spacing w:line="460" w:lineRule="exact"/>
      <w:outlineLvl w:val="1"/>
    </w:pPr>
    <w:rPr>
      <w:rFonts w:ascii="Calibri" w:hAnsi="Calibri" w:cs="Arial"/>
      <w:b/>
      <w:bCs/>
      <w:iCs/>
      <w:color w:val="2C384A"/>
      <w:kern w:val="32"/>
      <w:sz w:val="28"/>
      <w:szCs w:val="22"/>
    </w:rPr>
  </w:style>
  <w:style w:type="paragraph" w:styleId="Heading3">
    <w:name w:val="heading 3"/>
    <w:basedOn w:val="Heading2"/>
    <w:next w:val="Normal"/>
    <w:link w:val="Heading3Char"/>
    <w:qFormat/>
    <w:rsid w:val="007B165E"/>
    <w:pPr>
      <w:spacing w:before="0"/>
      <w:outlineLvl w:val="2"/>
    </w:pPr>
    <w:rPr>
      <w:rFonts w:ascii="Calibri Light" w:hAnsi="Calibri Light" w:cs="Calibri Light"/>
      <w:b w:val="0"/>
      <w:bCs w:val="0"/>
      <w:sz w:val="24"/>
      <w:szCs w:val="20"/>
      <w:u w:val="single"/>
    </w:rPr>
  </w:style>
  <w:style w:type="paragraph" w:styleId="Heading4">
    <w:name w:val="heading 4"/>
    <w:basedOn w:val="NumberedParagraph"/>
    <w:next w:val="Normal"/>
    <w:link w:val="Heading4Char"/>
    <w:uiPriority w:val="9"/>
    <w:qFormat/>
    <w:rsid w:val="00951396"/>
    <w:pPr>
      <w:numPr>
        <w:ilvl w:val="0"/>
        <w:numId w:val="0"/>
      </w:numPr>
      <w:outlineLvl w:val="3"/>
    </w:pPr>
    <w:rPr>
      <w:i/>
      <w:iCs/>
    </w:rPr>
  </w:style>
  <w:style w:type="paragraph" w:styleId="Heading5">
    <w:name w:val="heading 5"/>
    <w:basedOn w:val="Normal"/>
    <w:next w:val="Normal"/>
    <w:link w:val="Heading5Char"/>
    <w:uiPriority w:val="9"/>
    <w:qFormat/>
    <w:rsid w:val="007611DB"/>
    <w:pPr>
      <w:keepNext/>
      <w:spacing w:before="240" w:after="0" w:line="276" w:lineRule="auto"/>
      <w:outlineLvl w:val="4"/>
    </w:pPr>
    <w:rPr>
      <w:rFonts w:asciiTheme="majorHAnsi" w:hAnsiTheme="majorHAnsi" w:cs="Arial"/>
      <w:b/>
      <w:iCs/>
      <w:color w:val="000000" w:themeColor="text1"/>
      <w:kern w:val="32"/>
      <w:szCs w:val="36"/>
    </w:rPr>
  </w:style>
  <w:style w:type="paragraph" w:styleId="Heading6">
    <w:name w:val="heading 6"/>
    <w:basedOn w:val="Normal"/>
    <w:next w:val="Normal"/>
    <w:link w:val="Heading6Char"/>
    <w:uiPriority w:val="9"/>
    <w:qFormat/>
    <w:rsid w:val="007611DB"/>
    <w:pPr>
      <w:keepNext/>
      <w:spacing w:after="0" w:line="276" w:lineRule="auto"/>
      <w:outlineLvl w:val="5"/>
    </w:pPr>
    <w:rPr>
      <w:rFonts w:cs="Arial"/>
      <w:color w:val="000000" w:themeColor="text1"/>
      <w:kern w:val="32"/>
      <w:szCs w:val="22"/>
    </w:rPr>
  </w:style>
  <w:style w:type="paragraph" w:styleId="Heading7">
    <w:name w:val="heading 7"/>
    <w:basedOn w:val="Normal"/>
    <w:next w:val="Normal"/>
    <w:link w:val="Heading7Char"/>
    <w:uiPriority w:val="9"/>
    <w:qFormat/>
    <w:rsid w:val="007611DB"/>
    <w:pPr>
      <w:keepNext/>
      <w:spacing w:before="0"/>
      <w:outlineLvl w:val="6"/>
    </w:pPr>
    <w:rPr>
      <w:rFonts w:ascii="Calibri" w:hAnsi="Calibri" w:cs="Arial"/>
      <w:bCs/>
      <w:color w:val="002C4A"/>
      <w:kern w:val="32"/>
      <w:sz w:val="48"/>
      <w:szCs w:val="24"/>
    </w:rPr>
  </w:style>
  <w:style w:type="paragraph" w:styleId="Heading8">
    <w:name w:val="heading 8"/>
    <w:basedOn w:val="Normal"/>
    <w:next w:val="Normal"/>
    <w:link w:val="Heading8Char"/>
    <w:uiPriority w:val="9"/>
    <w:qFormat/>
    <w:rsid w:val="007611DB"/>
    <w:pPr>
      <w:keepNext/>
      <w:spacing w:before="0"/>
      <w:outlineLvl w:val="7"/>
    </w:pPr>
    <w:rPr>
      <w:rFonts w:ascii="Calibri" w:hAnsi="Calibri" w:cs="Arial"/>
      <w:bCs/>
      <w:iCs/>
      <w:color w:val="002C4A"/>
      <w:kern w:val="32"/>
      <w:sz w:val="48"/>
      <w:szCs w:val="24"/>
    </w:rPr>
  </w:style>
  <w:style w:type="paragraph" w:styleId="Heading9">
    <w:name w:val="heading 9"/>
    <w:basedOn w:val="Normal"/>
    <w:next w:val="Normal"/>
    <w:link w:val="Heading9Char"/>
    <w:uiPriority w:val="9"/>
    <w:qFormat/>
    <w:rsid w:val="007611DB"/>
    <w:pPr>
      <w:keepNext/>
      <w:spacing w:before="0"/>
      <w:outlineLvl w:val="8"/>
    </w:pPr>
    <w:rPr>
      <w:rFonts w:ascii="Calibri" w:hAnsi="Calibri" w:cs="Arial"/>
      <w:bCs/>
      <w:color w:val="002C4A"/>
      <w:kern w:val="32"/>
      <w:sz w:val="4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611DB"/>
    <w:pPr>
      <w:spacing w:before="0" w:after="0"/>
      <w:ind w:left="397" w:hanging="397"/>
    </w:pPr>
    <w:rPr>
      <w:sz w:val="20"/>
    </w:rPr>
  </w:style>
  <w:style w:type="character" w:customStyle="1" w:styleId="FootnoteTextChar">
    <w:name w:val="Footnote Text Char"/>
    <w:basedOn w:val="DefaultParagraphFont"/>
    <w:link w:val="FootnoteText"/>
    <w:uiPriority w:val="99"/>
    <w:rsid w:val="007611DB"/>
    <w:rPr>
      <w:rFonts w:ascii="Calibri Light" w:hAnsi="Calibri Light"/>
    </w:rPr>
  </w:style>
  <w:style w:type="paragraph" w:customStyle="1" w:styleId="ContentsHeading">
    <w:name w:val="Contents Heading"/>
    <w:basedOn w:val="Heading1"/>
    <w:qFormat/>
    <w:rsid w:val="00F836EC"/>
    <w:pPr>
      <w:numPr>
        <w:numId w:val="0"/>
      </w:numPr>
      <w:ind w:left="709" w:hanging="709"/>
      <w:outlineLvl w:val="9"/>
    </w:pPr>
  </w:style>
  <w:style w:type="paragraph" w:customStyle="1" w:styleId="CoverTitleMain">
    <w:name w:val="Cover Title Main"/>
    <w:basedOn w:val="Normal"/>
    <w:next w:val="Normal"/>
    <w:rsid w:val="007611DB"/>
    <w:pPr>
      <w:keepNext/>
      <w:pBdr>
        <w:bottom w:val="single" w:sz="18" w:space="14" w:color="2C384A" w:themeColor="accent1"/>
      </w:pBdr>
      <w:spacing w:before="0" w:after="240"/>
    </w:pPr>
    <w:rPr>
      <w:b/>
      <w:color w:val="2C384A" w:themeColor="accent1"/>
      <w:sz w:val="56"/>
      <w:szCs w:val="40"/>
    </w:rPr>
  </w:style>
  <w:style w:type="paragraph" w:customStyle="1" w:styleId="FooterOdd">
    <w:name w:val="Footer Odd"/>
    <w:basedOn w:val="Footer"/>
    <w:rsid w:val="007611DB"/>
    <w:pPr>
      <w:keepNext/>
      <w:tabs>
        <w:tab w:val="clear" w:pos="4513"/>
        <w:tab w:val="clear" w:pos="9026"/>
        <w:tab w:val="right" w:pos="9072"/>
      </w:tabs>
      <w:jc w:val="right"/>
    </w:pPr>
    <w:rPr>
      <w:color w:val="2C384A" w:themeColor="accent1"/>
      <w:sz w:val="20"/>
    </w:rPr>
  </w:style>
  <w:style w:type="paragraph" w:styleId="Header">
    <w:name w:val="header"/>
    <w:basedOn w:val="Normal"/>
    <w:link w:val="HeaderChar"/>
    <w:uiPriority w:val="99"/>
    <w:unhideWhenUsed/>
    <w:rsid w:val="007611DB"/>
    <w:pPr>
      <w:keepNext/>
      <w:spacing w:before="0" w:after="0"/>
      <w:jc w:val="right"/>
    </w:pPr>
    <w:rPr>
      <w:color w:val="004A7F"/>
      <w:sz w:val="20"/>
    </w:rPr>
  </w:style>
  <w:style w:type="character" w:customStyle="1" w:styleId="HeaderChar">
    <w:name w:val="Header Char"/>
    <w:basedOn w:val="DefaultParagraphFont"/>
    <w:link w:val="Header"/>
    <w:uiPriority w:val="99"/>
    <w:rsid w:val="007611DB"/>
    <w:rPr>
      <w:rFonts w:ascii="Calibri Light" w:hAnsi="Calibri Light"/>
      <w:color w:val="004A7F"/>
    </w:rPr>
  </w:style>
  <w:style w:type="paragraph" w:styleId="TOC1">
    <w:name w:val="toc 1"/>
    <w:basedOn w:val="Normal"/>
    <w:next w:val="Normal"/>
    <w:uiPriority w:val="39"/>
    <w:rsid w:val="007611DB"/>
    <w:pPr>
      <w:keepNext/>
      <w:tabs>
        <w:tab w:val="right" w:leader="dot" w:pos="9072"/>
      </w:tabs>
      <w:spacing w:before="180" w:after="0"/>
      <w:ind w:right="-2"/>
    </w:pPr>
    <w:rPr>
      <w:b/>
      <w:noProof/>
      <w:color w:val="2C384A" w:themeColor="accent1"/>
      <w:szCs w:val="22"/>
    </w:rPr>
  </w:style>
  <w:style w:type="paragraph" w:customStyle="1" w:styleId="CoverDate">
    <w:name w:val="Cover Date"/>
    <w:basedOn w:val="Normal"/>
    <w:rsid w:val="007611DB"/>
    <w:pPr>
      <w:keepNext/>
      <w:spacing w:before="840" w:after="0"/>
    </w:pPr>
    <w:rPr>
      <w:color w:val="2C384A" w:themeColor="accent1"/>
      <w:sz w:val="28"/>
    </w:rPr>
  </w:style>
  <w:style w:type="character" w:styleId="FootnoteReference">
    <w:name w:val="footnote reference"/>
    <w:basedOn w:val="DefaultParagraphFont"/>
    <w:uiPriority w:val="99"/>
    <w:rsid w:val="007611DB"/>
    <w:rPr>
      <w:sz w:val="18"/>
    </w:rPr>
  </w:style>
  <w:style w:type="paragraph" w:styleId="Footer">
    <w:name w:val="footer"/>
    <w:basedOn w:val="Normal"/>
    <w:link w:val="FooterChar"/>
    <w:uiPriority w:val="99"/>
    <w:unhideWhenUsed/>
    <w:rsid w:val="007611DB"/>
    <w:pPr>
      <w:tabs>
        <w:tab w:val="center" w:pos="4513"/>
        <w:tab w:val="right" w:pos="9026"/>
      </w:tabs>
      <w:spacing w:before="0" w:after="0"/>
    </w:pPr>
  </w:style>
  <w:style w:type="character" w:customStyle="1" w:styleId="FooterChar">
    <w:name w:val="Footer Char"/>
    <w:basedOn w:val="DefaultParagraphFont"/>
    <w:link w:val="Footer"/>
    <w:uiPriority w:val="99"/>
    <w:rsid w:val="007611DB"/>
    <w:rPr>
      <w:rFonts w:ascii="Calibri Light" w:hAnsi="Calibri Light"/>
      <w:sz w:val="22"/>
    </w:rPr>
  </w:style>
  <w:style w:type="paragraph" w:styleId="TOC2">
    <w:name w:val="toc 2"/>
    <w:basedOn w:val="Normal"/>
    <w:next w:val="Normal"/>
    <w:autoRedefine/>
    <w:uiPriority w:val="39"/>
    <w:unhideWhenUsed/>
    <w:rsid w:val="00DF3A59"/>
    <w:pPr>
      <w:tabs>
        <w:tab w:val="right" w:leader="dot" w:pos="9060"/>
      </w:tabs>
      <w:spacing w:after="100"/>
      <w:ind w:left="426"/>
    </w:pPr>
    <w:rPr>
      <w:noProof/>
    </w:rPr>
  </w:style>
  <w:style w:type="paragraph" w:styleId="TOC3">
    <w:name w:val="toc 3"/>
    <w:basedOn w:val="Normal"/>
    <w:next w:val="Normal"/>
    <w:autoRedefine/>
    <w:uiPriority w:val="39"/>
    <w:unhideWhenUsed/>
    <w:rsid w:val="00DF3A59"/>
    <w:pPr>
      <w:tabs>
        <w:tab w:val="right" w:leader="dot" w:pos="9060"/>
      </w:tabs>
      <w:spacing w:after="100"/>
      <w:ind w:left="709"/>
    </w:pPr>
    <w:rPr>
      <w:noProof/>
    </w:rPr>
  </w:style>
  <w:style w:type="character" w:styleId="Hyperlink">
    <w:name w:val="Hyperlink"/>
    <w:basedOn w:val="DefaultParagraphFont"/>
    <w:uiPriority w:val="99"/>
    <w:unhideWhenUsed/>
    <w:rsid w:val="00165908"/>
    <w:rPr>
      <w:color w:val="3A6FAF" w:themeColor="hyperlink"/>
      <w:u w:val="single"/>
    </w:rPr>
  </w:style>
  <w:style w:type="paragraph" w:styleId="ListParagraph">
    <w:name w:val="List Paragraph"/>
    <w:basedOn w:val="Normal"/>
    <w:uiPriority w:val="34"/>
    <w:rsid w:val="00480406"/>
    <w:pPr>
      <w:ind w:left="720"/>
      <w:contextualSpacing/>
    </w:pPr>
  </w:style>
  <w:style w:type="paragraph" w:customStyle="1" w:styleId="Dash">
    <w:name w:val="Dash"/>
    <w:basedOn w:val="Normal"/>
    <w:link w:val="DashChar"/>
    <w:qFormat/>
    <w:rsid w:val="00480406"/>
    <w:pPr>
      <w:numPr>
        <w:ilvl w:val="1"/>
        <w:numId w:val="23"/>
      </w:numPr>
    </w:pPr>
  </w:style>
  <w:style w:type="character" w:customStyle="1" w:styleId="DashChar">
    <w:name w:val="Dash Char"/>
    <w:basedOn w:val="DefaultParagraphFont"/>
    <w:link w:val="Dash"/>
    <w:rsid w:val="00480406"/>
    <w:rPr>
      <w:rFonts w:ascii="Calibri Light" w:hAnsi="Calibri Light"/>
      <w:sz w:val="22"/>
    </w:rPr>
  </w:style>
  <w:style w:type="paragraph" w:customStyle="1" w:styleId="DoubleDot">
    <w:name w:val="Double Dot"/>
    <w:basedOn w:val="Normal"/>
    <w:link w:val="DoubleDotChar"/>
    <w:qFormat/>
    <w:rsid w:val="00480406"/>
    <w:pPr>
      <w:numPr>
        <w:ilvl w:val="2"/>
        <w:numId w:val="23"/>
      </w:numPr>
    </w:pPr>
  </w:style>
  <w:style w:type="character" w:customStyle="1" w:styleId="DoubleDotChar">
    <w:name w:val="Double Dot Char"/>
    <w:basedOn w:val="DefaultParagraphFont"/>
    <w:link w:val="DoubleDot"/>
    <w:rsid w:val="00480406"/>
    <w:rPr>
      <w:rFonts w:ascii="Calibri Light" w:hAnsi="Calibri Light"/>
      <w:sz w:val="22"/>
    </w:rPr>
  </w:style>
  <w:style w:type="paragraph" w:customStyle="1" w:styleId="Bulletparagraph">
    <w:name w:val="Bullet paragraph"/>
    <w:basedOn w:val="Normal"/>
    <w:qFormat/>
    <w:rsid w:val="00A817A6"/>
    <w:pPr>
      <w:numPr>
        <w:numId w:val="23"/>
      </w:numPr>
      <w:tabs>
        <w:tab w:val="clear" w:pos="520"/>
        <w:tab w:val="num" w:pos="993"/>
      </w:tabs>
      <w:ind w:left="993" w:hanging="425"/>
    </w:pPr>
  </w:style>
  <w:style w:type="table" w:styleId="TableGrid">
    <w:name w:val="Table Grid"/>
    <w:basedOn w:val="TableNormal"/>
    <w:rsid w:val="005236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Numbered1">
    <w:name w:val="Outline Numbered 1"/>
    <w:basedOn w:val="Normal"/>
    <w:link w:val="OutlineNumbered1Char"/>
    <w:rsid w:val="003618DB"/>
  </w:style>
  <w:style w:type="character" w:customStyle="1" w:styleId="OutlineNumbered1Char">
    <w:name w:val="Outline Numbered 1 Char"/>
    <w:basedOn w:val="DefaultParagraphFont"/>
    <w:link w:val="OutlineNumbered1"/>
    <w:rsid w:val="003618DB"/>
    <w:rPr>
      <w:rFonts w:ascii="Calibri Light" w:hAnsi="Calibri Light"/>
      <w:sz w:val="22"/>
    </w:rPr>
  </w:style>
  <w:style w:type="paragraph" w:customStyle="1" w:styleId="OutlineNumbered2">
    <w:name w:val="Outline Numbered 2"/>
    <w:basedOn w:val="Normal"/>
    <w:link w:val="OutlineNumbered2Char"/>
    <w:rsid w:val="003618DB"/>
  </w:style>
  <w:style w:type="character" w:customStyle="1" w:styleId="OutlineNumbered2Char">
    <w:name w:val="Outline Numbered 2 Char"/>
    <w:basedOn w:val="DefaultParagraphFont"/>
    <w:link w:val="OutlineNumbered2"/>
    <w:rsid w:val="003618DB"/>
    <w:rPr>
      <w:rFonts w:ascii="Calibri Light" w:hAnsi="Calibri Light"/>
      <w:sz w:val="22"/>
    </w:rPr>
  </w:style>
  <w:style w:type="paragraph" w:customStyle="1" w:styleId="OutlineNumbered3">
    <w:name w:val="Outline Numbered 3"/>
    <w:basedOn w:val="Normal"/>
    <w:link w:val="OutlineNumbered3Char"/>
    <w:rsid w:val="003618DB"/>
  </w:style>
  <w:style w:type="character" w:customStyle="1" w:styleId="OutlineNumbered3Char">
    <w:name w:val="Outline Numbered 3 Char"/>
    <w:basedOn w:val="DefaultParagraphFont"/>
    <w:link w:val="OutlineNumbered3"/>
    <w:rsid w:val="003618DB"/>
    <w:rPr>
      <w:rFonts w:ascii="Calibri Light" w:hAnsi="Calibri Light"/>
      <w:sz w:val="22"/>
    </w:rPr>
  </w:style>
  <w:style w:type="paragraph" w:customStyle="1" w:styleId="NumberedParagraph">
    <w:name w:val="Numbered Paragraph"/>
    <w:basedOn w:val="OutlineNumbered1"/>
    <w:qFormat/>
    <w:rsid w:val="00A817A6"/>
    <w:pPr>
      <w:numPr>
        <w:ilvl w:val="1"/>
        <w:numId w:val="2"/>
      </w:numPr>
      <w:tabs>
        <w:tab w:val="left" w:pos="567"/>
      </w:tabs>
      <w:ind w:left="567" w:hanging="567"/>
    </w:pPr>
  </w:style>
  <w:style w:type="paragraph" w:customStyle="1" w:styleId="NumberedPara">
    <w:name w:val="Numbered Para"/>
    <w:basedOn w:val="Normal"/>
    <w:rsid w:val="00F836EC"/>
    <w:pPr>
      <w:numPr>
        <w:ilvl w:val="1"/>
        <w:numId w:val="45"/>
      </w:numPr>
    </w:pPr>
  </w:style>
  <w:style w:type="character" w:customStyle="1" w:styleId="Heading1Char">
    <w:name w:val="Heading 1 Char"/>
    <w:basedOn w:val="DefaultParagraphFont"/>
    <w:link w:val="Heading1"/>
    <w:rsid w:val="006323CF"/>
    <w:rPr>
      <w:rFonts w:ascii="Calibri" w:hAnsi="Calibri" w:cs="Arial"/>
      <w:b/>
      <w:color w:val="5D779D" w:themeColor="accent3"/>
      <w:kern w:val="32"/>
      <w:sz w:val="36"/>
      <w:szCs w:val="28"/>
    </w:rPr>
  </w:style>
  <w:style w:type="character" w:customStyle="1" w:styleId="Heading3Char">
    <w:name w:val="Heading 3 Char"/>
    <w:basedOn w:val="DefaultParagraphFont"/>
    <w:link w:val="Heading3"/>
    <w:rsid w:val="007B165E"/>
    <w:rPr>
      <w:rFonts w:ascii="Calibri Light" w:hAnsi="Calibri Light" w:cs="Calibri Light"/>
      <w:iCs/>
      <w:color w:val="2C384A"/>
      <w:kern w:val="32"/>
      <w:sz w:val="24"/>
      <w:u w:val="single"/>
    </w:rPr>
  </w:style>
  <w:style w:type="character" w:customStyle="1" w:styleId="Heading2Char">
    <w:name w:val="Heading 2 Char"/>
    <w:basedOn w:val="DefaultParagraphFont"/>
    <w:link w:val="Heading2"/>
    <w:rsid w:val="003618DB"/>
    <w:rPr>
      <w:rFonts w:ascii="Calibri" w:hAnsi="Calibri" w:cs="Arial"/>
      <w:b/>
      <w:bCs/>
      <w:iCs/>
      <w:color w:val="2C384A"/>
      <w:kern w:val="32"/>
      <w:sz w:val="28"/>
      <w:szCs w:val="22"/>
    </w:rPr>
  </w:style>
  <w:style w:type="character" w:customStyle="1" w:styleId="Heading4Char">
    <w:name w:val="Heading 4 Char"/>
    <w:basedOn w:val="DefaultParagraphFont"/>
    <w:link w:val="Heading4"/>
    <w:uiPriority w:val="9"/>
    <w:rsid w:val="00951396"/>
    <w:rPr>
      <w:rFonts w:ascii="Calibri Light" w:hAnsi="Calibri Light"/>
      <w:i/>
      <w:iCs/>
      <w:sz w:val="22"/>
    </w:rPr>
  </w:style>
  <w:style w:type="character" w:customStyle="1" w:styleId="Heading5Char">
    <w:name w:val="Heading 5 Char"/>
    <w:basedOn w:val="DefaultParagraphFont"/>
    <w:link w:val="Heading5"/>
    <w:uiPriority w:val="9"/>
    <w:rsid w:val="002C3063"/>
    <w:rPr>
      <w:rFonts w:asciiTheme="majorHAnsi" w:hAnsiTheme="majorHAnsi" w:cs="Arial"/>
      <w:b/>
      <w:iCs/>
      <w:color w:val="000000" w:themeColor="text1"/>
      <w:kern w:val="32"/>
      <w:sz w:val="22"/>
      <w:szCs w:val="36"/>
    </w:rPr>
  </w:style>
  <w:style w:type="character" w:customStyle="1" w:styleId="Heading6Char">
    <w:name w:val="Heading 6 Char"/>
    <w:basedOn w:val="DefaultParagraphFont"/>
    <w:link w:val="Heading6"/>
    <w:uiPriority w:val="9"/>
    <w:rsid w:val="002C3063"/>
    <w:rPr>
      <w:rFonts w:ascii="Calibri Light" w:hAnsi="Calibri Light" w:cs="Arial"/>
      <w:color w:val="000000" w:themeColor="text1"/>
      <w:kern w:val="32"/>
      <w:sz w:val="22"/>
      <w:szCs w:val="22"/>
    </w:rPr>
  </w:style>
  <w:style w:type="character" w:customStyle="1" w:styleId="Heading7Char">
    <w:name w:val="Heading 7 Char"/>
    <w:basedOn w:val="DefaultParagraphFont"/>
    <w:link w:val="Heading7"/>
    <w:uiPriority w:val="9"/>
    <w:rsid w:val="002C1F1C"/>
    <w:rPr>
      <w:rFonts w:ascii="Calibri" w:hAnsi="Calibri" w:cs="Arial"/>
      <w:bCs/>
      <w:color w:val="002C4A"/>
      <w:kern w:val="32"/>
      <w:sz w:val="48"/>
      <w:szCs w:val="24"/>
    </w:rPr>
  </w:style>
  <w:style w:type="character" w:customStyle="1" w:styleId="Heading8Char">
    <w:name w:val="Heading 8 Char"/>
    <w:basedOn w:val="DefaultParagraphFont"/>
    <w:link w:val="Heading8"/>
    <w:uiPriority w:val="9"/>
    <w:rsid w:val="002C1F1C"/>
    <w:rPr>
      <w:rFonts w:ascii="Calibri" w:hAnsi="Calibri" w:cs="Arial"/>
      <w:bCs/>
      <w:iCs/>
      <w:color w:val="002C4A"/>
      <w:kern w:val="32"/>
      <w:sz w:val="48"/>
      <w:szCs w:val="24"/>
    </w:rPr>
  </w:style>
  <w:style w:type="character" w:customStyle="1" w:styleId="Heading9Char">
    <w:name w:val="Heading 9 Char"/>
    <w:basedOn w:val="DefaultParagraphFont"/>
    <w:link w:val="Heading9"/>
    <w:uiPriority w:val="9"/>
    <w:rsid w:val="002C1F1C"/>
    <w:rPr>
      <w:rFonts w:ascii="Calibri" w:hAnsi="Calibri" w:cs="Arial"/>
      <w:bCs/>
      <w:color w:val="002C4A"/>
      <w:kern w:val="32"/>
      <w:sz w:val="48"/>
      <w:szCs w:val="22"/>
    </w:rPr>
  </w:style>
  <w:style w:type="paragraph" w:styleId="Revision">
    <w:name w:val="Revision"/>
    <w:hidden/>
    <w:uiPriority w:val="99"/>
    <w:semiHidden/>
    <w:rsid w:val="002C1F1C"/>
    <w:rPr>
      <w:rFonts w:asciiTheme="minorHAnsi" w:eastAsiaTheme="minorHAnsi" w:hAnsiTheme="minorHAnsi" w:cstheme="minorBidi"/>
      <w:kern w:val="2"/>
      <w:sz w:val="24"/>
      <w:szCs w:val="24"/>
      <w:lang w:eastAsia="en-US"/>
      <w14:ligatures w14:val="standardContextual"/>
    </w:rPr>
  </w:style>
  <w:style w:type="paragraph" w:customStyle="1" w:styleId="ExecSummaryHeading">
    <w:name w:val="Exec Summary Heading"/>
    <w:basedOn w:val="Heading1"/>
    <w:qFormat/>
    <w:rsid w:val="006323CF"/>
    <w:pPr>
      <w:numPr>
        <w:numId w:val="0"/>
      </w:numPr>
    </w:pPr>
  </w:style>
  <w:style w:type="paragraph" w:customStyle="1" w:styleId="ChartTitle">
    <w:name w:val="Chart Title"/>
    <w:basedOn w:val="Normal"/>
    <w:qFormat/>
    <w:rsid w:val="0079112C"/>
    <w:pPr>
      <w:jc w:val="center"/>
    </w:pPr>
    <w:rPr>
      <w:b/>
      <w:bCs/>
    </w:rPr>
  </w:style>
  <w:style w:type="paragraph" w:customStyle="1" w:styleId="ChartSource">
    <w:name w:val="Chart Source"/>
    <w:basedOn w:val="Normal"/>
    <w:qFormat/>
    <w:rsid w:val="000C4892"/>
    <w:pPr>
      <w:tabs>
        <w:tab w:val="center" w:pos="4513"/>
        <w:tab w:val="left" w:pos="8322"/>
      </w:tabs>
      <w:spacing w:before="0" w:after="60"/>
    </w:pPr>
    <w:rPr>
      <w:rFonts w:ascii="Calibri" w:eastAsiaTheme="minorHAnsi" w:hAnsi="Calibri" w:cs="Calibri"/>
      <w:noProof/>
      <w:color w:val="000000" w:themeColor="text1"/>
      <w:kern w:val="2"/>
      <w:sz w:val="18"/>
      <w:szCs w:val="18"/>
      <w:lang w:eastAsia="en-US"/>
      <w14:ligatures w14:val="standardContextual"/>
    </w:rPr>
  </w:style>
  <w:style w:type="character" w:styleId="CommentReference">
    <w:name w:val="annotation reference"/>
    <w:basedOn w:val="DefaultParagraphFont"/>
    <w:uiPriority w:val="99"/>
    <w:semiHidden/>
    <w:unhideWhenUsed/>
    <w:rsid w:val="00745239"/>
    <w:rPr>
      <w:sz w:val="16"/>
      <w:szCs w:val="16"/>
    </w:rPr>
  </w:style>
  <w:style w:type="paragraph" w:styleId="CommentText">
    <w:name w:val="annotation text"/>
    <w:basedOn w:val="Normal"/>
    <w:link w:val="CommentTextChar"/>
    <w:uiPriority w:val="99"/>
    <w:unhideWhenUsed/>
    <w:rsid w:val="00745239"/>
    <w:rPr>
      <w:sz w:val="20"/>
    </w:rPr>
  </w:style>
  <w:style w:type="character" w:customStyle="1" w:styleId="CommentTextChar">
    <w:name w:val="Comment Text Char"/>
    <w:basedOn w:val="DefaultParagraphFont"/>
    <w:link w:val="CommentText"/>
    <w:uiPriority w:val="99"/>
    <w:rsid w:val="00745239"/>
    <w:rPr>
      <w:rFonts w:ascii="Calibri Light" w:hAnsi="Calibri Light"/>
    </w:rPr>
  </w:style>
  <w:style w:type="paragraph" w:styleId="CommentSubject">
    <w:name w:val="annotation subject"/>
    <w:basedOn w:val="CommentText"/>
    <w:next w:val="CommentText"/>
    <w:link w:val="CommentSubjectChar"/>
    <w:uiPriority w:val="99"/>
    <w:semiHidden/>
    <w:unhideWhenUsed/>
    <w:rsid w:val="00745239"/>
    <w:rPr>
      <w:b/>
      <w:bCs/>
    </w:rPr>
  </w:style>
  <w:style w:type="character" w:customStyle="1" w:styleId="CommentSubjectChar">
    <w:name w:val="Comment Subject Char"/>
    <w:basedOn w:val="CommentTextChar"/>
    <w:link w:val="CommentSubject"/>
    <w:uiPriority w:val="99"/>
    <w:semiHidden/>
    <w:rsid w:val="00745239"/>
    <w:rPr>
      <w:rFonts w:ascii="Calibri Light" w:hAnsi="Calibri Light"/>
      <w:b/>
      <w:bCs/>
    </w:rPr>
  </w:style>
  <w:style w:type="character" w:styleId="UnresolvedMention">
    <w:name w:val="Unresolved Mention"/>
    <w:basedOn w:val="DefaultParagraphFont"/>
    <w:uiPriority w:val="99"/>
    <w:semiHidden/>
    <w:unhideWhenUsed/>
    <w:rsid w:val="00C10B55"/>
    <w:rPr>
      <w:color w:val="605E5C"/>
      <w:shd w:val="clear" w:color="auto" w:fill="E1DFDD"/>
    </w:rPr>
  </w:style>
  <w:style w:type="character" w:styleId="Mention">
    <w:name w:val="Mention"/>
    <w:basedOn w:val="DefaultParagraphFont"/>
    <w:uiPriority w:val="99"/>
    <w:unhideWhenUsed/>
    <w:rsid w:val="00247779"/>
    <w:rPr>
      <w:color w:val="2B579A"/>
      <w:shd w:val="clear" w:color="auto" w:fill="E1DFDD"/>
    </w:rPr>
  </w:style>
  <w:style w:type="character" w:styleId="FollowedHyperlink">
    <w:name w:val="FollowedHyperlink"/>
    <w:basedOn w:val="DefaultParagraphFont"/>
    <w:uiPriority w:val="99"/>
    <w:semiHidden/>
    <w:unhideWhenUsed/>
    <w:rsid w:val="00AD0419"/>
    <w:rPr>
      <w:color w:val="844D9E" w:themeColor="followedHyperlink"/>
      <w:u w:val="single"/>
    </w:rPr>
  </w:style>
  <w:style w:type="paragraph" w:customStyle="1" w:styleId="Bullet">
    <w:name w:val="Bullet"/>
    <w:basedOn w:val="Normal"/>
    <w:link w:val="BulletChar"/>
    <w:rsid w:val="00BD7AE4"/>
    <w:pPr>
      <w:tabs>
        <w:tab w:val="num" w:pos="472"/>
      </w:tabs>
      <w:spacing w:before="0" w:after="160" w:line="278" w:lineRule="auto"/>
      <w:ind w:left="472" w:hanging="472"/>
    </w:pPr>
    <w:rPr>
      <w:rFonts w:ascii="Calibri" w:eastAsia="MS Mincho" w:hAnsi="Calibri" w:cs="Calibri"/>
      <w:sz w:val="20"/>
      <w:lang w:val="en-US" w:eastAsia="ja-JP"/>
    </w:rPr>
  </w:style>
  <w:style w:type="character" w:customStyle="1" w:styleId="BulletChar">
    <w:name w:val="Bullet Char"/>
    <w:basedOn w:val="DefaultParagraphFont"/>
    <w:link w:val="Bullet"/>
    <w:rsid w:val="00BD7AE4"/>
    <w:rPr>
      <w:rFonts w:ascii="Calibri" w:eastAsia="MS Mincho" w:hAnsi="Calibri" w:cs="Calibri"/>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481754">
      <w:bodyDiv w:val="1"/>
      <w:marLeft w:val="0"/>
      <w:marRight w:val="0"/>
      <w:marTop w:val="0"/>
      <w:marBottom w:val="0"/>
      <w:divBdr>
        <w:top w:val="none" w:sz="0" w:space="0" w:color="auto"/>
        <w:left w:val="none" w:sz="0" w:space="0" w:color="auto"/>
        <w:bottom w:val="none" w:sz="0" w:space="0" w:color="auto"/>
        <w:right w:val="none" w:sz="0" w:space="0" w:color="auto"/>
      </w:divBdr>
      <w:divsChild>
        <w:div w:id="717171225">
          <w:marLeft w:val="0"/>
          <w:marRight w:val="0"/>
          <w:marTop w:val="0"/>
          <w:marBottom w:val="0"/>
          <w:divBdr>
            <w:top w:val="none" w:sz="0" w:space="0" w:color="auto"/>
            <w:left w:val="none" w:sz="0" w:space="0" w:color="auto"/>
            <w:bottom w:val="none" w:sz="0" w:space="0" w:color="auto"/>
            <w:right w:val="none" w:sz="0" w:space="0" w:color="auto"/>
          </w:divBdr>
        </w:div>
      </w:divsChild>
    </w:div>
    <w:div w:id="377362664">
      <w:bodyDiv w:val="1"/>
      <w:marLeft w:val="0"/>
      <w:marRight w:val="0"/>
      <w:marTop w:val="0"/>
      <w:marBottom w:val="0"/>
      <w:divBdr>
        <w:top w:val="none" w:sz="0" w:space="0" w:color="auto"/>
        <w:left w:val="none" w:sz="0" w:space="0" w:color="auto"/>
        <w:bottom w:val="none" w:sz="0" w:space="0" w:color="auto"/>
        <w:right w:val="none" w:sz="0" w:space="0" w:color="auto"/>
      </w:divBdr>
      <w:divsChild>
        <w:div w:id="401370030">
          <w:marLeft w:val="0"/>
          <w:marRight w:val="0"/>
          <w:marTop w:val="0"/>
          <w:marBottom w:val="0"/>
          <w:divBdr>
            <w:top w:val="none" w:sz="0" w:space="0" w:color="auto"/>
            <w:left w:val="none" w:sz="0" w:space="0" w:color="auto"/>
            <w:bottom w:val="none" w:sz="0" w:space="0" w:color="auto"/>
            <w:right w:val="none" w:sz="0" w:space="0" w:color="auto"/>
          </w:divBdr>
        </w:div>
      </w:divsChild>
    </w:div>
    <w:div w:id="406223066">
      <w:bodyDiv w:val="1"/>
      <w:marLeft w:val="0"/>
      <w:marRight w:val="0"/>
      <w:marTop w:val="0"/>
      <w:marBottom w:val="0"/>
      <w:divBdr>
        <w:top w:val="none" w:sz="0" w:space="0" w:color="auto"/>
        <w:left w:val="none" w:sz="0" w:space="0" w:color="auto"/>
        <w:bottom w:val="none" w:sz="0" w:space="0" w:color="auto"/>
        <w:right w:val="none" w:sz="0" w:space="0" w:color="auto"/>
      </w:divBdr>
    </w:div>
    <w:div w:id="973946913">
      <w:bodyDiv w:val="1"/>
      <w:marLeft w:val="0"/>
      <w:marRight w:val="0"/>
      <w:marTop w:val="0"/>
      <w:marBottom w:val="0"/>
      <w:divBdr>
        <w:top w:val="none" w:sz="0" w:space="0" w:color="auto"/>
        <w:left w:val="none" w:sz="0" w:space="0" w:color="auto"/>
        <w:bottom w:val="none" w:sz="0" w:space="0" w:color="auto"/>
        <w:right w:val="none" w:sz="0" w:space="0" w:color="auto"/>
      </w:divBdr>
    </w:div>
    <w:div w:id="1563520829">
      <w:bodyDiv w:val="1"/>
      <w:marLeft w:val="0"/>
      <w:marRight w:val="0"/>
      <w:marTop w:val="0"/>
      <w:marBottom w:val="0"/>
      <w:divBdr>
        <w:top w:val="none" w:sz="0" w:space="0" w:color="auto"/>
        <w:left w:val="none" w:sz="0" w:space="0" w:color="auto"/>
        <w:bottom w:val="none" w:sz="0" w:space="0" w:color="auto"/>
        <w:right w:val="none" w:sz="0" w:space="0" w:color="auto"/>
      </w:divBdr>
    </w:div>
    <w:div w:id="1654329454">
      <w:bodyDiv w:val="1"/>
      <w:marLeft w:val="0"/>
      <w:marRight w:val="0"/>
      <w:marTop w:val="0"/>
      <w:marBottom w:val="0"/>
      <w:divBdr>
        <w:top w:val="none" w:sz="0" w:space="0" w:color="auto"/>
        <w:left w:val="none" w:sz="0" w:space="0" w:color="auto"/>
        <w:bottom w:val="none" w:sz="0" w:space="0" w:color="auto"/>
        <w:right w:val="none" w:sz="0" w:space="0" w:color="auto"/>
      </w:divBdr>
    </w:div>
    <w:div w:id="1676683959">
      <w:bodyDiv w:val="1"/>
      <w:marLeft w:val="0"/>
      <w:marRight w:val="0"/>
      <w:marTop w:val="0"/>
      <w:marBottom w:val="0"/>
      <w:divBdr>
        <w:top w:val="none" w:sz="0" w:space="0" w:color="auto"/>
        <w:left w:val="none" w:sz="0" w:space="0" w:color="auto"/>
        <w:bottom w:val="none" w:sz="0" w:space="0" w:color="auto"/>
        <w:right w:val="none" w:sz="0" w:space="0" w:color="auto"/>
      </w:divBdr>
    </w:div>
    <w:div w:id="1680696553">
      <w:bodyDiv w:val="1"/>
      <w:marLeft w:val="0"/>
      <w:marRight w:val="0"/>
      <w:marTop w:val="0"/>
      <w:marBottom w:val="0"/>
      <w:divBdr>
        <w:top w:val="none" w:sz="0" w:space="0" w:color="auto"/>
        <w:left w:val="none" w:sz="0" w:space="0" w:color="auto"/>
        <w:bottom w:val="none" w:sz="0" w:space="0" w:color="auto"/>
        <w:right w:val="none" w:sz="0" w:space="0" w:color="auto"/>
      </w:divBdr>
    </w:div>
    <w:div w:id="2011524321">
      <w:bodyDiv w:val="1"/>
      <w:marLeft w:val="0"/>
      <w:marRight w:val="0"/>
      <w:marTop w:val="0"/>
      <w:marBottom w:val="0"/>
      <w:divBdr>
        <w:top w:val="none" w:sz="0" w:space="0" w:color="auto"/>
        <w:left w:val="none" w:sz="0" w:space="0" w:color="auto"/>
        <w:bottom w:val="none" w:sz="0" w:space="0" w:color="auto"/>
        <w:right w:val="none" w:sz="0" w:space="0" w:color="auto"/>
      </w:divBdr>
    </w:div>
    <w:div w:id="2040009660">
      <w:bodyDiv w:val="1"/>
      <w:marLeft w:val="0"/>
      <w:marRight w:val="0"/>
      <w:marTop w:val="0"/>
      <w:marBottom w:val="0"/>
      <w:divBdr>
        <w:top w:val="none" w:sz="0" w:space="0" w:color="auto"/>
        <w:left w:val="none" w:sz="0" w:space="0" w:color="auto"/>
        <w:bottom w:val="none" w:sz="0" w:space="0" w:color="auto"/>
        <w:right w:val="none" w:sz="0" w:space="0" w:color="auto"/>
      </w:divBdr>
      <w:divsChild>
        <w:div w:id="420569962">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webSettings>
</file>

<file path=word/_rels/document.xml.rels><?xml version="1.0" encoding="UTF-8" standalone="yes"?>
<Relationships xmlns="http://schemas.openxmlformats.org/package/2006/relationships"><Relationship Id="rId26" Type="http://schemas.openxmlformats.org/officeDocument/2006/relationships/hyperlink" Target="https://www.oecd.org/en/publications/the-best-versus-the-rest_63629cc9-en.html" TargetMode="External"/><Relationship Id="rId21" Type="http://schemas.openxmlformats.org/officeDocument/2006/relationships/hyperlink" Target="https://www.abs.gov.au/articles/interpreting-abs-productivity-statistics" TargetMode="External"/><Relationship Id="rId42" Type="http://schemas.openxmlformats.org/officeDocument/2006/relationships/hyperlink" Target="https://treasury.gov.au/sites/default/files/2022-10/p2022-325290-productivity-growth.pdf" TargetMode="External"/><Relationship Id="rId47" Type="http://schemas.openxmlformats.org/officeDocument/2006/relationships/hyperlink" Target="https://assets.pc.gov.au/research/supporting/high-investment-hurdle-rates/high-investment-hurdle-rates.pdf" TargetMode="External"/><Relationship Id="rId63" Type="http://schemas.openxmlformats.org/officeDocument/2006/relationships/hyperlink" Target="https://www.oecd.org/en/publications/migration-and-regional-productivity-evidence-from-individual-wages-in-australia_7bc64c78-en.html" TargetMode="External"/><Relationship Id="rId68" Type="http://schemas.openxmlformats.org/officeDocument/2006/relationships/hyperlink" Target="https://obr.uk/download/long-term-economic-determinants-march-2025-economic-and-fiscal-outlook/?tmstv=1769990683" TargetMode="External"/><Relationship Id="rId84" Type="http://schemas.openxmlformats.org/officeDocument/2006/relationships/hyperlink" Target="https://apo.org.au/sites/default/files/resource-files/2018-10/apo-nid194891.pdf" TargetMode="External"/><Relationship Id="rId89" Type="http://schemas.openxmlformats.org/officeDocument/2006/relationships/hyperlink" Target="https://treasury.gov.au/sites/default/files/2019-03/04_International_comparisons.pdf" TargetMode="External"/><Relationship Id="rId16" Type="http://schemas.openxmlformats.org/officeDocument/2006/relationships/chart" Target="charts/chart5.xml"/><Relationship Id="rId11" Type="http://schemas.openxmlformats.org/officeDocument/2006/relationships/footer" Target="footer2.xml"/><Relationship Id="rId32" Type="http://schemas.openxmlformats.org/officeDocument/2006/relationships/hyperlink" Target="https://www.nber.org/system/files/working_papers/w4148/w4148.pdf" TargetMode="External"/><Relationship Id="rId37" Type="http://schemas.openxmlformats.org/officeDocument/2006/relationships/hyperlink" Target="https://www.aeaweb.org/articles?id=10.1257/aer.100.5.2031" TargetMode="External"/><Relationship Id="rId53" Type="http://schemas.openxmlformats.org/officeDocument/2006/relationships/hyperlink" Target="https://www.infrastructure.gov.au/sites/default/files/migrated/infrastructure/pab/soac/files/SOAC_Chapter_4.pdf" TargetMode="External"/><Relationship Id="rId58" Type="http://schemas.openxmlformats.org/officeDocument/2006/relationships/hyperlink" Target="https://www.rba.gov.au/publications/bulletin/2017/sep/2.html" TargetMode="External"/><Relationship Id="rId74" Type="http://schemas.openxmlformats.org/officeDocument/2006/relationships/hyperlink" Target="https://assets.pc.gov.au/inquiries/completed/productivity/report/productivity-volume5-innovation-diffusion.pdf" TargetMode="External"/><Relationship Id="rId79" Type="http://schemas.openxmlformats.org/officeDocument/2006/relationships/hyperlink" Target="https://www.rba.gov.au/speeches/2022/sp-ag-2022-10-12.html" TargetMode="External"/><Relationship Id="rId5" Type="http://schemas.openxmlformats.org/officeDocument/2006/relationships/footnotes" Target="footnotes.xml"/><Relationship Id="rId90" Type="http://schemas.openxmlformats.org/officeDocument/2006/relationships/header" Target="header4.xml"/><Relationship Id="rId22" Type="http://schemas.openxmlformats.org/officeDocument/2006/relationships/hyperlink" Target="https://www.abs.gov.au/articles/primer-labour-productivity" TargetMode="External"/><Relationship Id="rId27" Type="http://schemas.openxmlformats.org/officeDocument/2006/relationships/hyperlink" Target="https://www.oecd.org/content/dam/oecd/en/publications/reports/2025/04/five-facts-on-non-compete-and-related-clauses-in-oecd-countries_99391f6f/727da13e-en.pdf" TargetMode="External"/><Relationship Id="rId43" Type="http://schemas.openxmlformats.org/officeDocument/2006/relationships/hyperlink" Target="https://budget.canada.ca/2025/report-rapport/pdf/budget-2025.pdf" TargetMode="External"/><Relationship Id="rId48" Type="http://schemas.openxmlformats.org/officeDocument/2006/relationships/hyperlink" Target="https://www.brookings.edu/wp-content/uploads/2018/09/Farhi-Gourio_final-draft.pdf" TargetMode="External"/><Relationship Id="rId64" Type="http://schemas.openxmlformats.org/officeDocument/2006/relationships/hyperlink" Target="https://doi.org/10.1787/ca7295d9-en" TargetMode="External"/><Relationship Id="rId69" Type="http://schemas.openxmlformats.org/officeDocument/2006/relationships/hyperlink" Target="https://www.homeaffairs.gov.au/reports-and-pubs/files/review-migration-system-final-report.pdf" TargetMode="External"/><Relationship Id="rId8" Type="http://schemas.openxmlformats.org/officeDocument/2006/relationships/footer" Target="footer1.xml"/><Relationship Id="rId51" Type="http://schemas.openxmlformats.org/officeDocument/2006/relationships/hyperlink" Target="https://www.rba.gov.au/publications/rdp/2025/2025-05.html" TargetMode="External"/><Relationship Id="rId72" Type="http://schemas.openxmlformats.org/officeDocument/2006/relationships/hyperlink" Target="https://www.pc.gov.au/ongoing/productivity-insights/australia-leader/" TargetMode="External"/><Relationship Id="rId80" Type="http://schemas.openxmlformats.org/officeDocument/2006/relationships/hyperlink" Target="https://www.rba.gov.au/speeches/2025/sp-ag-2025-10-15.html" TargetMode="External"/><Relationship Id="rId85" Type="http://schemas.openxmlformats.org/officeDocument/2006/relationships/hyperlink" Target="https://treasury.gov.au/publication/2023-intergenerational-report"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www.agriculture.gov.au/abares/research-topics/productivity/agricultural-productivity-estimates" TargetMode="External"/><Relationship Id="rId33" Type="http://schemas.openxmlformats.org/officeDocument/2006/relationships/hyperlink" Target="https://www.rba.gov.au/publications/bulletin/2025/jul/pdf/a-closer-to-real-time-labour-quality-index.pdf" TargetMode="External"/><Relationship Id="rId38" Type="http://schemas.openxmlformats.org/officeDocument/2006/relationships/hyperlink" Target="https://www.conference-board.org/pdf_free/TED-SummaryTables-Charts-may2025.pdf" TargetMode="External"/><Relationship Id="rId46" Type="http://schemas.openxmlformats.org/officeDocument/2006/relationships/hyperlink" Target="https://assets.pc.gov.au/research/supporting/australia-match-usa/productivityperformance.pdf" TargetMode="External"/><Relationship Id="rId59" Type="http://schemas.openxmlformats.org/officeDocument/2006/relationships/hyperlink" Target="https://cepr.org/voxeu/columns/technological-progress-thing-past" TargetMode="External"/><Relationship Id="rId67" Type="http://schemas.openxmlformats.org/officeDocument/2006/relationships/hyperlink" Target="https://www.oecd.org/en/publications/oecd-economic-surveys-australia-2026_d22a1efd-en.html" TargetMode="External"/><Relationship Id="rId20" Type="http://schemas.openxmlformats.org/officeDocument/2006/relationships/image" Target="media/image5.png"/><Relationship Id="rId41" Type="http://schemas.openxmlformats.org/officeDocument/2006/relationships/hyperlink" Target="https://www.researchgate.net/publication/4724731_The_Dynamo_and_the_Computer_An_Historical_Perspective_On_the_Modern_Productivity_Paradox" TargetMode="External"/><Relationship Id="rId54" Type="http://schemas.openxmlformats.org/officeDocument/2006/relationships/hyperlink" Target="https://www.rba.gov.au/publications/bulletin/2018/mar/mining-investment-beyond-the-boom.html" TargetMode="External"/><Relationship Id="rId62" Type="http://schemas.openxmlformats.org/officeDocument/2006/relationships/hyperlink" Target="https://www.oecd.org/content/dam/oecd/en/publications/reports/2012/12/oecd-compendium-of-productivity-indicators-2012_g1g24c58/9789264188846-en.pdf" TargetMode="External"/><Relationship Id="rId70" Type="http://schemas.openxmlformats.org/officeDocument/2006/relationships/hyperlink" Target="https://assets.pc.gov.au/inquiries/completed/national-competition-policy/report/ncp.pdf" TargetMode="External"/><Relationship Id="rId75" Type="http://schemas.openxmlformats.org/officeDocument/2006/relationships/hyperlink" Target="https://www.pc.gov.au/inquiries-and-research/measuring-healthcare-productivity/" TargetMode="External"/><Relationship Id="rId83" Type="http://schemas.openxmlformats.org/officeDocument/2006/relationships/hyperlink" Target="https://www.oecd.org/en/publications/can-productivity-still-grow-in-service-based-economies_4458ec7b-en.html" TargetMode="External"/><Relationship Id="rId88" Type="http://schemas.openxmlformats.org/officeDocument/2006/relationships/hyperlink" Target="https://reports.weforum.org/docs/WEF_Chief_Economists_Outlook_January_2026.pdf" TargetMode="External"/><Relationship Id="rId9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hyperlink" Target="https://www.abs.gov.au/methodologies/estimates-industry-multifactor-productivity-methodology/2024-25" TargetMode="External"/><Relationship Id="rId28" Type="http://schemas.openxmlformats.org/officeDocument/2006/relationships/hyperlink" Target="https://treasury.gov.au/sites/default/files/2022-02/p2022-243535.pdf" TargetMode="External"/><Relationship Id="rId36" Type="http://schemas.openxmlformats.org/officeDocument/2006/relationships/hyperlink" Target="https://e61.in/wp-content/uploads/2023/11/Productivity-in-motion-the-role-of-job-switching.pdf" TargetMode="External"/><Relationship Id="rId49" Type="http://schemas.openxmlformats.org/officeDocument/2006/relationships/hyperlink" Target="https://www.nber.org/system/files/working_papers/w18315/w18315.pdf" TargetMode="External"/><Relationship Id="rId57" Type="http://schemas.openxmlformats.org/officeDocument/2006/relationships/hyperlink" Target="https://treasury.gov.au/sites/default/files/2024-03/p2024-495252-01-labour-market.pdf" TargetMode="External"/><Relationship Id="rId10" Type="http://schemas.openxmlformats.org/officeDocument/2006/relationships/header" Target="header3.xml"/><Relationship Id="rId31" Type="http://schemas.openxmlformats.org/officeDocument/2006/relationships/hyperlink" Target="https://treasury.gov.au/sites/default/files/2019-03/TWP_03_2006.pdf" TargetMode="External"/><Relationship Id="rId44" Type="http://schemas.openxmlformats.org/officeDocument/2006/relationships/hyperlink" Target="https://treasury.gov.au/sites/default/files/2019-11/p2019-37418-jobswitching-v2.pdf" TargetMode="External"/><Relationship Id="rId52" Type="http://schemas.openxmlformats.org/officeDocument/2006/relationships/hyperlink" Target="https://www.nber.org/system/files/working_papers/w4854/w4854.pdf" TargetMode="External"/><Relationship Id="rId60" Type="http://schemas.openxmlformats.org/officeDocument/2006/relationships/hyperlink" Target="https://www.nsw.gov.au/sites/default/files/noindex/2025-08/nsw-productivity-and-equality-commission-white-paper-2021.pdf" TargetMode="External"/><Relationship Id="rId65" Type="http://schemas.openxmlformats.org/officeDocument/2006/relationships/hyperlink" Target="https://www.oecd.org/en/publications/understanding-the-weakness-in-business-investment_89bd437d-en.html" TargetMode="External"/><Relationship Id="rId73" Type="http://schemas.openxmlformats.org/officeDocument/2006/relationships/hyperlink" Target="https://www.pc.gov.au/inquiries-and-research/productivity/report/" TargetMode="External"/><Relationship Id="rId78" Type="http://schemas.openxmlformats.org/officeDocument/2006/relationships/hyperlink" Target="https://assets.pc.gov.au/2025-12/data-digital_0.pdf?VersionId=CllchxmIqslkQ9zbKND7jSMBvrMqPyxq" TargetMode="External"/><Relationship Id="rId81" Type="http://schemas.openxmlformats.org/officeDocument/2006/relationships/hyperlink" Target="https://www.rba.gov.au/publications/smp/2025/aug/in-depth-drivers-and-implications-of-lower-productivity-growth.html" TargetMode="External"/><Relationship Id="rId86" Type="http://schemas.openxmlformats.org/officeDocument/2006/relationships/hyperlink" Target="https://treasury.gov.au/publication/p2024-526942"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hyperlink" Target="https://www.cbo.gov/system/files/2026-02/57054-2026-02-LTBO-econ.xlsx" TargetMode="External"/><Relationship Id="rId34" Type="http://schemas.openxmlformats.org/officeDocument/2006/relationships/hyperlink" Target="https://dl.acm.org/doi/10.1145/163298.163309" TargetMode="External"/><Relationship Id="rId50" Type="http://schemas.openxmlformats.org/officeDocument/2006/relationships/hyperlink" Target="https://www.rba.gov.au/publications/rdp/2023/pdf/rdp2023-03.pdf" TargetMode="External"/><Relationship Id="rId55" Type="http://schemas.openxmlformats.org/officeDocument/2006/relationships/hyperlink" Target="https://assets.pc.gov.au/2025-09/competitive-care_0.pdf?VersionId=K2iFoQ32e81h45PnxYtj83Nz5YnVkdaH" TargetMode="External"/><Relationship Id="rId76" Type="http://schemas.openxmlformats.org/officeDocument/2006/relationships/hyperlink" Target="https://www.pc.gov.au/ongoing/productivity-insights/bulletins/quarterly-bulletin-december-2024/" TargetMode="External"/><Relationship Id="rId7" Type="http://schemas.openxmlformats.org/officeDocument/2006/relationships/header" Target="header1.xml"/><Relationship Id="rId71" Type="http://schemas.openxmlformats.org/officeDocument/2006/relationships/hyperlink" Target="https://www.pc.gov.au/ongoing/productivity-insights/long-term/"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treasury.gov.au/sites/default/files/2019-11/p2019-37418-productivity_0.pdf" TargetMode="External"/><Relationship Id="rId24" Type="http://schemas.openxmlformats.org/officeDocument/2006/relationships/hyperlink" Target="https://www.agriculture.gov.au/abares/research-topics/productivity/productivity-drivers" TargetMode="External"/><Relationship Id="rId40" Type="http://schemas.openxmlformats.org/officeDocument/2006/relationships/hyperlink" Target="https://www.lse.ac.uk/Economic-History/Assets/Documents/Research/LSTC/wp7503.pdf" TargetMode="External"/><Relationship Id="rId45" Type="http://schemas.openxmlformats.org/officeDocument/2006/relationships/hyperlink" Target="https://openknowledge.worldbank.org/bitstream/handle/10986/34015/9781464816086.pdf" TargetMode="External"/><Relationship Id="rId66" Type="http://schemas.openxmlformats.org/officeDocument/2006/relationships/hyperlink" Target="https://www.oecd.org/en/publications/the-global-forum-on-productivity-at-10_ca7295d9-en/full-report/the-best-versus-the-rest-the-global-productivity-slowdown-divergence-across-firms-and-the-role-of-public-policy_8e7447f5.html" TargetMode="External"/><Relationship Id="rId87" Type="http://schemas.openxmlformats.org/officeDocument/2006/relationships/hyperlink" Target="https://www.rba.gov.au/publications/bulletin/2018/jun/pdf/private-non-mining-investment-in-australia.pdf" TargetMode="External"/><Relationship Id="rId61" Type="http://schemas.openxmlformats.org/officeDocument/2006/relationships/hyperlink" Target="https://www.treasury.govt.nz/sites/default/files/2025-09/ltfs-2025.pdf" TargetMode="External"/><Relationship Id="rId82" Type="http://schemas.openxmlformats.org/officeDocument/2006/relationships/hyperlink" Target="https://www.apolloacademy.com/waiting-for-the-ai-j-curve/" TargetMode="External"/><Relationship Id="rId19" Type="http://schemas.openxmlformats.org/officeDocument/2006/relationships/image" Target="media/image4.png"/><Relationship Id="rId14" Type="http://schemas.openxmlformats.org/officeDocument/2006/relationships/chart" Target="charts/chart3.xml"/><Relationship Id="rId30" Type="http://schemas.openxmlformats.org/officeDocument/2006/relationships/hyperlink" Target="https://treasury.gov.au/sites/default/files/2025-11/hots_b_investment.pdf" TargetMode="External"/><Relationship Id="rId35" Type="http://schemas.openxmlformats.org/officeDocument/2006/relationships/hyperlink" Target="https://www.ft.com/content/4b51d0b4-bbfe-4f05-b50a-1d485d419dc5" TargetMode="External"/><Relationship Id="rId56" Type="http://schemas.openxmlformats.org/officeDocument/2006/relationships/hyperlink" Target="https://www.rba.gov.au/publications/rdp/1995/pdf/rdp9505.pdf" TargetMode="External"/><Relationship Id="rId77" Type="http://schemas.openxmlformats.org/officeDocument/2006/relationships/hyperlink" Target="https://www.pc.gov.au/inquiries-and-research/productivity-before-after-covi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52899839133001E-2"/>
          <c:y val="0.10294513826284123"/>
          <c:w val="0.92910112042446302"/>
          <c:h val="0.74439478091659683"/>
        </c:manualLayout>
      </c:layout>
      <c:barChart>
        <c:barDir val="col"/>
        <c:grouping val="clustered"/>
        <c:varyColors val="0"/>
        <c:ser>
          <c:idx val="0"/>
          <c:order val="0"/>
          <c:tx>
            <c:strRef>
              <c:f>Chart!$C$23</c:f>
              <c:strCache>
                <c:ptCount val="1"/>
                <c:pt idx="0">
                  <c:v>20-year CAGR</c:v>
                </c:pt>
              </c:strCache>
            </c:strRef>
          </c:tx>
          <c:spPr>
            <a:solidFill>
              <a:schemeClr val="tx2"/>
            </a:solidFill>
            <a:ln>
              <a:noFill/>
            </a:ln>
            <a:effectLst/>
          </c:spPr>
          <c:invertIfNegative val="0"/>
          <c:dLbls>
            <c:dLbl>
              <c:idx val="0"/>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27B-4BE0-A55D-1A6E786A4F09}"/>
                </c:ext>
              </c:extLst>
            </c:dLbl>
            <c:dLbl>
              <c:idx val="1"/>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27B-4BE0-A55D-1A6E786A4F09}"/>
                </c:ext>
              </c:extLst>
            </c:dLbl>
            <c:dLbl>
              <c:idx val="2"/>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27B-4BE0-A55D-1A6E786A4F09}"/>
                </c:ext>
              </c:extLst>
            </c:dLbl>
            <c:dLbl>
              <c:idx val="3"/>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27B-4BE0-A55D-1A6E786A4F09}"/>
                </c:ext>
              </c:extLst>
            </c:dLbl>
            <c:dLbl>
              <c:idx val="4"/>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27B-4BE0-A55D-1A6E786A4F09}"/>
                </c:ext>
              </c:extLst>
            </c:dLbl>
            <c:dLbl>
              <c:idx val="5"/>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27B-4BE0-A55D-1A6E786A4F09}"/>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Chart!$B$24:$B$29</c:f>
              <c:strCache>
                <c:ptCount val="6"/>
                <c:pt idx="0">
                  <c:v>1960s</c:v>
                </c:pt>
                <c:pt idx="1">
                  <c:v>1970s</c:v>
                </c:pt>
                <c:pt idx="2">
                  <c:v>1980s</c:v>
                </c:pt>
                <c:pt idx="3">
                  <c:v>1990s</c:v>
                </c:pt>
                <c:pt idx="4">
                  <c:v>2000s</c:v>
                </c:pt>
                <c:pt idx="5">
                  <c:v>2010s</c:v>
                </c:pt>
              </c:strCache>
            </c:strRef>
          </c:cat>
          <c:val>
            <c:numRef>
              <c:f>Chart!$C$24:$C$29</c:f>
              <c:numCache>
                <c:formatCode>0.00</c:formatCode>
                <c:ptCount val="6"/>
                <c:pt idx="0">
                  <c:v>2.4130282861395402</c:v>
                </c:pt>
                <c:pt idx="1">
                  <c:v>2.4046891306252816</c:v>
                </c:pt>
                <c:pt idx="2">
                  <c:v>1.2020755156415985</c:v>
                </c:pt>
                <c:pt idx="3">
                  <c:v>2.2606502191354849</c:v>
                </c:pt>
                <c:pt idx="4">
                  <c:v>1.4243236021016736</c:v>
                </c:pt>
                <c:pt idx="5">
                  <c:v>1.1160748994339498</c:v>
                </c:pt>
              </c:numCache>
            </c:numRef>
          </c:val>
          <c:extLst>
            <c:ext xmlns:c16="http://schemas.microsoft.com/office/drawing/2014/chart" uri="{C3380CC4-5D6E-409C-BE32-E72D297353CC}">
              <c16:uniqueId val="{00000006-B27B-4BE0-A55D-1A6E786A4F09}"/>
            </c:ext>
          </c:extLst>
        </c:ser>
        <c:dLbls>
          <c:showLegendKey val="0"/>
          <c:showVal val="1"/>
          <c:showCatName val="0"/>
          <c:showSerName val="0"/>
          <c:showPercent val="0"/>
          <c:showBubbleSize val="0"/>
        </c:dLbls>
        <c:gapWidth val="50"/>
        <c:axId val="601561808"/>
        <c:axId val="548003296"/>
      </c:barChart>
      <c:catAx>
        <c:axId val="601561808"/>
        <c:scaling>
          <c:orientation val="minMax"/>
        </c:scaling>
        <c:delete val="0"/>
        <c:axPos val="b"/>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8003296"/>
        <c:crosses val="autoZero"/>
        <c:auto val="1"/>
        <c:lblAlgn val="ctr"/>
        <c:lblOffset val="100"/>
        <c:noMultiLvlLbl val="0"/>
      </c:catAx>
      <c:valAx>
        <c:axId val="548003296"/>
        <c:scaling>
          <c:orientation val="minMax"/>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1000" b="1" i="0" u="none" strike="noStrike" kern="1200" baseline="0">
                    <a:solidFill>
                      <a:sysClr val="windowText" lastClr="000000"/>
                    </a:solidFill>
                    <a:latin typeface="+mn-lt"/>
                    <a:ea typeface="+mn-ea"/>
                    <a:cs typeface="+mn-cs"/>
                  </a:defRPr>
                </a:pPr>
                <a:r>
                  <a:rPr lang="en-AU" b="1"/>
                  <a:t>Per cent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1561808"/>
        <c:crosses val="autoZero"/>
        <c:crossBetween val="between"/>
        <c:majorUnit val="1"/>
      </c:valAx>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0641562046736429E-3"/>
          <c:y val="4.9553968253968246E-2"/>
          <c:w val="0.98598116457634954"/>
          <c:h val="0.95044603174603159"/>
        </c:manualLayout>
      </c:layout>
      <c:lineChart>
        <c:grouping val="standard"/>
        <c:varyColors val="0"/>
        <c:ser>
          <c:idx val="0"/>
          <c:order val="0"/>
          <c:tx>
            <c:strRef>
              <c:f>'Ch. COVID trend'!$B$57</c:f>
              <c:strCache>
                <c:ptCount val="1"/>
                <c:pt idx="0">
                  <c:v>GDP per hour worked</c:v>
                </c:pt>
              </c:strCache>
            </c:strRef>
          </c:tx>
          <c:spPr>
            <a:ln w="28575" cap="rnd">
              <a:solidFill>
                <a:schemeClr val="tx1"/>
              </a:solidFill>
              <a:round/>
            </a:ln>
            <a:effectLst/>
          </c:spPr>
          <c:marker>
            <c:symbol val="none"/>
          </c:marker>
          <c:cat>
            <c:numRef>
              <c:f>'Ch. COVID trend'!$A$59:$A$126</c:f>
              <c:numCache>
                <c:formatCode>mmm\-yyyy</c:formatCode>
                <c:ptCount val="68"/>
                <c:pt idx="0">
                  <c:v>39873</c:v>
                </c:pt>
                <c:pt idx="1">
                  <c:v>39965</c:v>
                </c:pt>
                <c:pt idx="2">
                  <c:v>40057</c:v>
                </c:pt>
                <c:pt idx="3">
                  <c:v>40148</c:v>
                </c:pt>
                <c:pt idx="4">
                  <c:v>40238</c:v>
                </c:pt>
                <c:pt idx="5">
                  <c:v>40330</c:v>
                </c:pt>
                <c:pt idx="6">
                  <c:v>40422</c:v>
                </c:pt>
                <c:pt idx="7">
                  <c:v>40513</c:v>
                </c:pt>
                <c:pt idx="8">
                  <c:v>40603</c:v>
                </c:pt>
                <c:pt idx="9">
                  <c:v>40695</c:v>
                </c:pt>
                <c:pt idx="10">
                  <c:v>40787</c:v>
                </c:pt>
                <c:pt idx="11">
                  <c:v>40878</c:v>
                </c:pt>
                <c:pt idx="12">
                  <c:v>40969</c:v>
                </c:pt>
                <c:pt idx="13">
                  <c:v>41061</c:v>
                </c:pt>
                <c:pt idx="14">
                  <c:v>41153</c:v>
                </c:pt>
                <c:pt idx="15">
                  <c:v>41244</c:v>
                </c:pt>
                <c:pt idx="16">
                  <c:v>41334</c:v>
                </c:pt>
                <c:pt idx="17">
                  <c:v>41426</c:v>
                </c:pt>
                <c:pt idx="18">
                  <c:v>41518</c:v>
                </c:pt>
                <c:pt idx="19">
                  <c:v>41609</c:v>
                </c:pt>
                <c:pt idx="20">
                  <c:v>41699</c:v>
                </c:pt>
                <c:pt idx="21">
                  <c:v>41791</c:v>
                </c:pt>
                <c:pt idx="22">
                  <c:v>41883</c:v>
                </c:pt>
                <c:pt idx="23">
                  <c:v>41974</c:v>
                </c:pt>
                <c:pt idx="24">
                  <c:v>42064</c:v>
                </c:pt>
                <c:pt idx="25">
                  <c:v>42156</c:v>
                </c:pt>
                <c:pt idx="26">
                  <c:v>42248</c:v>
                </c:pt>
                <c:pt idx="27">
                  <c:v>42339</c:v>
                </c:pt>
                <c:pt idx="28">
                  <c:v>42430</c:v>
                </c:pt>
                <c:pt idx="29">
                  <c:v>42522</c:v>
                </c:pt>
                <c:pt idx="30">
                  <c:v>42614</c:v>
                </c:pt>
                <c:pt idx="31">
                  <c:v>42705</c:v>
                </c:pt>
                <c:pt idx="32">
                  <c:v>42795</c:v>
                </c:pt>
                <c:pt idx="33">
                  <c:v>42887</c:v>
                </c:pt>
                <c:pt idx="34">
                  <c:v>42979</c:v>
                </c:pt>
                <c:pt idx="35">
                  <c:v>43070</c:v>
                </c:pt>
                <c:pt idx="36">
                  <c:v>43160</c:v>
                </c:pt>
                <c:pt idx="37">
                  <c:v>43252</c:v>
                </c:pt>
                <c:pt idx="38">
                  <c:v>43344</c:v>
                </c:pt>
                <c:pt idx="39">
                  <c:v>43435</c:v>
                </c:pt>
                <c:pt idx="40">
                  <c:v>43525</c:v>
                </c:pt>
                <c:pt idx="41">
                  <c:v>43617</c:v>
                </c:pt>
                <c:pt idx="42">
                  <c:v>43709</c:v>
                </c:pt>
                <c:pt idx="43">
                  <c:v>43800</c:v>
                </c:pt>
                <c:pt idx="44">
                  <c:v>43891</c:v>
                </c:pt>
                <c:pt idx="45">
                  <c:v>43983</c:v>
                </c:pt>
                <c:pt idx="46">
                  <c:v>44075</c:v>
                </c:pt>
                <c:pt idx="47">
                  <c:v>44166</c:v>
                </c:pt>
                <c:pt idx="48">
                  <c:v>44256</c:v>
                </c:pt>
                <c:pt idx="49">
                  <c:v>44348</c:v>
                </c:pt>
                <c:pt idx="50">
                  <c:v>44440</c:v>
                </c:pt>
                <c:pt idx="51">
                  <c:v>44531</c:v>
                </c:pt>
                <c:pt idx="52">
                  <c:v>44621</c:v>
                </c:pt>
                <c:pt idx="53">
                  <c:v>44713</c:v>
                </c:pt>
                <c:pt idx="54">
                  <c:v>44805</c:v>
                </c:pt>
                <c:pt idx="55">
                  <c:v>44896</c:v>
                </c:pt>
                <c:pt idx="56">
                  <c:v>44986</c:v>
                </c:pt>
                <c:pt idx="57">
                  <c:v>45078</c:v>
                </c:pt>
                <c:pt idx="58">
                  <c:v>45170</c:v>
                </c:pt>
                <c:pt idx="59">
                  <c:v>45261</c:v>
                </c:pt>
                <c:pt idx="60">
                  <c:v>45352</c:v>
                </c:pt>
                <c:pt idx="61">
                  <c:v>45444</c:v>
                </c:pt>
                <c:pt idx="62">
                  <c:v>45536</c:v>
                </c:pt>
                <c:pt idx="63">
                  <c:v>45627</c:v>
                </c:pt>
                <c:pt idx="64">
                  <c:v>45717</c:v>
                </c:pt>
                <c:pt idx="65">
                  <c:v>45809</c:v>
                </c:pt>
                <c:pt idx="66">
                  <c:v>45901</c:v>
                </c:pt>
                <c:pt idx="67">
                  <c:v>45992</c:v>
                </c:pt>
              </c:numCache>
            </c:numRef>
          </c:cat>
          <c:val>
            <c:numRef>
              <c:f>'Ch. COVID trend'!$B$59:$B$126</c:f>
              <c:numCache>
                <c:formatCode>0.0</c:formatCode>
                <c:ptCount val="68"/>
                <c:pt idx="0">
                  <c:v>88.3</c:v>
                </c:pt>
                <c:pt idx="1">
                  <c:v>89.5</c:v>
                </c:pt>
                <c:pt idx="2">
                  <c:v>90.1</c:v>
                </c:pt>
                <c:pt idx="3">
                  <c:v>89.8</c:v>
                </c:pt>
                <c:pt idx="4">
                  <c:v>89.9</c:v>
                </c:pt>
                <c:pt idx="5">
                  <c:v>89.4</c:v>
                </c:pt>
                <c:pt idx="6">
                  <c:v>89.7</c:v>
                </c:pt>
                <c:pt idx="7">
                  <c:v>89.7</c:v>
                </c:pt>
                <c:pt idx="8">
                  <c:v>88.5</c:v>
                </c:pt>
                <c:pt idx="9">
                  <c:v>90</c:v>
                </c:pt>
                <c:pt idx="10">
                  <c:v>91</c:v>
                </c:pt>
                <c:pt idx="11">
                  <c:v>91.5</c:v>
                </c:pt>
                <c:pt idx="12">
                  <c:v>92.1</c:v>
                </c:pt>
                <c:pt idx="13">
                  <c:v>92.8</c:v>
                </c:pt>
                <c:pt idx="14">
                  <c:v>93.6</c:v>
                </c:pt>
                <c:pt idx="15">
                  <c:v>93.6</c:v>
                </c:pt>
                <c:pt idx="16">
                  <c:v>93.9</c:v>
                </c:pt>
                <c:pt idx="17">
                  <c:v>93.8</c:v>
                </c:pt>
                <c:pt idx="18">
                  <c:v>94.4</c:v>
                </c:pt>
                <c:pt idx="19">
                  <c:v>95.5</c:v>
                </c:pt>
                <c:pt idx="20">
                  <c:v>96.3</c:v>
                </c:pt>
                <c:pt idx="21">
                  <c:v>96.3</c:v>
                </c:pt>
                <c:pt idx="22">
                  <c:v>96.6</c:v>
                </c:pt>
                <c:pt idx="23">
                  <c:v>97.1</c:v>
                </c:pt>
                <c:pt idx="24">
                  <c:v>97</c:v>
                </c:pt>
                <c:pt idx="25">
                  <c:v>96.8</c:v>
                </c:pt>
                <c:pt idx="26">
                  <c:v>97.2</c:v>
                </c:pt>
                <c:pt idx="27">
                  <c:v>97.3</c:v>
                </c:pt>
                <c:pt idx="28">
                  <c:v>97.9</c:v>
                </c:pt>
                <c:pt idx="29">
                  <c:v>98.7</c:v>
                </c:pt>
                <c:pt idx="30">
                  <c:v>98.3</c:v>
                </c:pt>
                <c:pt idx="31">
                  <c:v>99.1</c:v>
                </c:pt>
                <c:pt idx="32">
                  <c:v>98.3</c:v>
                </c:pt>
                <c:pt idx="33">
                  <c:v>98.2</c:v>
                </c:pt>
                <c:pt idx="34">
                  <c:v>98.5</c:v>
                </c:pt>
                <c:pt idx="35">
                  <c:v>98.2</c:v>
                </c:pt>
                <c:pt idx="36">
                  <c:v>99.1</c:v>
                </c:pt>
                <c:pt idx="37">
                  <c:v>99.1</c:v>
                </c:pt>
                <c:pt idx="38">
                  <c:v>99</c:v>
                </c:pt>
                <c:pt idx="39">
                  <c:v>99</c:v>
                </c:pt>
                <c:pt idx="40">
                  <c:v>98.5</c:v>
                </c:pt>
                <c:pt idx="41">
                  <c:v>99.1</c:v>
                </c:pt>
                <c:pt idx="42">
                  <c:v>99.1</c:v>
                </c:pt>
                <c:pt idx="43">
                  <c:v>99.8</c:v>
                </c:pt>
                <c:pt idx="44">
                  <c:v>100.8</c:v>
                </c:pt>
                <c:pt idx="45">
                  <c:v>102.2</c:v>
                </c:pt>
                <c:pt idx="46">
                  <c:v>101.3</c:v>
                </c:pt>
                <c:pt idx="47">
                  <c:v>101.9</c:v>
                </c:pt>
                <c:pt idx="48">
                  <c:v>103.2</c:v>
                </c:pt>
                <c:pt idx="49">
                  <c:v>102.3</c:v>
                </c:pt>
                <c:pt idx="50">
                  <c:v>103.2</c:v>
                </c:pt>
                <c:pt idx="51">
                  <c:v>104.3</c:v>
                </c:pt>
                <c:pt idx="52">
                  <c:v>105</c:v>
                </c:pt>
                <c:pt idx="53">
                  <c:v>102.6</c:v>
                </c:pt>
                <c:pt idx="54">
                  <c:v>101.4</c:v>
                </c:pt>
                <c:pt idx="55">
                  <c:v>100.2</c:v>
                </c:pt>
                <c:pt idx="56">
                  <c:v>99.8</c:v>
                </c:pt>
                <c:pt idx="57">
                  <c:v>98.4</c:v>
                </c:pt>
                <c:pt idx="58">
                  <c:v>99.7</c:v>
                </c:pt>
                <c:pt idx="59">
                  <c:v>100.1</c:v>
                </c:pt>
                <c:pt idx="60">
                  <c:v>100.5</c:v>
                </c:pt>
                <c:pt idx="61">
                  <c:v>99.7</c:v>
                </c:pt>
                <c:pt idx="62">
                  <c:v>99.1</c:v>
                </c:pt>
                <c:pt idx="63">
                  <c:v>99.1</c:v>
                </c:pt>
                <c:pt idx="64">
                  <c:v>99.3</c:v>
                </c:pt>
                <c:pt idx="65">
                  <c:v>99.9</c:v>
                </c:pt>
                <c:pt idx="66">
                  <c:v>100.1</c:v>
                </c:pt>
                <c:pt idx="67">
                  <c:v>100.1</c:v>
                </c:pt>
              </c:numCache>
            </c:numRef>
          </c:val>
          <c:smooth val="0"/>
          <c:extLst>
            <c:ext xmlns:c16="http://schemas.microsoft.com/office/drawing/2014/chart" uri="{C3380CC4-5D6E-409C-BE32-E72D297353CC}">
              <c16:uniqueId val="{00000000-BB18-4391-93C9-EFF0E18F09E0}"/>
            </c:ext>
          </c:extLst>
        </c:ser>
        <c:ser>
          <c:idx val="1"/>
          <c:order val="1"/>
          <c:tx>
            <c:strRef>
              <c:f>'Ch. COVID trend'!$C$57</c:f>
              <c:strCache>
                <c:ptCount val="1"/>
                <c:pt idx="0">
                  <c:v>Pre-Covid Productivity level</c:v>
                </c:pt>
              </c:strCache>
            </c:strRef>
          </c:tx>
          <c:spPr>
            <a:ln w="28575" cap="rnd">
              <a:solidFill>
                <a:srgbClr val="FF0000"/>
              </a:solidFill>
              <a:prstDash val="sysDot"/>
              <a:round/>
            </a:ln>
            <a:effectLst/>
          </c:spPr>
          <c:marker>
            <c:symbol val="none"/>
          </c:marker>
          <c:cat>
            <c:numRef>
              <c:f>'Ch. COVID trend'!$A$59:$A$126</c:f>
              <c:numCache>
                <c:formatCode>mmm\-yyyy</c:formatCode>
                <c:ptCount val="68"/>
                <c:pt idx="0">
                  <c:v>39873</c:v>
                </c:pt>
                <c:pt idx="1">
                  <c:v>39965</c:v>
                </c:pt>
                <c:pt idx="2">
                  <c:v>40057</c:v>
                </c:pt>
                <c:pt idx="3">
                  <c:v>40148</c:v>
                </c:pt>
                <c:pt idx="4">
                  <c:v>40238</c:v>
                </c:pt>
                <c:pt idx="5">
                  <c:v>40330</c:v>
                </c:pt>
                <c:pt idx="6">
                  <c:v>40422</c:v>
                </c:pt>
                <c:pt idx="7">
                  <c:v>40513</c:v>
                </c:pt>
                <c:pt idx="8">
                  <c:v>40603</c:v>
                </c:pt>
                <c:pt idx="9">
                  <c:v>40695</c:v>
                </c:pt>
                <c:pt idx="10">
                  <c:v>40787</c:v>
                </c:pt>
                <c:pt idx="11">
                  <c:v>40878</c:v>
                </c:pt>
                <c:pt idx="12">
                  <c:v>40969</c:v>
                </c:pt>
                <c:pt idx="13">
                  <c:v>41061</c:v>
                </c:pt>
                <c:pt idx="14">
                  <c:v>41153</c:v>
                </c:pt>
                <c:pt idx="15">
                  <c:v>41244</c:v>
                </c:pt>
                <c:pt idx="16">
                  <c:v>41334</c:v>
                </c:pt>
                <c:pt idx="17">
                  <c:v>41426</c:v>
                </c:pt>
                <c:pt idx="18">
                  <c:v>41518</c:v>
                </c:pt>
                <c:pt idx="19">
                  <c:v>41609</c:v>
                </c:pt>
                <c:pt idx="20">
                  <c:v>41699</c:v>
                </c:pt>
                <c:pt idx="21">
                  <c:v>41791</c:v>
                </c:pt>
                <c:pt idx="22">
                  <c:v>41883</c:v>
                </c:pt>
                <c:pt idx="23">
                  <c:v>41974</c:v>
                </c:pt>
                <c:pt idx="24">
                  <c:v>42064</c:v>
                </c:pt>
                <c:pt idx="25">
                  <c:v>42156</c:v>
                </c:pt>
                <c:pt idx="26">
                  <c:v>42248</c:v>
                </c:pt>
                <c:pt idx="27">
                  <c:v>42339</c:v>
                </c:pt>
                <c:pt idx="28">
                  <c:v>42430</c:v>
                </c:pt>
                <c:pt idx="29">
                  <c:v>42522</c:v>
                </c:pt>
                <c:pt idx="30">
                  <c:v>42614</c:v>
                </c:pt>
                <c:pt idx="31">
                  <c:v>42705</c:v>
                </c:pt>
                <c:pt idx="32">
                  <c:v>42795</c:v>
                </c:pt>
                <c:pt idx="33">
                  <c:v>42887</c:v>
                </c:pt>
                <c:pt idx="34">
                  <c:v>42979</c:v>
                </c:pt>
                <c:pt idx="35">
                  <c:v>43070</c:v>
                </c:pt>
                <c:pt idx="36">
                  <c:v>43160</c:v>
                </c:pt>
                <c:pt idx="37">
                  <c:v>43252</c:v>
                </c:pt>
                <c:pt idx="38">
                  <c:v>43344</c:v>
                </c:pt>
                <c:pt idx="39">
                  <c:v>43435</c:v>
                </c:pt>
                <c:pt idx="40">
                  <c:v>43525</c:v>
                </c:pt>
                <c:pt idx="41">
                  <c:v>43617</c:v>
                </c:pt>
                <c:pt idx="42">
                  <c:v>43709</c:v>
                </c:pt>
                <c:pt idx="43">
                  <c:v>43800</c:v>
                </c:pt>
                <c:pt idx="44">
                  <c:v>43891</c:v>
                </c:pt>
                <c:pt idx="45">
                  <c:v>43983</c:v>
                </c:pt>
                <c:pt idx="46">
                  <c:v>44075</c:v>
                </c:pt>
                <c:pt idx="47">
                  <c:v>44166</c:v>
                </c:pt>
                <c:pt idx="48">
                  <c:v>44256</c:v>
                </c:pt>
                <c:pt idx="49">
                  <c:v>44348</c:v>
                </c:pt>
                <c:pt idx="50">
                  <c:v>44440</c:v>
                </c:pt>
                <c:pt idx="51">
                  <c:v>44531</c:v>
                </c:pt>
                <c:pt idx="52">
                  <c:v>44621</c:v>
                </c:pt>
                <c:pt idx="53">
                  <c:v>44713</c:v>
                </c:pt>
                <c:pt idx="54">
                  <c:v>44805</c:v>
                </c:pt>
                <c:pt idx="55">
                  <c:v>44896</c:v>
                </c:pt>
                <c:pt idx="56">
                  <c:v>44986</c:v>
                </c:pt>
                <c:pt idx="57">
                  <c:v>45078</c:v>
                </c:pt>
                <c:pt idx="58">
                  <c:v>45170</c:v>
                </c:pt>
                <c:pt idx="59">
                  <c:v>45261</c:v>
                </c:pt>
                <c:pt idx="60">
                  <c:v>45352</c:v>
                </c:pt>
                <c:pt idx="61">
                  <c:v>45444</c:v>
                </c:pt>
                <c:pt idx="62">
                  <c:v>45536</c:v>
                </c:pt>
                <c:pt idx="63">
                  <c:v>45627</c:v>
                </c:pt>
                <c:pt idx="64">
                  <c:v>45717</c:v>
                </c:pt>
                <c:pt idx="65">
                  <c:v>45809</c:v>
                </c:pt>
                <c:pt idx="66">
                  <c:v>45901</c:v>
                </c:pt>
                <c:pt idx="67">
                  <c:v>45992</c:v>
                </c:pt>
              </c:numCache>
            </c:numRef>
          </c:cat>
          <c:val>
            <c:numRef>
              <c:f>'Ch. COVID trend'!$C$59:$C$126</c:f>
              <c:numCache>
                <c:formatCode>0.0</c:formatCode>
                <c:ptCount val="68"/>
                <c:pt idx="0">
                  <c:v>99.8</c:v>
                </c:pt>
                <c:pt idx="1">
                  <c:v>99.8</c:v>
                </c:pt>
                <c:pt idx="2">
                  <c:v>99.8</c:v>
                </c:pt>
                <c:pt idx="3">
                  <c:v>99.8</c:v>
                </c:pt>
                <c:pt idx="4">
                  <c:v>99.8</c:v>
                </c:pt>
                <c:pt idx="5">
                  <c:v>99.8</c:v>
                </c:pt>
                <c:pt idx="6">
                  <c:v>99.8</c:v>
                </c:pt>
                <c:pt idx="7">
                  <c:v>99.8</c:v>
                </c:pt>
                <c:pt idx="8">
                  <c:v>99.8</c:v>
                </c:pt>
                <c:pt idx="9">
                  <c:v>99.8</c:v>
                </c:pt>
                <c:pt idx="10">
                  <c:v>99.8</c:v>
                </c:pt>
                <c:pt idx="11">
                  <c:v>99.8</c:v>
                </c:pt>
                <c:pt idx="12">
                  <c:v>99.8</c:v>
                </c:pt>
                <c:pt idx="13">
                  <c:v>99.8</c:v>
                </c:pt>
                <c:pt idx="14">
                  <c:v>99.8</c:v>
                </c:pt>
                <c:pt idx="15">
                  <c:v>99.8</c:v>
                </c:pt>
                <c:pt idx="16">
                  <c:v>99.8</c:v>
                </c:pt>
                <c:pt idx="17">
                  <c:v>99.8</c:v>
                </c:pt>
                <c:pt idx="18">
                  <c:v>99.8</c:v>
                </c:pt>
                <c:pt idx="19">
                  <c:v>99.8</c:v>
                </c:pt>
                <c:pt idx="20">
                  <c:v>99.8</c:v>
                </c:pt>
                <c:pt idx="21">
                  <c:v>99.8</c:v>
                </c:pt>
                <c:pt idx="22">
                  <c:v>99.8</c:v>
                </c:pt>
                <c:pt idx="23">
                  <c:v>99.8</c:v>
                </c:pt>
                <c:pt idx="24">
                  <c:v>99.8</c:v>
                </c:pt>
                <c:pt idx="25">
                  <c:v>99.8</c:v>
                </c:pt>
                <c:pt idx="26">
                  <c:v>99.8</c:v>
                </c:pt>
                <c:pt idx="27">
                  <c:v>99.8</c:v>
                </c:pt>
                <c:pt idx="28">
                  <c:v>99.8</c:v>
                </c:pt>
                <c:pt idx="29">
                  <c:v>99.8</c:v>
                </c:pt>
                <c:pt idx="30">
                  <c:v>99.8</c:v>
                </c:pt>
                <c:pt idx="31">
                  <c:v>99.8</c:v>
                </c:pt>
                <c:pt idx="32">
                  <c:v>99.8</c:v>
                </c:pt>
                <c:pt idx="33">
                  <c:v>99.8</c:v>
                </c:pt>
                <c:pt idx="34">
                  <c:v>99.8</c:v>
                </c:pt>
                <c:pt idx="35">
                  <c:v>99.8</c:v>
                </c:pt>
                <c:pt idx="36">
                  <c:v>99.8</c:v>
                </c:pt>
                <c:pt idx="37">
                  <c:v>99.8</c:v>
                </c:pt>
                <c:pt idx="38">
                  <c:v>99.8</c:v>
                </c:pt>
                <c:pt idx="39">
                  <c:v>99.8</c:v>
                </c:pt>
                <c:pt idx="40">
                  <c:v>99.8</c:v>
                </c:pt>
                <c:pt idx="41">
                  <c:v>99.8</c:v>
                </c:pt>
                <c:pt idx="42">
                  <c:v>99.8</c:v>
                </c:pt>
                <c:pt idx="43">
                  <c:v>99.8</c:v>
                </c:pt>
                <c:pt idx="44">
                  <c:v>99.8</c:v>
                </c:pt>
                <c:pt idx="45">
                  <c:v>99.8</c:v>
                </c:pt>
                <c:pt idx="46">
                  <c:v>99.8</c:v>
                </c:pt>
                <c:pt idx="47">
                  <c:v>99.8</c:v>
                </c:pt>
                <c:pt idx="48">
                  <c:v>99.8</c:v>
                </c:pt>
                <c:pt idx="49">
                  <c:v>99.8</c:v>
                </c:pt>
                <c:pt idx="50">
                  <c:v>99.8</c:v>
                </c:pt>
                <c:pt idx="51">
                  <c:v>99.8</c:v>
                </c:pt>
                <c:pt idx="52">
                  <c:v>99.8</c:v>
                </c:pt>
                <c:pt idx="53">
                  <c:v>99.8</c:v>
                </c:pt>
                <c:pt idx="54">
                  <c:v>99.8</c:v>
                </c:pt>
                <c:pt idx="55">
                  <c:v>99.8</c:v>
                </c:pt>
                <c:pt idx="56">
                  <c:v>99.8</c:v>
                </c:pt>
                <c:pt idx="57">
                  <c:v>99.8</c:v>
                </c:pt>
                <c:pt idx="58">
                  <c:v>99.8</c:v>
                </c:pt>
                <c:pt idx="59">
                  <c:v>99.8</c:v>
                </c:pt>
                <c:pt idx="60">
                  <c:v>99.8</c:v>
                </c:pt>
                <c:pt idx="61">
                  <c:v>99.8</c:v>
                </c:pt>
                <c:pt idx="62">
                  <c:v>99.8</c:v>
                </c:pt>
                <c:pt idx="63">
                  <c:v>99.8</c:v>
                </c:pt>
                <c:pt idx="64">
                  <c:v>99.8</c:v>
                </c:pt>
                <c:pt idx="65">
                  <c:v>99.8</c:v>
                </c:pt>
                <c:pt idx="66">
                  <c:v>99.8</c:v>
                </c:pt>
                <c:pt idx="67">
                  <c:v>99.8</c:v>
                </c:pt>
              </c:numCache>
            </c:numRef>
          </c:val>
          <c:smooth val="0"/>
          <c:extLst>
            <c:ext xmlns:c16="http://schemas.microsoft.com/office/drawing/2014/chart" uri="{C3380CC4-5D6E-409C-BE32-E72D297353CC}">
              <c16:uniqueId val="{00000001-BB18-4391-93C9-EFF0E18F09E0}"/>
            </c:ext>
          </c:extLst>
        </c:ser>
        <c:dLbls>
          <c:showLegendKey val="0"/>
          <c:showVal val="0"/>
          <c:showCatName val="0"/>
          <c:showSerName val="0"/>
          <c:showPercent val="0"/>
          <c:showBubbleSize val="0"/>
        </c:dLbls>
        <c:marker val="1"/>
        <c:smooth val="0"/>
        <c:axId val="759111520"/>
        <c:axId val="759113920"/>
      </c:lineChart>
      <c:lineChart>
        <c:grouping val="standard"/>
        <c:varyColors val="0"/>
        <c:ser>
          <c:idx val="2"/>
          <c:order val="2"/>
          <c:tx>
            <c:v>DUMMY</c:v>
          </c:tx>
          <c:spPr>
            <a:ln w="28575" cap="rnd">
              <a:noFill/>
              <a:round/>
            </a:ln>
            <a:effectLst/>
            <a:extLst>
              <a:ext uri="{91240B29-F687-4F45-9708-019B960494DF}">
                <a14:hiddenLine xmlns:a14="http://schemas.microsoft.com/office/drawing/2010/main" w="28575" cap="rnd">
                  <a:solidFill>
                    <a:srgbClr val="3A6FAF"/>
                  </a:solidFill>
                  <a:round/>
                </a14:hiddenLine>
              </a:ext>
            </a:extLst>
          </c:spPr>
          <c:marker>
            <c:symbol val="none"/>
          </c:marker>
          <c:val>
            <c:numLit>
              <c:formatCode>General</c:formatCode>
              <c:ptCount val="1"/>
              <c:pt idx="0">
                <c:v>0</c:v>
              </c:pt>
            </c:numLit>
          </c:val>
          <c:smooth val="0"/>
          <c:extLst>
            <c:ext xmlns:c16="http://schemas.microsoft.com/office/drawing/2014/chart" uri="{C3380CC4-5D6E-409C-BE32-E72D297353CC}">
              <c16:uniqueId val="{00000002-BB18-4391-93C9-EFF0E18F09E0}"/>
            </c:ext>
          </c:extLst>
        </c:ser>
        <c:dLbls>
          <c:showLegendKey val="0"/>
          <c:showVal val="0"/>
          <c:showCatName val="0"/>
          <c:showSerName val="0"/>
          <c:showPercent val="0"/>
          <c:showBubbleSize val="0"/>
        </c:dLbls>
        <c:marker val="1"/>
        <c:smooth val="0"/>
        <c:axId val="11913023"/>
        <c:axId val="11911103"/>
      </c:lineChart>
      <c:dateAx>
        <c:axId val="759111520"/>
        <c:scaling>
          <c:orientation val="minMax"/>
        </c:scaling>
        <c:delete val="0"/>
        <c:axPos val="b"/>
        <c:numFmt formatCode="yyyy" sourceLinked="0"/>
        <c:majorTickMark val="out"/>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59113920"/>
        <c:crosses val="autoZero"/>
        <c:auto val="1"/>
        <c:lblOffset val="100"/>
        <c:baseTimeUnit val="months"/>
        <c:majorUnit val="18"/>
        <c:majorTimeUnit val="months"/>
      </c:dateAx>
      <c:valAx>
        <c:axId val="759113920"/>
        <c:scaling>
          <c:orientation val="minMax"/>
          <c:max val="110"/>
          <c:min val="80"/>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Index</a:t>
                </a:r>
              </a:p>
            </c:rich>
          </c:tx>
          <c:layout>
            <c:manualLayout>
              <c:xMode val="edge"/>
              <c:yMode val="edge"/>
              <c:x val="2.2660390511684107E-3"/>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59111520"/>
        <c:crosses val="autoZero"/>
        <c:crossBetween val="midCat"/>
      </c:valAx>
      <c:valAx>
        <c:axId val="11911103"/>
        <c:scaling>
          <c:orientation val="minMax"/>
          <c:max val="110"/>
          <c:min val="80"/>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Index</a:t>
                </a:r>
              </a:p>
            </c:rich>
          </c:tx>
          <c:layout>
            <c:manualLayout>
              <c:xMode val="edge"/>
              <c:yMode val="edge"/>
              <c:x val="0.91887580196817087"/>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1913023"/>
        <c:crosses val="max"/>
        <c:crossBetween val="between"/>
        <c:majorUnit val="5"/>
        <c:minorUnit val="1"/>
      </c:valAx>
      <c:catAx>
        <c:axId val="11913023"/>
        <c:scaling>
          <c:orientation val="minMax"/>
        </c:scaling>
        <c:delete val="1"/>
        <c:axPos val="b"/>
        <c:majorTickMark val="out"/>
        <c:minorTickMark val="none"/>
        <c:tickLblPos val="nextTo"/>
        <c:crossAx val="11911103"/>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sz="1400">
          <a:solidFill>
            <a:sysClr val="windowText" lastClr="000000"/>
          </a:solidFill>
          <a:latin typeface="Aptos" panose="020B00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086250189505754E-2"/>
          <c:y val="4.710972222222222E-2"/>
          <c:w val="0.98419181061441774"/>
          <c:h val="0.87430138888888875"/>
        </c:manualLayout>
      </c:layout>
      <c:barChart>
        <c:barDir val="col"/>
        <c:grouping val="clustered"/>
        <c:varyColors val="0"/>
        <c:ser>
          <c:idx val="0"/>
          <c:order val="0"/>
          <c:tx>
            <c:strRef>
              <c:f>'Summary chart (2023 data)'!$C$2</c:f>
              <c:strCache>
                <c:ptCount val="1"/>
                <c:pt idx="0">
                  <c:v>20-year average to 2015</c:v>
                </c:pt>
              </c:strCache>
            </c:strRef>
          </c:tx>
          <c:spPr>
            <a:solidFill>
              <a:schemeClr val="accent1"/>
            </a:solidFill>
            <a:ln>
              <a:noFill/>
            </a:ln>
            <a:effectLst/>
          </c:spPr>
          <c:invertIfNegative val="0"/>
          <c:cat>
            <c:strRef>
              <c:f>'Summary chart (2023 data)'!$B$3:$B$11</c:f>
              <c:strCache>
                <c:ptCount val="9"/>
                <c:pt idx="0">
                  <c:v>Australia</c:v>
                </c:pt>
                <c:pt idx="1">
                  <c:v>United States</c:v>
                </c:pt>
                <c:pt idx="2">
                  <c:v>Japan</c:v>
                </c:pt>
                <c:pt idx="3">
                  <c:v>United Kingdom</c:v>
                </c:pt>
                <c:pt idx="4">
                  <c:v>Canada</c:v>
                </c:pt>
                <c:pt idx="5">
                  <c:v>New Zealand</c:v>
                </c:pt>
                <c:pt idx="6">
                  <c:v>France</c:v>
                </c:pt>
                <c:pt idx="7">
                  <c:v>Germany</c:v>
                </c:pt>
                <c:pt idx="8">
                  <c:v>Italy</c:v>
                </c:pt>
              </c:strCache>
            </c:strRef>
          </c:cat>
          <c:val>
            <c:numRef>
              <c:f>'Summary chart (2023 data)'!$C$3:$C$11</c:f>
              <c:numCache>
                <c:formatCode>0.00%</c:formatCode>
                <c:ptCount val="9"/>
                <c:pt idx="0">
                  <c:v>1.7207981607526568E-2</c:v>
                </c:pt>
                <c:pt idx="1">
                  <c:v>1.8333311206124137E-2</c:v>
                </c:pt>
                <c:pt idx="2">
                  <c:v>1.3984956654986336E-2</c:v>
                </c:pt>
                <c:pt idx="3">
                  <c:v>1.4055339560956837E-2</c:v>
                </c:pt>
                <c:pt idx="4">
                  <c:v>1.151550751935515E-2</c:v>
                </c:pt>
                <c:pt idx="5">
                  <c:v>1.1607326070254276E-2</c:v>
                </c:pt>
                <c:pt idx="6">
                  <c:v>1.1734397564943322E-2</c:v>
                </c:pt>
                <c:pt idx="7">
                  <c:v>1.1645224905867169E-2</c:v>
                </c:pt>
                <c:pt idx="8">
                  <c:v>3.3207513689468282E-3</c:v>
                </c:pt>
              </c:numCache>
            </c:numRef>
          </c:val>
          <c:extLst>
            <c:ext xmlns:c16="http://schemas.microsoft.com/office/drawing/2014/chart" uri="{C3380CC4-5D6E-409C-BE32-E72D297353CC}">
              <c16:uniqueId val="{00000000-3AF2-4FAC-9BBF-CC3C89332F8D}"/>
            </c:ext>
          </c:extLst>
        </c:ser>
        <c:ser>
          <c:idx val="1"/>
          <c:order val="1"/>
          <c:tx>
            <c:strRef>
              <c:f>'Summary chart (2023 data)'!$D$2</c:f>
              <c:strCache>
                <c:ptCount val="1"/>
                <c:pt idx="0">
                  <c:v>20-year average to 2019 </c:v>
                </c:pt>
              </c:strCache>
            </c:strRef>
          </c:tx>
          <c:spPr>
            <a:solidFill>
              <a:schemeClr val="accent2"/>
            </a:solidFill>
            <a:ln>
              <a:noFill/>
            </a:ln>
            <a:effectLst/>
          </c:spPr>
          <c:invertIfNegative val="0"/>
          <c:cat>
            <c:strRef>
              <c:f>'Summary chart (2023 data)'!$B$3:$B$11</c:f>
              <c:strCache>
                <c:ptCount val="9"/>
                <c:pt idx="0">
                  <c:v>Australia</c:v>
                </c:pt>
                <c:pt idx="1">
                  <c:v>United States</c:v>
                </c:pt>
                <c:pt idx="2">
                  <c:v>Japan</c:v>
                </c:pt>
                <c:pt idx="3">
                  <c:v>United Kingdom</c:v>
                </c:pt>
                <c:pt idx="4">
                  <c:v>Canada</c:v>
                </c:pt>
                <c:pt idx="5">
                  <c:v>New Zealand</c:v>
                </c:pt>
                <c:pt idx="6">
                  <c:v>France</c:v>
                </c:pt>
                <c:pt idx="7">
                  <c:v>Germany</c:v>
                </c:pt>
                <c:pt idx="8">
                  <c:v>Italy</c:v>
                </c:pt>
              </c:strCache>
            </c:strRef>
          </c:cat>
          <c:val>
            <c:numRef>
              <c:f>'Summary chart (2023 data)'!$D$3:$D$11</c:f>
              <c:numCache>
                <c:formatCode>0.00%</c:formatCode>
                <c:ptCount val="9"/>
                <c:pt idx="0">
                  <c:v>1.2275091473955557E-2</c:v>
                </c:pt>
                <c:pt idx="1">
                  <c:v>1.6643156941811066E-2</c:v>
                </c:pt>
                <c:pt idx="2">
                  <c:v>1.2084499602011078E-2</c:v>
                </c:pt>
                <c:pt idx="3">
                  <c:v>1.13227153829627E-2</c:v>
                </c:pt>
                <c:pt idx="4">
                  <c:v>1.0976146736322745E-2</c:v>
                </c:pt>
                <c:pt idx="5">
                  <c:v>1.0991147946790569E-2</c:v>
                </c:pt>
                <c:pt idx="6">
                  <c:v>1.0173989744646672E-2</c:v>
                </c:pt>
                <c:pt idx="7">
                  <c:v>1.0702552342226168E-2</c:v>
                </c:pt>
                <c:pt idx="8">
                  <c:v>2.2242954774724932E-3</c:v>
                </c:pt>
              </c:numCache>
            </c:numRef>
          </c:val>
          <c:extLst>
            <c:ext xmlns:c16="http://schemas.microsoft.com/office/drawing/2014/chart" uri="{C3380CC4-5D6E-409C-BE32-E72D297353CC}">
              <c16:uniqueId val="{00000001-3AF2-4FAC-9BBF-CC3C89332F8D}"/>
            </c:ext>
          </c:extLst>
        </c:ser>
        <c:ser>
          <c:idx val="2"/>
          <c:order val="2"/>
          <c:tx>
            <c:strRef>
              <c:f>'Summary chart (2023 data)'!$E$2</c:f>
              <c:strCache>
                <c:ptCount val="1"/>
                <c:pt idx="0">
                  <c:v>20-year average to 2023</c:v>
                </c:pt>
              </c:strCache>
            </c:strRef>
          </c:tx>
          <c:spPr>
            <a:solidFill>
              <a:schemeClr val="accent3"/>
            </a:solidFill>
            <a:ln>
              <a:noFill/>
            </a:ln>
            <a:effectLst/>
          </c:spPr>
          <c:invertIfNegative val="0"/>
          <c:cat>
            <c:strRef>
              <c:f>'Summary chart (2023 data)'!$B$3:$B$11</c:f>
              <c:strCache>
                <c:ptCount val="9"/>
                <c:pt idx="0">
                  <c:v>Australia</c:v>
                </c:pt>
                <c:pt idx="1">
                  <c:v>United States</c:v>
                </c:pt>
                <c:pt idx="2">
                  <c:v>Japan</c:v>
                </c:pt>
                <c:pt idx="3">
                  <c:v>United Kingdom</c:v>
                </c:pt>
                <c:pt idx="4">
                  <c:v>Canada</c:v>
                </c:pt>
                <c:pt idx="5">
                  <c:v>New Zealand</c:v>
                </c:pt>
                <c:pt idx="6">
                  <c:v>France</c:v>
                </c:pt>
                <c:pt idx="7">
                  <c:v>Germany</c:v>
                </c:pt>
                <c:pt idx="8">
                  <c:v>Italy</c:v>
                </c:pt>
              </c:strCache>
            </c:strRef>
          </c:cat>
          <c:val>
            <c:numRef>
              <c:f>'Summary chart (2023 data)'!$E$3:$E$11</c:f>
              <c:numCache>
                <c:formatCode>0.00%</c:formatCode>
                <c:ptCount val="9"/>
                <c:pt idx="0">
                  <c:v>8.0889060123419121E-3</c:v>
                </c:pt>
                <c:pt idx="1">
                  <c:v>1.3699322952883897E-2</c:v>
                </c:pt>
                <c:pt idx="2">
                  <c:v>7.6289943557197315E-3</c:v>
                </c:pt>
                <c:pt idx="3">
                  <c:v>5.4147355019698029E-3</c:v>
                </c:pt>
                <c:pt idx="4">
                  <c:v>6.9362195183328978E-3</c:v>
                </c:pt>
                <c:pt idx="5">
                  <c:v>7.2447527168015835E-3</c:v>
                </c:pt>
                <c:pt idx="6">
                  <c:v>4.4474938864755842E-3</c:v>
                </c:pt>
                <c:pt idx="7">
                  <c:v>7.8258910527462255E-3</c:v>
                </c:pt>
                <c:pt idx="8">
                  <c:v>1.3145702281356364E-3</c:v>
                </c:pt>
              </c:numCache>
            </c:numRef>
          </c:val>
          <c:extLst>
            <c:ext xmlns:c16="http://schemas.microsoft.com/office/drawing/2014/chart" uri="{C3380CC4-5D6E-409C-BE32-E72D297353CC}">
              <c16:uniqueId val="{00000002-3AF2-4FAC-9BBF-CC3C89332F8D}"/>
            </c:ext>
          </c:extLst>
        </c:ser>
        <c:dLbls>
          <c:showLegendKey val="0"/>
          <c:showVal val="0"/>
          <c:showCatName val="0"/>
          <c:showSerName val="0"/>
          <c:showPercent val="0"/>
          <c:showBubbleSize val="0"/>
        </c:dLbls>
        <c:gapWidth val="50"/>
        <c:axId val="1272212928"/>
        <c:axId val="1272211008"/>
      </c:barChart>
      <c:catAx>
        <c:axId val="1272212928"/>
        <c:scaling>
          <c:orientation val="minMax"/>
        </c:scaling>
        <c:delete val="0"/>
        <c:axPos val="b"/>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272211008"/>
        <c:crosses val="autoZero"/>
        <c:auto val="1"/>
        <c:lblAlgn val="ctr"/>
        <c:lblOffset val="100"/>
        <c:tickMarkSkip val="1"/>
        <c:noMultiLvlLbl val="0"/>
      </c:catAx>
      <c:valAx>
        <c:axId val="1272211008"/>
        <c:scaling>
          <c:orientation val="minMax"/>
          <c:max val="2.2500000000000006E-2"/>
          <c:min val="0"/>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AU"/>
                  <a:t>Per cent</a:t>
                </a:r>
              </a:p>
            </c:rich>
          </c:tx>
          <c:layout>
            <c:manualLayout>
              <c:xMode val="edge"/>
              <c:yMode val="edge"/>
              <c:x val="2.7156254737643851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272212928"/>
        <c:crosses val="autoZero"/>
        <c:crossBetween val="between"/>
      </c:valAx>
      <c:spPr>
        <a:noFill/>
        <a:ln w="25400">
          <a:noFill/>
        </a:ln>
        <a:effectLst/>
        <a:extLst>
          <a:ext uri="{909E8E84-426E-40DD-AFC4-6F175D3DCCD1}">
            <a14:hiddenFill xmlns:a14="http://schemas.microsoft.com/office/drawing/2010/main">
              <a:noFill/>
            </a14:hiddenFill>
          </a:ext>
        </a:ex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6.765516413870698E-2"/>
          <c:y val="0.91096642400831973"/>
          <c:w val="0.86468967172258604"/>
          <c:h val="7.9599613727529342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15560180258502E-2"/>
          <c:y val="9.9006851497026455E-2"/>
          <c:w val="0.85333558885953642"/>
          <c:h val="0.56133853605777084"/>
        </c:manualLayout>
      </c:layout>
      <c:barChart>
        <c:barDir val="col"/>
        <c:grouping val="clustered"/>
        <c:varyColors val="0"/>
        <c:ser>
          <c:idx val="0"/>
          <c:order val="0"/>
          <c:tx>
            <c:strRef>
              <c:f>'4.8'!$B$26</c:f>
              <c:strCache>
                <c:ptCount val="1"/>
                <c:pt idx="0">
                  <c:v>GNI per hour worked</c:v>
                </c:pt>
              </c:strCache>
            </c:strRef>
          </c:tx>
          <c:spPr>
            <a:solidFill>
              <a:srgbClr val="4F81BD">
                <a:alpha val="70000"/>
              </a:srgbClr>
            </a:solidFill>
            <a:ln w="25400">
              <a:noFill/>
            </a:ln>
            <a:effectLst/>
          </c:spPr>
          <c:invertIfNegative val="0"/>
          <c:dPt>
            <c:idx val="15"/>
            <c:invertIfNegative val="0"/>
            <c:bubble3D val="0"/>
            <c:spPr>
              <a:solidFill>
                <a:schemeClr val="accent2">
                  <a:lumMod val="50000"/>
                  <a:alpha val="70000"/>
                </a:schemeClr>
              </a:solidFill>
              <a:ln w="25400">
                <a:noFill/>
              </a:ln>
              <a:effectLst/>
            </c:spPr>
            <c:extLst>
              <c:ext xmlns:c16="http://schemas.microsoft.com/office/drawing/2014/chart" uri="{C3380CC4-5D6E-409C-BE32-E72D297353CC}">
                <c16:uniqueId val="{00000004-54F7-4234-A6BA-27FF6EC091E3}"/>
              </c:ext>
            </c:extLst>
          </c:dPt>
          <c:cat>
            <c:strRef>
              <c:f>'4.8'!$A$27:$A$62</c:f>
              <c:strCache>
                <c:ptCount val="36"/>
                <c:pt idx="0">
                  <c:v>Norway</c:v>
                </c:pt>
                <c:pt idx="1">
                  <c:v>Ireland</c:v>
                </c:pt>
                <c:pt idx="2">
                  <c:v>Denmark</c:v>
                </c:pt>
                <c:pt idx="3">
                  <c:v>Belgium</c:v>
                </c:pt>
                <c:pt idx="4">
                  <c:v>Germany</c:v>
                </c:pt>
                <c:pt idx="5">
                  <c:v>United States</c:v>
                </c:pt>
                <c:pt idx="6">
                  <c:v>Switzerland</c:v>
                </c:pt>
                <c:pt idx="7">
                  <c:v>Austria</c:v>
                </c:pt>
                <c:pt idx="8">
                  <c:v>Sweden</c:v>
                </c:pt>
                <c:pt idx="9">
                  <c:v>Netherlands</c:v>
                </c:pt>
                <c:pt idx="10">
                  <c:v>France</c:v>
                </c:pt>
                <c:pt idx="11">
                  <c:v>Finland</c:v>
                </c:pt>
                <c:pt idx="12">
                  <c:v>Luxembourg</c:v>
                </c:pt>
                <c:pt idx="13">
                  <c:v>United Kingdom</c:v>
                </c:pt>
                <c:pt idx="14">
                  <c:v>Italy</c:v>
                </c:pt>
                <c:pt idx="15">
                  <c:v>Australia</c:v>
                </c:pt>
                <c:pt idx="16">
                  <c:v>Canada</c:v>
                </c:pt>
                <c:pt idx="17">
                  <c:v>Spain</c:v>
                </c:pt>
                <c:pt idx="18">
                  <c:v>Slovenia</c:v>
                </c:pt>
                <c:pt idx="19">
                  <c:v>Israel</c:v>
                </c:pt>
                <c:pt idx="20">
                  <c:v>Japan</c:v>
                </c:pt>
                <c:pt idx="21">
                  <c:v>Czechia</c:v>
                </c:pt>
                <c:pt idx="22">
                  <c:v>Lithuania</c:v>
                </c:pt>
                <c:pt idx="23">
                  <c:v>Slovak Republic</c:v>
                </c:pt>
                <c:pt idx="24">
                  <c:v>Portugal</c:v>
                </c:pt>
                <c:pt idx="25">
                  <c:v>Korea</c:v>
                </c:pt>
                <c:pt idx="26">
                  <c:v>Latvia</c:v>
                </c:pt>
                <c:pt idx="27">
                  <c:v>New Zealand</c:v>
                </c:pt>
                <c:pt idx="28">
                  <c:v>Hungary</c:v>
                </c:pt>
                <c:pt idx="29">
                  <c:v>Poland</c:v>
                </c:pt>
                <c:pt idx="30">
                  <c:v>Estonia</c:v>
                </c:pt>
                <c:pt idx="31">
                  <c:v>Greece</c:v>
                </c:pt>
                <c:pt idx="32">
                  <c:v>Chile</c:v>
                </c:pt>
                <c:pt idx="33">
                  <c:v>Costa Rica</c:v>
                </c:pt>
                <c:pt idx="34">
                  <c:v>Mexico</c:v>
                </c:pt>
                <c:pt idx="35">
                  <c:v>Colombia</c:v>
                </c:pt>
              </c:strCache>
            </c:strRef>
          </c:cat>
          <c:val>
            <c:numRef>
              <c:f>'4.8'!$B$27:$B$62</c:f>
              <c:numCache>
                <c:formatCode>0</c:formatCode>
                <c:ptCount val="36"/>
                <c:pt idx="0">
                  <c:v>161.43</c:v>
                </c:pt>
                <c:pt idx="1">
                  <c:v>115.18554404617949</c:v>
                </c:pt>
                <c:pt idx="2">
                  <c:v>102.05446448371841</c:v>
                </c:pt>
                <c:pt idx="3">
                  <c:v>101.7124946695096</c:v>
                </c:pt>
                <c:pt idx="4">
                  <c:v>97.09782221874984</c:v>
                </c:pt>
                <c:pt idx="5">
                  <c:v>96.540562870436176</c:v>
                </c:pt>
                <c:pt idx="6">
                  <c:v>96.205603442479827</c:v>
                </c:pt>
                <c:pt idx="7">
                  <c:v>94.999496741246034</c:v>
                </c:pt>
                <c:pt idx="8">
                  <c:v>94.048474958354859</c:v>
                </c:pt>
                <c:pt idx="9">
                  <c:v>93.60566816361208</c:v>
                </c:pt>
                <c:pt idx="10">
                  <c:v>89.666590486126154</c:v>
                </c:pt>
                <c:pt idx="11">
                  <c:v>82.886080386337142</c:v>
                </c:pt>
                <c:pt idx="12">
                  <c:v>81.274084374580141</c:v>
                </c:pt>
                <c:pt idx="13">
                  <c:v>78.134247675613054</c:v>
                </c:pt>
                <c:pt idx="14">
                  <c:v>76.654408232811022</c:v>
                </c:pt>
                <c:pt idx="15">
                  <c:v>76.488852695429244</c:v>
                </c:pt>
                <c:pt idx="16">
                  <c:v>73.366705913247159</c:v>
                </c:pt>
                <c:pt idx="17">
                  <c:v>73.068049675335786</c:v>
                </c:pt>
                <c:pt idx="18">
                  <c:v>64.887298179319828</c:v>
                </c:pt>
                <c:pt idx="19">
                  <c:v>60.18865377313989</c:v>
                </c:pt>
                <c:pt idx="20">
                  <c:v>59.813939878146272</c:v>
                </c:pt>
                <c:pt idx="21">
                  <c:v>59.615127105345749</c:v>
                </c:pt>
                <c:pt idx="22">
                  <c:v>58.523295415514475</c:v>
                </c:pt>
                <c:pt idx="23">
                  <c:v>58.444043601273172</c:v>
                </c:pt>
                <c:pt idx="24">
                  <c:v>57.668999894019606</c:v>
                </c:pt>
                <c:pt idx="25">
                  <c:v>55.598420842877395</c:v>
                </c:pt>
                <c:pt idx="26">
                  <c:v>54.14064848439007</c:v>
                </c:pt>
                <c:pt idx="27">
                  <c:v>53.308825113166222</c:v>
                </c:pt>
                <c:pt idx="28">
                  <c:v>52.694424798764331</c:v>
                </c:pt>
                <c:pt idx="29">
                  <c:v>52.001717363563962</c:v>
                </c:pt>
                <c:pt idx="30">
                  <c:v>51.709499467097309</c:v>
                </c:pt>
                <c:pt idx="31">
                  <c:v>43.383572182990363</c:v>
                </c:pt>
                <c:pt idx="32">
                  <c:v>34.932369000000001</c:v>
                </c:pt>
                <c:pt idx="33">
                  <c:v>29.58761430294361</c:v>
                </c:pt>
                <c:pt idx="34">
                  <c:v>24.350206963186487</c:v>
                </c:pt>
                <c:pt idx="35">
                  <c:v>20.799251999999999</c:v>
                </c:pt>
              </c:numCache>
            </c:numRef>
          </c:val>
          <c:extLst>
            <c:ext xmlns:c16="http://schemas.microsoft.com/office/drawing/2014/chart" uri="{C3380CC4-5D6E-409C-BE32-E72D297353CC}">
              <c16:uniqueId val="{00000000-54F7-4234-A6BA-27FF6EC091E3}"/>
            </c:ext>
          </c:extLst>
        </c:ser>
        <c:dLbls>
          <c:showLegendKey val="0"/>
          <c:showVal val="0"/>
          <c:showCatName val="0"/>
          <c:showSerName val="0"/>
          <c:showPercent val="0"/>
          <c:showBubbleSize val="0"/>
        </c:dLbls>
        <c:gapWidth val="150"/>
        <c:axId val="1128732448"/>
        <c:axId val="1128845728"/>
      </c:barChart>
      <c:scatterChart>
        <c:scatterStyle val="lineMarker"/>
        <c:varyColors val="0"/>
        <c:ser>
          <c:idx val="1"/>
          <c:order val="1"/>
          <c:tx>
            <c:strRef>
              <c:f>'4.8'!$C$26</c:f>
              <c:strCache>
                <c:ptCount val="1"/>
                <c:pt idx="0">
                  <c:v>GDP per hour worked </c:v>
                </c:pt>
              </c:strCache>
            </c:strRef>
          </c:tx>
          <c:spPr>
            <a:ln w="25400" cap="rnd">
              <a:noFill/>
              <a:round/>
            </a:ln>
            <a:effectLst/>
          </c:spPr>
          <c:marker>
            <c:symbol val="diamond"/>
            <c:size val="5"/>
            <c:spPr>
              <a:solidFill>
                <a:schemeClr val="bg1"/>
              </a:solidFill>
              <a:ln w="9525">
                <a:solidFill>
                  <a:schemeClr val="accent2"/>
                </a:solidFill>
              </a:ln>
              <a:effectLst/>
            </c:spPr>
          </c:marker>
          <c:xVal>
            <c:strRef>
              <c:f>'4.8'!$A$27:$A$62</c:f>
              <c:strCache>
                <c:ptCount val="36"/>
                <c:pt idx="0">
                  <c:v>Norway</c:v>
                </c:pt>
                <c:pt idx="1">
                  <c:v>Ireland</c:v>
                </c:pt>
                <c:pt idx="2">
                  <c:v>Denmark</c:v>
                </c:pt>
                <c:pt idx="3">
                  <c:v>Belgium</c:v>
                </c:pt>
                <c:pt idx="4">
                  <c:v>Germany</c:v>
                </c:pt>
                <c:pt idx="5">
                  <c:v>United States</c:v>
                </c:pt>
                <c:pt idx="6">
                  <c:v>Switzerland</c:v>
                </c:pt>
                <c:pt idx="7">
                  <c:v>Austria</c:v>
                </c:pt>
                <c:pt idx="8">
                  <c:v>Sweden</c:v>
                </c:pt>
                <c:pt idx="9">
                  <c:v>Netherlands</c:v>
                </c:pt>
                <c:pt idx="10">
                  <c:v>France</c:v>
                </c:pt>
                <c:pt idx="11">
                  <c:v>Finland</c:v>
                </c:pt>
                <c:pt idx="12">
                  <c:v>Luxembourg</c:v>
                </c:pt>
                <c:pt idx="13">
                  <c:v>United Kingdom</c:v>
                </c:pt>
                <c:pt idx="14">
                  <c:v>Italy</c:v>
                </c:pt>
                <c:pt idx="15">
                  <c:v>Australia</c:v>
                </c:pt>
                <c:pt idx="16">
                  <c:v>Canada</c:v>
                </c:pt>
                <c:pt idx="17">
                  <c:v>Spain</c:v>
                </c:pt>
                <c:pt idx="18">
                  <c:v>Slovenia</c:v>
                </c:pt>
                <c:pt idx="19">
                  <c:v>Israel</c:v>
                </c:pt>
                <c:pt idx="20">
                  <c:v>Japan</c:v>
                </c:pt>
                <c:pt idx="21">
                  <c:v>Czechia</c:v>
                </c:pt>
                <c:pt idx="22">
                  <c:v>Lithuania</c:v>
                </c:pt>
                <c:pt idx="23">
                  <c:v>Slovak Republic</c:v>
                </c:pt>
                <c:pt idx="24">
                  <c:v>Portugal</c:v>
                </c:pt>
                <c:pt idx="25">
                  <c:v>Korea</c:v>
                </c:pt>
                <c:pt idx="26">
                  <c:v>Latvia</c:v>
                </c:pt>
                <c:pt idx="27">
                  <c:v>New Zealand</c:v>
                </c:pt>
                <c:pt idx="28">
                  <c:v>Hungary</c:v>
                </c:pt>
                <c:pt idx="29">
                  <c:v>Poland</c:v>
                </c:pt>
                <c:pt idx="30">
                  <c:v>Estonia</c:v>
                </c:pt>
                <c:pt idx="31">
                  <c:v>Greece</c:v>
                </c:pt>
                <c:pt idx="32">
                  <c:v>Chile</c:v>
                </c:pt>
                <c:pt idx="33">
                  <c:v>Costa Rica</c:v>
                </c:pt>
                <c:pt idx="34">
                  <c:v>Mexico</c:v>
                </c:pt>
                <c:pt idx="35">
                  <c:v>Colombia</c:v>
                </c:pt>
              </c:strCache>
            </c:strRef>
          </c:xVal>
          <c:yVal>
            <c:numRef>
              <c:f>'4.8'!$C$27:$C$62</c:f>
              <c:numCache>
                <c:formatCode>0</c:formatCode>
                <c:ptCount val="36"/>
                <c:pt idx="0">
                  <c:v>132.10433957789897</c:v>
                </c:pt>
                <c:pt idx="1">
                  <c:v>151.25236715416733</c:v>
                </c:pt>
                <c:pt idx="2">
                  <c:v>99.231291439433363</c:v>
                </c:pt>
                <c:pt idx="3">
                  <c:v>100.34768354758002</c:v>
                </c:pt>
                <c:pt idx="4">
                  <c:v>93.810584123976795</c:v>
                </c:pt>
                <c:pt idx="5">
                  <c:v>97.04669465031526</c:v>
                </c:pt>
                <c:pt idx="6">
                  <c:v>99.238133845512536</c:v>
                </c:pt>
                <c:pt idx="7">
                  <c:v>94.9608431284651</c:v>
                </c:pt>
                <c:pt idx="8">
                  <c:v>90.212256400081799</c:v>
                </c:pt>
                <c:pt idx="9">
                  <c:v>94.393399954147611</c:v>
                </c:pt>
                <c:pt idx="10">
                  <c:v>88.021236246612759</c:v>
                </c:pt>
                <c:pt idx="11">
                  <c:v>82.496558636949032</c:v>
                </c:pt>
                <c:pt idx="12">
                  <c:v>124.87572215504501</c:v>
                </c:pt>
                <c:pt idx="13">
                  <c:v>78.675941091024754</c:v>
                </c:pt>
                <c:pt idx="14">
                  <c:v>77.17878433162646</c:v>
                </c:pt>
                <c:pt idx="15">
                  <c:v>79.147214173915941</c:v>
                </c:pt>
                <c:pt idx="16">
                  <c:v>74.679071198815308</c:v>
                </c:pt>
                <c:pt idx="17">
                  <c:v>73.421898001803058</c:v>
                </c:pt>
                <c:pt idx="18">
                  <c:v>65.500400778655674</c:v>
                </c:pt>
                <c:pt idx="19">
                  <c:v>60.511522486970321</c:v>
                </c:pt>
                <c:pt idx="20">
                  <c:v>56.455495866666176</c:v>
                </c:pt>
                <c:pt idx="21">
                  <c:v>60.482686473480491</c:v>
                </c:pt>
                <c:pt idx="22">
                  <c:v>60.370939074495261</c:v>
                </c:pt>
                <c:pt idx="23">
                  <c:v>59.804728944576368</c:v>
                </c:pt>
                <c:pt idx="24">
                  <c:v>59.246369075821001</c:v>
                </c:pt>
                <c:pt idx="25">
                  <c:v>54.639768400744316</c:v>
                </c:pt>
                <c:pt idx="26">
                  <c:v>55.881644772218877</c:v>
                </c:pt>
                <c:pt idx="27">
                  <c:v>55.210864562951429</c:v>
                </c:pt>
                <c:pt idx="28">
                  <c:v>54.298720379742065</c:v>
                </c:pt>
                <c:pt idx="29">
                  <c:v>54.060062073166058</c:v>
                </c:pt>
                <c:pt idx="30">
                  <c:v>53.379421330627139</c:v>
                </c:pt>
                <c:pt idx="31">
                  <c:v>44.784530489213473</c:v>
                </c:pt>
                <c:pt idx="32">
                  <c:v>36.508700863899108</c:v>
                </c:pt>
                <c:pt idx="33">
                  <c:v>31.836687552334478</c:v>
                </c:pt>
                <c:pt idx="34">
                  <c:v>24.971528390328594</c:v>
                </c:pt>
                <c:pt idx="35">
                  <c:v>21.185836742645627</c:v>
                </c:pt>
              </c:numCache>
            </c:numRef>
          </c:yVal>
          <c:smooth val="0"/>
          <c:extLst>
            <c:ext xmlns:c16="http://schemas.microsoft.com/office/drawing/2014/chart" uri="{C3380CC4-5D6E-409C-BE32-E72D297353CC}">
              <c16:uniqueId val="{00000001-54F7-4234-A6BA-27FF6EC091E3}"/>
            </c:ext>
          </c:extLst>
        </c:ser>
        <c:ser>
          <c:idx val="2"/>
          <c:order val="2"/>
          <c:tx>
            <c:strRef>
              <c:f>'4.8'!$D$26</c:f>
              <c:strCache>
                <c:ptCount val="1"/>
                <c:pt idx="0">
                  <c:v>GVA per hour worked</c:v>
                </c:pt>
              </c:strCache>
            </c:strRef>
          </c:tx>
          <c:spPr>
            <a:ln w="25400" cap="rnd">
              <a:noFill/>
              <a:round/>
            </a:ln>
            <a:effectLst/>
          </c:spPr>
          <c:marker>
            <c:symbol val="diamond"/>
            <c:size val="5"/>
            <c:spPr>
              <a:solidFill>
                <a:schemeClr val="tx1"/>
              </a:solidFill>
              <a:ln w="9525">
                <a:solidFill>
                  <a:schemeClr val="accent3"/>
                </a:solidFill>
              </a:ln>
              <a:effectLst/>
            </c:spPr>
          </c:marker>
          <c:xVal>
            <c:strRef>
              <c:f>'4.8'!$A$27:$A$62</c:f>
              <c:strCache>
                <c:ptCount val="36"/>
                <c:pt idx="0">
                  <c:v>Norway</c:v>
                </c:pt>
                <c:pt idx="1">
                  <c:v>Ireland</c:v>
                </c:pt>
                <c:pt idx="2">
                  <c:v>Denmark</c:v>
                </c:pt>
                <c:pt idx="3">
                  <c:v>Belgium</c:v>
                </c:pt>
                <c:pt idx="4">
                  <c:v>Germany</c:v>
                </c:pt>
                <c:pt idx="5">
                  <c:v>United States</c:v>
                </c:pt>
                <c:pt idx="6">
                  <c:v>Switzerland</c:v>
                </c:pt>
                <c:pt idx="7">
                  <c:v>Austria</c:v>
                </c:pt>
                <c:pt idx="8">
                  <c:v>Sweden</c:v>
                </c:pt>
                <c:pt idx="9">
                  <c:v>Netherlands</c:v>
                </c:pt>
                <c:pt idx="10">
                  <c:v>France</c:v>
                </c:pt>
                <c:pt idx="11">
                  <c:v>Finland</c:v>
                </c:pt>
                <c:pt idx="12">
                  <c:v>Luxembourg</c:v>
                </c:pt>
                <c:pt idx="13">
                  <c:v>United Kingdom</c:v>
                </c:pt>
                <c:pt idx="14">
                  <c:v>Italy</c:v>
                </c:pt>
                <c:pt idx="15">
                  <c:v>Australia</c:v>
                </c:pt>
                <c:pt idx="16">
                  <c:v>Canada</c:v>
                </c:pt>
                <c:pt idx="17">
                  <c:v>Spain</c:v>
                </c:pt>
                <c:pt idx="18">
                  <c:v>Slovenia</c:v>
                </c:pt>
                <c:pt idx="19">
                  <c:v>Israel</c:v>
                </c:pt>
                <c:pt idx="20">
                  <c:v>Japan</c:v>
                </c:pt>
                <c:pt idx="21">
                  <c:v>Czechia</c:v>
                </c:pt>
                <c:pt idx="22">
                  <c:v>Lithuania</c:v>
                </c:pt>
                <c:pt idx="23">
                  <c:v>Slovak Republic</c:v>
                </c:pt>
                <c:pt idx="24">
                  <c:v>Portugal</c:v>
                </c:pt>
                <c:pt idx="25">
                  <c:v>Korea</c:v>
                </c:pt>
                <c:pt idx="26">
                  <c:v>Latvia</c:v>
                </c:pt>
                <c:pt idx="27">
                  <c:v>New Zealand</c:v>
                </c:pt>
                <c:pt idx="28">
                  <c:v>Hungary</c:v>
                </c:pt>
                <c:pt idx="29">
                  <c:v>Poland</c:v>
                </c:pt>
                <c:pt idx="30">
                  <c:v>Estonia</c:v>
                </c:pt>
                <c:pt idx="31">
                  <c:v>Greece</c:v>
                </c:pt>
                <c:pt idx="32">
                  <c:v>Chile</c:v>
                </c:pt>
                <c:pt idx="33">
                  <c:v>Costa Rica</c:v>
                </c:pt>
                <c:pt idx="34">
                  <c:v>Mexico</c:v>
                </c:pt>
                <c:pt idx="35">
                  <c:v>Colombia</c:v>
                </c:pt>
              </c:strCache>
            </c:strRef>
          </c:xVal>
          <c:yVal>
            <c:numRef>
              <c:f>'4.8'!$D$27:$D$62</c:f>
              <c:numCache>
                <c:formatCode>0</c:formatCode>
                <c:ptCount val="36"/>
                <c:pt idx="0">
                  <c:v>119.79843490633152</c:v>
                </c:pt>
                <c:pt idx="1">
                  <c:v>143.4707166250893</c:v>
                </c:pt>
                <c:pt idx="2">
                  <c:v>87.933866871930931</c:v>
                </c:pt>
                <c:pt idx="3">
                  <c:v>91.013254936137955</c:v>
                </c:pt>
                <c:pt idx="4">
                  <c:v>85.193303991914775</c:v>
                </c:pt>
                <c:pt idx="7">
                  <c:v>84.73606390777563</c:v>
                </c:pt>
                <c:pt idx="8">
                  <c:v>80.649080323897223</c:v>
                </c:pt>
                <c:pt idx="9">
                  <c:v>85.359604051192832</c:v>
                </c:pt>
                <c:pt idx="10">
                  <c:v>78.965373332485754</c:v>
                </c:pt>
                <c:pt idx="11">
                  <c:v>72.512195301898799</c:v>
                </c:pt>
                <c:pt idx="12">
                  <c:v>114.45465063897386</c:v>
                </c:pt>
                <c:pt idx="14">
                  <c:v>69.617694239659457</c:v>
                </c:pt>
                <c:pt idx="15">
                  <c:v>73.975975510995767</c:v>
                </c:pt>
                <c:pt idx="17">
                  <c:v>67.273037071257718</c:v>
                </c:pt>
                <c:pt idx="18">
                  <c:v>58.171584384354901</c:v>
                </c:pt>
                <c:pt idx="20">
                  <c:v>56.067658982299797</c:v>
                </c:pt>
                <c:pt idx="21">
                  <c:v>55.525717526849071</c:v>
                </c:pt>
                <c:pt idx="22">
                  <c:v>54.872399562657506</c:v>
                </c:pt>
                <c:pt idx="23">
                  <c:v>54.483314808265547</c:v>
                </c:pt>
                <c:pt idx="24">
                  <c:v>51.947224662492417</c:v>
                </c:pt>
                <c:pt idx="26">
                  <c:v>48.812914284556363</c:v>
                </c:pt>
                <c:pt idx="28">
                  <c:v>46.969778494605592</c:v>
                </c:pt>
                <c:pt idx="29">
                  <c:v>48.849042436251764</c:v>
                </c:pt>
                <c:pt idx="30">
                  <c:v>46.740682576335431</c:v>
                </c:pt>
                <c:pt idx="31">
                  <c:v>38.752770315097209</c:v>
                </c:pt>
                <c:pt idx="34">
                  <c:v>23.466327330708943</c:v>
                </c:pt>
              </c:numCache>
            </c:numRef>
          </c:yVal>
          <c:smooth val="0"/>
          <c:extLst>
            <c:ext xmlns:c16="http://schemas.microsoft.com/office/drawing/2014/chart" uri="{C3380CC4-5D6E-409C-BE32-E72D297353CC}">
              <c16:uniqueId val="{00000002-54F7-4234-A6BA-27FF6EC091E3}"/>
            </c:ext>
          </c:extLst>
        </c:ser>
        <c:dLbls>
          <c:showLegendKey val="0"/>
          <c:showVal val="0"/>
          <c:showCatName val="0"/>
          <c:showSerName val="0"/>
          <c:showPercent val="0"/>
          <c:showBubbleSize val="0"/>
        </c:dLbls>
        <c:axId val="1128732448"/>
        <c:axId val="1128845728"/>
      </c:scatterChart>
      <c:scatterChart>
        <c:scatterStyle val="lineMarker"/>
        <c:varyColors val="0"/>
        <c:ser>
          <c:idx val="3"/>
          <c:order val="3"/>
          <c:tx>
            <c:v>DUMMY</c:v>
          </c:tx>
          <c:spPr>
            <a:ln w="25400" cap="rnd">
              <a:noFill/>
              <a:round/>
            </a:ln>
            <a:effectLst/>
          </c:spPr>
          <c:marker>
            <c:symbol val="none"/>
          </c:marker>
          <c:yVal>
            <c:numLit>
              <c:formatCode>General</c:formatCode>
              <c:ptCount val="1"/>
              <c:pt idx="0">
                <c:v>0</c:v>
              </c:pt>
            </c:numLit>
          </c:yVal>
          <c:smooth val="0"/>
          <c:extLst>
            <c:ext xmlns:c16="http://schemas.microsoft.com/office/drawing/2014/chart" uri="{C3380CC4-5D6E-409C-BE32-E72D297353CC}">
              <c16:uniqueId val="{00000003-54F7-4234-A6BA-27FF6EC091E3}"/>
            </c:ext>
          </c:extLst>
        </c:ser>
        <c:dLbls>
          <c:showLegendKey val="0"/>
          <c:showVal val="0"/>
          <c:showCatName val="0"/>
          <c:showSerName val="0"/>
          <c:showPercent val="0"/>
          <c:showBubbleSize val="0"/>
        </c:dLbls>
        <c:axId val="1233651711"/>
        <c:axId val="1233649791"/>
      </c:scatterChart>
      <c:catAx>
        <c:axId val="1128732448"/>
        <c:scaling>
          <c:orientation val="minMax"/>
        </c:scaling>
        <c:delete val="0"/>
        <c:axPos val="b"/>
        <c:numFmt formatCode="General" sourceLinked="1"/>
        <c:majorTickMark val="out"/>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128845728"/>
        <c:crosses val="autoZero"/>
        <c:auto val="1"/>
        <c:lblAlgn val="ctr"/>
        <c:lblOffset val="100"/>
        <c:noMultiLvlLbl val="0"/>
      </c:catAx>
      <c:valAx>
        <c:axId val="1128845728"/>
        <c:scaling>
          <c:orientation val="minMax"/>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sz="800"/>
                  <a:t>Per cent</a:t>
                </a:r>
              </a:p>
            </c:rich>
          </c:tx>
          <c:layout>
            <c:manualLayout>
              <c:xMode val="edge"/>
              <c:yMode val="edge"/>
              <c:x val="1.5964041436617915E-3"/>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1"/>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128732448"/>
        <c:crosses val="autoZero"/>
        <c:crossBetween val="between"/>
      </c:valAx>
      <c:valAx>
        <c:axId val="1233649791"/>
        <c:scaling>
          <c:orientation val="minMax"/>
          <c:max val="180"/>
          <c:min val="0"/>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sz="800"/>
                  <a:t>Per cent</a:t>
                </a:r>
              </a:p>
            </c:rich>
          </c:tx>
          <c:layout>
            <c:manualLayout>
              <c:xMode val="edge"/>
              <c:yMode val="edge"/>
              <c:x val="0.91907022908650859"/>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233651711"/>
        <c:crosses val="max"/>
        <c:crossBetween val="midCat"/>
        <c:majorUnit val="20"/>
        <c:minorUnit val="4"/>
      </c:valAx>
      <c:valAx>
        <c:axId val="1233651711"/>
        <c:scaling>
          <c:orientation val="minMax"/>
        </c:scaling>
        <c:delete val="1"/>
        <c:axPos val="b"/>
        <c:majorTickMark val="out"/>
        <c:minorTickMark val="none"/>
        <c:tickLblPos val="nextTo"/>
        <c:crossAx val="1233649791"/>
        <c:crosses val="autoZero"/>
        <c:crossBetween val="midCat"/>
      </c:valAx>
      <c:spPr>
        <a:noFill/>
        <a:ln w="25400">
          <a:noFill/>
        </a:ln>
        <a:effectLst/>
        <a:extLst>
          <a:ext uri="{909E8E84-426E-40DD-AFC4-6F175D3DCCD1}">
            <a14:hiddenFill xmlns:a14="http://schemas.microsoft.com/office/drawing/2010/main">
              <a:noFill/>
            </a14:hiddenFill>
          </a:ext>
        </a:extLst>
      </c:spPr>
    </c:plotArea>
    <c:legend>
      <c:legendPos val="b"/>
      <c:legendEntry>
        <c:idx val="3"/>
        <c:delete val="1"/>
      </c:legendEntry>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656106160120116E-2"/>
          <c:y val="8.9081392721765268E-2"/>
          <c:w val="0.87257273747822361"/>
          <c:h val="0.82478641418494314"/>
        </c:manualLayout>
      </c:layout>
      <c:barChart>
        <c:barDir val="col"/>
        <c:grouping val="clustered"/>
        <c:varyColors val="0"/>
        <c:ser>
          <c:idx val="0"/>
          <c:order val="0"/>
          <c:tx>
            <c:strRef>
              <c:f>Sheet1!$F$1</c:f>
              <c:strCache>
                <c:ptCount val="1"/>
                <c:pt idx="0">
                  <c:v>Market sector</c:v>
                </c:pt>
              </c:strCache>
            </c:strRef>
          </c:tx>
          <c:spPr>
            <a:solidFill>
              <a:schemeClr val="tx2"/>
            </a:solidFill>
            <a:ln>
              <a:noFill/>
            </a:ln>
            <a:effectLst/>
          </c:spPr>
          <c:invertIfNegative val="0"/>
          <c:cat>
            <c:strRef>
              <c:f>Sheet1!$E$2:$E$7</c:f>
              <c:strCache>
                <c:ptCount val="6"/>
                <c:pt idx="0">
                  <c:v>1995-1999</c:v>
                </c:pt>
                <c:pt idx="1">
                  <c:v>2000-2004</c:v>
                </c:pt>
                <c:pt idx="2">
                  <c:v>2005-2009</c:v>
                </c:pt>
                <c:pt idx="3">
                  <c:v>2010-2014</c:v>
                </c:pt>
                <c:pt idx="4">
                  <c:v>2015-2019</c:v>
                </c:pt>
                <c:pt idx="5">
                  <c:v>2020-2024</c:v>
                </c:pt>
              </c:strCache>
            </c:strRef>
          </c:cat>
          <c:val>
            <c:numRef>
              <c:f>Sheet1!$F$2:$F$7</c:f>
              <c:numCache>
                <c:formatCode>0.00</c:formatCode>
                <c:ptCount val="6"/>
                <c:pt idx="0">
                  <c:v>3.0200000000000005</c:v>
                </c:pt>
                <c:pt idx="1">
                  <c:v>2.0999999999999996</c:v>
                </c:pt>
                <c:pt idx="2">
                  <c:v>1.58</c:v>
                </c:pt>
                <c:pt idx="3">
                  <c:v>2.2000000000000002</c:v>
                </c:pt>
                <c:pt idx="4">
                  <c:v>0.93999999999999984</c:v>
                </c:pt>
                <c:pt idx="5">
                  <c:v>0.21999999999999997</c:v>
                </c:pt>
              </c:numCache>
            </c:numRef>
          </c:val>
          <c:extLst>
            <c:ext xmlns:c16="http://schemas.microsoft.com/office/drawing/2014/chart" uri="{C3380CC4-5D6E-409C-BE32-E72D297353CC}">
              <c16:uniqueId val="{00000000-D94B-4341-8EDE-9C271CDE09AB}"/>
            </c:ext>
          </c:extLst>
        </c:ser>
        <c:ser>
          <c:idx val="1"/>
          <c:order val="1"/>
          <c:tx>
            <c:strRef>
              <c:f>Sheet1!$G$1</c:f>
              <c:strCache>
                <c:ptCount val="1"/>
                <c:pt idx="0">
                  <c:v>Non-market sector</c:v>
                </c:pt>
              </c:strCache>
            </c:strRef>
          </c:tx>
          <c:spPr>
            <a:solidFill>
              <a:srgbClr val="FF0000"/>
            </a:solidFill>
            <a:ln>
              <a:noFill/>
            </a:ln>
            <a:effectLst/>
          </c:spPr>
          <c:invertIfNegative val="0"/>
          <c:cat>
            <c:strRef>
              <c:f>Sheet1!$E$2:$E$7</c:f>
              <c:strCache>
                <c:ptCount val="6"/>
                <c:pt idx="0">
                  <c:v>1995-1999</c:v>
                </c:pt>
                <c:pt idx="1">
                  <c:v>2000-2004</c:v>
                </c:pt>
                <c:pt idx="2">
                  <c:v>2005-2009</c:v>
                </c:pt>
                <c:pt idx="3">
                  <c:v>2010-2014</c:v>
                </c:pt>
                <c:pt idx="4">
                  <c:v>2015-2019</c:v>
                </c:pt>
                <c:pt idx="5">
                  <c:v>2020-2024</c:v>
                </c:pt>
              </c:strCache>
            </c:strRef>
          </c:cat>
          <c:val>
            <c:numRef>
              <c:f>Sheet1!$G$2:$G$7</c:f>
              <c:numCache>
                <c:formatCode>0.00</c:formatCode>
                <c:ptCount val="6"/>
                <c:pt idx="0">
                  <c:v>1.8</c:v>
                </c:pt>
                <c:pt idx="1">
                  <c:v>1.06</c:v>
                </c:pt>
                <c:pt idx="2">
                  <c:v>0.32</c:v>
                </c:pt>
                <c:pt idx="3">
                  <c:v>0.22000000000000003</c:v>
                </c:pt>
                <c:pt idx="4">
                  <c:v>0.55999999999999994</c:v>
                </c:pt>
                <c:pt idx="5">
                  <c:v>-0.9</c:v>
                </c:pt>
              </c:numCache>
            </c:numRef>
          </c:val>
          <c:extLst>
            <c:ext xmlns:c16="http://schemas.microsoft.com/office/drawing/2014/chart" uri="{C3380CC4-5D6E-409C-BE32-E72D297353CC}">
              <c16:uniqueId val="{00000001-D94B-4341-8EDE-9C271CDE09AB}"/>
            </c:ext>
          </c:extLst>
        </c:ser>
        <c:dLbls>
          <c:showLegendKey val="0"/>
          <c:showVal val="0"/>
          <c:showCatName val="0"/>
          <c:showSerName val="0"/>
          <c:showPercent val="0"/>
          <c:showBubbleSize val="0"/>
        </c:dLbls>
        <c:gapWidth val="50"/>
        <c:overlap val="-27"/>
        <c:axId val="651767631"/>
        <c:axId val="651780111"/>
      </c:barChart>
      <c:barChart>
        <c:barDir val="col"/>
        <c:grouping val="clustered"/>
        <c:varyColors val="0"/>
        <c:ser>
          <c:idx val="2"/>
          <c:order val="2"/>
          <c:tx>
            <c:v>DUMMY</c:v>
          </c:tx>
          <c:spPr>
            <a:noFill/>
            <a:ln>
              <a:noFill/>
            </a:ln>
            <a:effectLst/>
            <a:extLst>
              <a:ext uri="{909E8E84-426E-40DD-AFC4-6F175D3DCCD1}">
                <a14:hiddenFill xmlns:a14="http://schemas.microsoft.com/office/drawing/2010/main">
                  <a:solidFill>
                    <a:srgbClr val="3A6FAF"/>
                  </a:solidFill>
                </a14:hiddenFill>
              </a:ext>
              <a:ext uri="{91240B29-F687-4F45-9708-019B960494DF}">
                <a14:hiddenLine xmlns:a14="http://schemas.microsoft.com/office/drawing/2010/main">
                  <a:noFill/>
                </a14:hiddenLine>
              </a:ext>
            </a:extLst>
          </c:spPr>
          <c:invertIfNegative val="0"/>
          <c:val>
            <c:numLit>
              <c:formatCode>General</c:formatCode>
              <c:ptCount val="1"/>
              <c:pt idx="0">
                <c:v>0</c:v>
              </c:pt>
            </c:numLit>
          </c:val>
          <c:extLst>
            <c:ext xmlns:c16="http://schemas.microsoft.com/office/drawing/2014/chart" uri="{C3380CC4-5D6E-409C-BE32-E72D297353CC}">
              <c16:uniqueId val="{00000002-D94B-4341-8EDE-9C271CDE09AB}"/>
            </c:ext>
          </c:extLst>
        </c:ser>
        <c:dLbls>
          <c:showLegendKey val="0"/>
          <c:showVal val="0"/>
          <c:showCatName val="0"/>
          <c:showSerName val="0"/>
          <c:showPercent val="0"/>
          <c:showBubbleSize val="0"/>
        </c:dLbls>
        <c:gapWidth val="219"/>
        <c:overlap val="-27"/>
        <c:axId val="1094317903"/>
        <c:axId val="1094323663"/>
      </c:barChart>
      <c:catAx>
        <c:axId val="651767631"/>
        <c:scaling>
          <c:orientation val="minMax"/>
        </c:scaling>
        <c:delete val="0"/>
        <c:axPos val="b"/>
        <c:numFmt formatCode="General" sourceLinked="1"/>
        <c:majorTickMark val="cross"/>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51780111"/>
        <c:crosses val="autoZero"/>
        <c:auto val="1"/>
        <c:lblAlgn val="ctr"/>
        <c:lblOffset val="100"/>
        <c:noMultiLvlLbl val="0"/>
      </c:catAx>
      <c:valAx>
        <c:axId val="651780111"/>
        <c:scaling>
          <c:orientation val="minMax"/>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Per cent</a:t>
                </a:r>
              </a:p>
            </c:rich>
          </c:tx>
          <c:layout>
            <c:manualLayout>
              <c:xMode val="edge"/>
              <c:yMode val="edge"/>
              <c:x val="2.2759856630824374E-3"/>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51767631"/>
        <c:crosses val="autoZero"/>
        <c:crossBetween val="between"/>
      </c:valAx>
      <c:valAx>
        <c:axId val="1094323663"/>
        <c:scaling>
          <c:orientation val="minMax"/>
          <c:max val="3.5"/>
          <c:min val="-1.5"/>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Per cent</a:t>
                </a:r>
              </a:p>
            </c:rich>
          </c:tx>
          <c:layout>
            <c:manualLayout>
              <c:xMode val="edge"/>
              <c:yMode val="edge"/>
              <c:x val="0.91851971326164872"/>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094317903"/>
        <c:crosses val="max"/>
        <c:crossBetween val="between"/>
        <c:majorUnit val="0.5"/>
        <c:minorUnit val="0.1"/>
      </c:valAx>
      <c:catAx>
        <c:axId val="1094317903"/>
        <c:scaling>
          <c:orientation val="minMax"/>
        </c:scaling>
        <c:delete val="1"/>
        <c:axPos val="b"/>
        <c:majorTickMark val="out"/>
        <c:minorTickMark val="none"/>
        <c:tickLblPos val="nextTo"/>
        <c:crossAx val="1094323663"/>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9.1039426523297495E-3"/>
          <c:y val="4.2443434343434339E-2"/>
          <c:w val="0.98594157706093188"/>
          <c:h val="0.95755656565656566"/>
        </c:manualLayout>
      </c:layout>
      <c:lineChart>
        <c:grouping val="standard"/>
        <c:varyColors val="0"/>
        <c:ser>
          <c:idx val="1"/>
          <c:order val="0"/>
          <c:tx>
            <c:strRef>
              <c:f>'CFT calcs - 260209'!$G$2</c:f>
              <c:strCache>
                <c:ptCount val="1"/>
                <c:pt idx="0">
                  <c:v>Prod (nat accounts)</c:v>
                </c:pt>
              </c:strCache>
            </c:strRef>
          </c:tx>
          <c:spPr>
            <a:ln w="28575" cap="rnd">
              <a:solidFill>
                <a:schemeClr val="accent2"/>
              </a:solidFill>
              <a:round/>
            </a:ln>
            <a:effectLst/>
          </c:spPr>
          <c:marker>
            <c:symbol val="none"/>
          </c:marker>
          <c:cat>
            <c:numRef>
              <c:f>'CFT calcs - 260209'!$A$3:$A$72</c:f>
              <c:numCache>
                <c:formatCode>m/d/yyyy</c:formatCode>
                <c:ptCount val="70"/>
                <c:pt idx="0">
                  <c:v>39600</c:v>
                </c:pt>
                <c:pt idx="1">
                  <c:v>39692</c:v>
                </c:pt>
                <c:pt idx="2">
                  <c:v>39783</c:v>
                </c:pt>
                <c:pt idx="3">
                  <c:v>39873</c:v>
                </c:pt>
                <c:pt idx="4">
                  <c:v>39965</c:v>
                </c:pt>
                <c:pt idx="5">
                  <c:v>40057</c:v>
                </c:pt>
                <c:pt idx="6">
                  <c:v>40148</c:v>
                </c:pt>
                <c:pt idx="7">
                  <c:v>40238</c:v>
                </c:pt>
                <c:pt idx="8">
                  <c:v>40330</c:v>
                </c:pt>
                <c:pt idx="9">
                  <c:v>40422</c:v>
                </c:pt>
                <c:pt idx="10">
                  <c:v>40513</c:v>
                </c:pt>
                <c:pt idx="11">
                  <c:v>40603</c:v>
                </c:pt>
                <c:pt idx="12">
                  <c:v>40695</c:v>
                </c:pt>
                <c:pt idx="13">
                  <c:v>40787</c:v>
                </c:pt>
                <c:pt idx="14">
                  <c:v>40878</c:v>
                </c:pt>
                <c:pt idx="15">
                  <c:v>40969</c:v>
                </c:pt>
                <c:pt idx="16">
                  <c:v>41061</c:v>
                </c:pt>
                <c:pt idx="17">
                  <c:v>41153</c:v>
                </c:pt>
                <c:pt idx="18">
                  <c:v>41244</c:v>
                </c:pt>
                <c:pt idx="19">
                  <c:v>41334</c:v>
                </c:pt>
                <c:pt idx="20">
                  <c:v>41426</c:v>
                </c:pt>
                <c:pt idx="21">
                  <c:v>41518</c:v>
                </c:pt>
                <c:pt idx="22">
                  <c:v>41609</c:v>
                </c:pt>
                <c:pt idx="23">
                  <c:v>41699</c:v>
                </c:pt>
                <c:pt idx="24">
                  <c:v>41791</c:v>
                </c:pt>
                <c:pt idx="25">
                  <c:v>41883</c:v>
                </c:pt>
                <c:pt idx="26">
                  <c:v>41974</c:v>
                </c:pt>
                <c:pt idx="27">
                  <c:v>42064</c:v>
                </c:pt>
                <c:pt idx="28">
                  <c:v>42156</c:v>
                </c:pt>
                <c:pt idx="29">
                  <c:v>42248</c:v>
                </c:pt>
                <c:pt idx="30">
                  <c:v>42339</c:v>
                </c:pt>
                <c:pt idx="31">
                  <c:v>42430</c:v>
                </c:pt>
                <c:pt idx="32">
                  <c:v>42522</c:v>
                </c:pt>
                <c:pt idx="33">
                  <c:v>42614</c:v>
                </c:pt>
                <c:pt idx="34">
                  <c:v>42705</c:v>
                </c:pt>
                <c:pt idx="35">
                  <c:v>42795</c:v>
                </c:pt>
                <c:pt idx="36">
                  <c:v>42887</c:v>
                </c:pt>
                <c:pt idx="37">
                  <c:v>42979</c:v>
                </c:pt>
                <c:pt idx="38">
                  <c:v>43070</c:v>
                </c:pt>
                <c:pt idx="39">
                  <c:v>43160</c:v>
                </c:pt>
                <c:pt idx="40">
                  <c:v>43252</c:v>
                </c:pt>
                <c:pt idx="41">
                  <c:v>43344</c:v>
                </c:pt>
                <c:pt idx="42">
                  <c:v>43435</c:v>
                </c:pt>
                <c:pt idx="43">
                  <c:v>43525</c:v>
                </c:pt>
                <c:pt idx="44">
                  <c:v>43617</c:v>
                </c:pt>
                <c:pt idx="45">
                  <c:v>43709</c:v>
                </c:pt>
                <c:pt idx="46">
                  <c:v>43800</c:v>
                </c:pt>
                <c:pt idx="47">
                  <c:v>43891</c:v>
                </c:pt>
                <c:pt idx="48">
                  <c:v>43983</c:v>
                </c:pt>
                <c:pt idx="49">
                  <c:v>44075</c:v>
                </c:pt>
                <c:pt idx="50">
                  <c:v>44166</c:v>
                </c:pt>
                <c:pt idx="51">
                  <c:v>44256</c:v>
                </c:pt>
                <c:pt idx="52">
                  <c:v>44348</c:v>
                </c:pt>
                <c:pt idx="53">
                  <c:v>44440</c:v>
                </c:pt>
                <c:pt idx="54">
                  <c:v>44531</c:v>
                </c:pt>
                <c:pt idx="55">
                  <c:v>44621</c:v>
                </c:pt>
                <c:pt idx="56">
                  <c:v>44713</c:v>
                </c:pt>
                <c:pt idx="57">
                  <c:v>44805</c:v>
                </c:pt>
                <c:pt idx="58">
                  <c:v>44896</c:v>
                </c:pt>
                <c:pt idx="59">
                  <c:v>44986</c:v>
                </c:pt>
                <c:pt idx="60">
                  <c:v>45078</c:v>
                </c:pt>
                <c:pt idx="61">
                  <c:v>45170</c:v>
                </c:pt>
                <c:pt idx="62">
                  <c:v>45261</c:v>
                </c:pt>
                <c:pt idx="63">
                  <c:v>45352</c:v>
                </c:pt>
                <c:pt idx="64">
                  <c:v>45444</c:v>
                </c:pt>
                <c:pt idx="65">
                  <c:v>45536</c:v>
                </c:pt>
                <c:pt idx="66">
                  <c:v>45627</c:v>
                </c:pt>
                <c:pt idx="67">
                  <c:v>45717</c:v>
                </c:pt>
                <c:pt idx="68">
                  <c:v>45809</c:v>
                </c:pt>
                <c:pt idx="69">
                  <c:v>45901</c:v>
                </c:pt>
              </c:numCache>
            </c:numRef>
          </c:cat>
          <c:val>
            <c:numRef>
              <c:f>'CFT calcs - 260209'!$G$3:$G$72</c:f>
              <c:numCache>
                <c:formatCode>General</c:formatCode>
                <c:ptCount val="70"/>
                <c:pt idx="0">
                  <c:v>86.860581745235692</c:v>
                </c:pt>
                <c:pt idx="1">
                  <c:v>87.061183550651961</c:v>
                </c:pt>
                <c:pt idx="2">
                  <c:v>87.261785356068202</c:v>
                </c:pt>
                <c:pt idx="3">
                  <c:v>88.565697091273819</c:v>
                </c:pt>
                <c:pt idx="4">
                  <c:v>89.769307923771308</c:v>
                </c:pt>
                <c:pt idx="5">
                  <c:v>90.371113340020045</c:v>
                </c:pt>
                <c:pt idx="6">
                  <c:v>90.170511534603818</c:v>
                </c:pt>
                <c:pt idx="7">
                  <c:v>90.170511534603818</c:v>
                </c:pt>
                <c:pt idx="8">
                  <c:v>89.669007021063194</c:v>
                </c:pt>
                <c:pt idx="9">
                  <c:v>89.969909729187563</c:v>
                </c:pt>
                <c:pt idx="10">
                  <c:v>89.969909729187563</c:v>
                </c:pt>
                <c:pt idx="11">
                  <c:v>88.76629889669006</c:v>
                </c:pt>
                <c:pt idx="12">
                  <c:v>90.270812437311932</c:v>
                </c:pt>
                <c:pt idx="13">
                  <c:v>91.27382146439318</c:v>
                </c:pt>
                <c:pt idx="14">
                  <c:v>91.775325977933804</c:v>
                </c:pt>
                <c:pt idx="15">
                  <c:v>92.377131394182541</c:v>
                </c:pt>
                <c:pt idx="16">
                  <c:v>93.07923771313942</c:v>
                </c:pt>
                <c:pt idx="17">
                  <c:v>93.881644934804413</c:v>
                </c:pt>
                <c:pt idx="18">
                  <c:v>93.881644934804413</c:v>
                </c:pt>
                <c:pt idx="19">
                  <c:v>94.182547642928796</c:v>
                </c:pt>
                <c:pt idx="20">
                  <c:v>94.082246740220654</c:v>
                </c:pt>
                <c:pt idx="21">
                  <c:v>94.684052156469406</c:v>
                </c:pt>
                <c:pt idx="22">
                  <c:v>95.787362086258781</c:v>
                </c:pt>
                <c:pt idx="23">
                  <c:v>96.589769307923774</c:v>
                </c:pt>
                <c:pt idx="24">
                  <c:v>96.589769307923774</c:v>
                </c:pt>
                <c:pt idx="25">
                  <c:v>96.790371113340015</c:v>
                </c:pt>
                <c:pt idx="26">
                  <c:v>97.291875626880639</c:v>
                </c:pt>
                <c:pt idx="27">
                  <c:v>97.291875626880639</c:v>
                </c:pt>
                <c:pt idx="28">
                  <c:v>96.99097291875627</c:v>
                </c:pt>
                <c:pt idx="29">
                  <c:v>97.49247743229688</c:v>
                </c:pt>
                <c:pt idx="30">
                  <c:v>97.592778335005022</c:v>
                </c:pt>
                <c:pt idx="31">
                  <c:v>98.194583751253759</c:v>
                </c:pt>
                <c:pt idx="32">
                  <c:v>98.996990972918752</c:v>
                </c:pt>
                <c:pt idx="33">
                  <c:v>98.595787362086256</c:v>
                </c:pt>
                <c:pt idx="34">
                  <c:v>99.398194583751248</c:v>
                </c:pt>
                <c:pt idx="35">
                  <c:v>98.595787362086256</c:v>
                </c:pt>
                <c:pt idx="36">
                  <c:v>98.495486459378128</c:v>
                </c:pt>
                <c:pt idx="37">
                  <c:v>98.796389167502511</c:v>
                </c:pt>
                <c:pt idx="38">
                  <c:v>98.495486459378128</c:v>
                </c:pt>
                <c:pt idx="39">
                  <c:v>99.398194583751248</c:v>
                </c:pt>
                <c:pt idx="40">
                  <c:v>99.398194583751248</c:v>
                </c:pt>
                <c:pt idx="41">
                  <c:v>99.297893681043121</c:v>
                </c:pt>
                <c:pt idx="42">
                  <c:v>99.297893681043121</c:v>
                </c:pt>
                <c:pt idx="43">
                  <c:v>98.796389167502511</c:v>
                </c:pt>
                <c:pt idx="44">
                  <c:v>99.398194583751248</c:v>
                </c:pt>
                <c:pt idx="45">
                  <c:v>99.398194583751248</c:v>
                </c:pt>
                <c:pt idx="46">
                  <c:v>100</c:v>
                </c:pt>
                <c:pt idx="47">
                  <c:v>101.10330992978935</c:v>
                </c:pt>
                <c:pt idx="48">
                  <c:v>102.50752256770311</c:v>
                </c:pt>
                <c:pt idx="49">
                  <c:v>101.60481444332999</c:v>
                </c:pt>
                <c:pt idx="50">
                  <c:v>102.30692076228686</c:v>
                </c:pt>
                <c:pt idx="51">
                  <c:v>103.51053159478437</c:v>
                </c:pt>
                <c:pt idx="52">
                  <c:v>102.60782347041122</c:v>
                </c:pt>
                <c:pt idx="53">
                  <c:v>103.51053159478437</c:v>
                </c:pt>
                <c:pt idx="54">
                  <c:v>104.41323971915746</c:v>
                </c:pt>
                <c:pt idx="55">
                  <c:v>105.31594784353059</c:v>
                </c:pt>
                <c:pt idx="56">
                  <c:v>102.90872617853559</c:v>
                </c:pt>
                <c:pt idx="57">
                  <c:v>101.70511534603813</c:v>
                </c:pt>
                <c:pt idx="58">
                  <c:v>100.60180541624875</c:v>
                </c:pt>
                <c:pt idx="59">
                  <c:v>100</c:v>
                </c:pt>
                <c:pt idx="60">
                  <c:v>98.696088264794383</c:v>
                </c:pt>
                <c:pt idx="61">
                  <c:v>100</c:v>
                </c:pt>
                <c:pt idx="62">
                  <c:v>100.50150451354062</c:v>
                </c:pt>
                <c:pt idx="63">
                  <c:v>100.70210631895687</c:v>
                </c:pt>
                <c:pt idx="64">
                  <c:v>100</c:v>
                </c:pt>
                <c:pt idx="65">
                  <c:v>99.498495486459376</c:v>
                </c:pt>
                <c:pt idx="66">
                  <c:v>99.498495486459376</c:v>
                </c:pt>
                <c:pt idx="67">
                  <c:v>99.699097291875631</c:v>
                </c:pt>
                <c:pt idx="68">
                  <c:v>100.10030090270811</c:v>
                </c:pt>
                <c:pt idx="69">
                  <c:v>100.20060180541626</c:v>
                </c:pt>
              </c:numCache>
            </c:numRef>
          </c:val>
          <c:smooth val="0"/>
          <c:extLst>
            <c:ext xmlns:c16="http://schemas.microsoft.com/office/drawing/2014/chart" uri="{C3380CC4-5D6E-409C-BE32-E72D297353CC}">
              <c16:uniqueId val="{00000000-F309-4FAC-88FE-4D19197E5326}"/>
            </c:ext>
          </c:extLst>
        </c:ser>
        <c:ser>
          <c:idx val="2"/>
          <c:order val="1"/>
          <c:tx>
            <c:strRef>
              <c:f>'CFT calcs - 260209'!$H$2</c:f>
              <c:strCache>
                <c:ptCount val="1"/>
                <c:pt idx="0">
                  <c:v>Capital to labour ratio (Labour account)</c:v>
                </c:pt>
              </c:strCache>
            </c:strRef>
          </c:tx>
          <c:spPr>
            <a:ln w="28575" cap="rnd">
              <a:solidFill>
                <a:schemeClr val="accent1"/>
              </a:solidFill>
              <a:round/>
            </a:ln>
            <a:effectLst/>
          </c:spPr>
          <c:marker>
            <c:symbol val="none"/>
          </c:marker>
          <c:cat>
            <c:numRef>
              <c:f>'CFT calcs - 260209'!$A$3:$A$72</c:f>
              <c:numCache>
                <c:formatCode>m/d/yyyy</c:formatCode>
                <c:ptCount val="70"/>
                <c:pt idx="0">
                  <c:v>39600</c:v>
                </c:pt>
                <c:pt idx="1">
                  <c:v>39692</c:v>
                </c:pt>
                <c:pt idx="2">
                  <c:v>39783</c:v>
                </c:pt>
                <c:pt idx="3">
                  <c:v>39873</c:v>
                </c:pt>
                <c:pt idx="4">
                  <c:v>39965</c:v>
                </c:pt>
                <c:pt idx="5">
                  <c:v>40057</c:v>
                </c:pt>
                <c:pt idx="6">
                  <c:v>40148</c:v>
                </c:pt>
                <c:pt idx="7">
                  <c:v>40238</c:v>
                </c:pt>
                <c:pt idx="8">
                  <c:v>40330</c:v>
                </c:pt>
                <c:pt idx="9">
                  <c:v>40422</c:v>
                </c:pt>
                <c:pt idx="10">
                  <c:v>40513</c:v>
                </c:pt>
                <c:pt idx="11">
                  <c:v>40603</c:v>
                </c:pt>
                <c:pt idx="12">
                  <c:v>40695</c:v>
                </c:pt>
                <c:pt idx="13">
                  <c:v>40787</c:v>
                </c:pt>
                <c:pt idx="14">
                  <c:v>40878</c:v>
                </c:pt>
                <c:pt idx="15">
                  <c:v>40969</c:v>
                </c:pt>
                <c:pt idx="16">
                  <c:v>41061</c:v>
                </c:pt>
                <c:pt idx="17">
                  <c:v>41153</c:v>
                </c:pt>
                <c:pt idx="18">
                  <c:v>41244</c:v>
                </c:pt>
                <c:pt idx="19">
                  <c:v>41334</c:v>
                </c:pt>
                <c:pt idx="20">
                  <c:v>41426</c:v>
                </c:pt>
                <c:pt idx="21">
                  <c:v>41518</c:v>
                </c:pt>
                <c:pt idx="22">
                  <c:v>41609</c:v>
                </c:pt>
                <c:pt idx="23">
                  <c:v>41699</c:v>
                </c:pt>
                <c:pt idx="24">
                  <c:v>41791</c:v>
                </c:pt>
                <c:pt idx="25">
                  <c:v>41883</c:v>
                </c:pt>
                <c:pt idx="26">
                  <c:v>41974</c:v>
                </c:pt>
                <c:pt idx="27">
                  <c:v>42064</c:v>
                </c:pt>
                <c:pt idx="28">
                  <c:v>42156</c:v>
                </c:pt>
                <c:pt idx="29">
                  <c:v>42248</c:v>
                </c:pt>
                <c:pt idx="30">
                  <c:v>42339</c:v>
                </c:pt>
                <c:pt idx="31">
                  <c:v>42430</c:v>
                </c:pt>
                <c:pt idx="32">
                  <c:v>42522</c:v>
                </c:pt>
                <c:pt idx="33">
                  <c:v>42614</c:v>
                </c:pt>
                <c:pt idx="34">
                  <c:v>42705</c:v>
                </c:pt>
                <c:pt idx="35">
                  <c:v>42795</c:v>
                </c:pt>
                <c:pt idx="36">
                  <c:v>42887</c:v>
                </c:pt>
                <c:pt idx="37">
                  <c:v>42979</c:v>
                </c:pt>
                <c:pt idx="38">
                  <c:v>43070</c:v>
                </c:pt>
                <c:pt idx="39">
                  <c:v>43160</c:v>
                </c:pt>
                <c:pt idx="40">
                  <c:v>43252</c:v>
                </c:pt>
                <c:pt idx="41">
                  <c:v>43344</c:v>
                </c:pt>
                <c:pt idx="42">
                  <c:v>43435</c:v>
                </c:pt>
                <c:pt idx="43">
                  <c:v>43525</c:v>
                </c:pt>
                <c:pt idx="44">
                  <c:v>43617</c:v>
                </c:pt>
                <c:pt idx="45">
                  <c:v>43709</c:v>
                </c:pt>
                <c:pt idx="46">
                  <c:v>43800</c:v>
                </c:pt>
                <c:pt idx="47">
                  <c:v>43891</c:v>
                </c:pt>
                <c:pt idx="48">
                  <c:v>43983</c:v>
                </c:pt>
                <c:pt idx="49">
                  <c:v>44075</c:v>
                </c:pt>
                <c:pt idx="50">
                  <c:v>44166</c:v>
                </c:pt>
                <c:pt idx="51">
                  <c:v>44256</c:v>
                </c:pt>
                <c:pt idx="52">
                  <c:v>44348</c:v>
                </c:pt>
                <c:pt idx="53">
                  <c:v>44440</c:v>
                </c:pt>
                <c:pt idx="54">
                  <c:v>44531</c:v>
                </c:pt>
                <c:pt idx="55">
                  <c:v>44621</c:v>
                </c:pt>
                <c:pt idx="56">
                  <c:v>44713</c:v>
                </c:pt>
                <c:pt idx="57">
                  <c:v>44805</c:v>
                </c:pt>
                <c:pt idx="58">
                  <c:v>44896</c:v>
                </c:pt>
                <c:pt idx="59">
                  <c:v>44986</c:v>
                </c:pt>
                <c:pt idx="60">
                  <c:v>45078</c:v>
                </c:pt>
                <c:pt idx="61">
                  <c:v>45170</c:v>
                </c:pt>
                <c:pt idx="62">
                  <c:v>45261</c:v>
                </c:pt>
                <c:pt idx="63">
                  <c:v>45352</c:v>
                </c:pt>
                <c:pt idx="64">
                  <c:v>45444</c:v>
                </c:pt>
                <c:pt idx="65">
                  <c:v>45536</c:v>
                </c:pt>
                <c:pt idx="66">
                  <c:v>45627</c:v>
                </c:pt>
                <c:pt idx="67">
                  <c:v>45717</c:v>
                </c:pt>
                <c:pt idx="68">
                  <c:v>45809</c:v>
                </c:pt>
                <c:pt idx="69">
                  <c:v>45901</c:v>
                </c:pt>
              </c:numCache>
            </c:numRef>
          </c:cat>
          <c:val>
            <c:numRef>
              <c:f>'CFT calcs - 260209'!$H$3:$H$72</c:f>
              <c:numCache>
                <c:formatCode>General</c:formatCode>
                <c:ptCount val="70"/>
                <c:pt idx="0">
                  <c:v>82.843330792800757</c:v>
                </c:pt>
                <c:pt idx="1">
                  <c:v>83.254280118043965</c:v>
                </c:pt>
                <c:pt idx="2">
                  <c:v>84.595106611440727</c:v>
                </c:pt>
                <c:pt idx="3">
                  <c:v>85.760947492711352</c:v>
                </c:pt>
                <c:pt idx="4">
                  <c:v>87.149454383696863</c:v>
                </c:pt>
                <c:pt idx="5">
                  <c:v>88.128233256675827</c:v>
                </c:pt>
                <c:pt idx="6">
                  <c:v>87.986827687751344</c:v>
                </c:pt>
                <c:pt idx="7">
                  <c:v>88.450609157579265</c:v>
                </c:pt>
                <c:pt idx="8">
                  <c:v>88.137763303783345</c:v>
                </c:pt>
                <c:pt idx="9">
                  <c:v>88.54949190369372</c:v>
                </c:pt>
                <c:pt idx="10">
                  <c:v>88.561803297417896</c:v>
                </c:pt>
                <c:pt idx="11">
                  <c:v>88.38285797329236</c:v>
                </c:pt>
                <c:pt idx="12">
                  <c:v>89.638715695567257</c:v>
                </c:pt>
                <c:pt idx="13">
                  <c:v>90.247575982994192</c:v>
                </c:pt>
                <c:pt idx="14">
                  <c:v>90.574364960485482</c:v>
                </c:pt>
                <c:pt idx="15">
                  <c:v>91.124900793488763</c:v>
                </c:pt>
                <c:pt idx="16">
                  <c:v>92.091486608600491</c:v>
                </c:pt>
                <c:pt idx="17">
                  <c:v>93.267980048967175</c:v>
                </c:pt>
                <c:pt idx="18">
                  <c:v>93.810162358642273</c:v>
                </c:pt>
                <c:pt idx="19">
                  <c:v>94.557535487836773</c:v>
                </c:pt>
                <c:pt idx="20">
                  <c:v>94.865933133011794</c:v>
                </c:pt>
                <c:pt idx="21">
                  <c:v>95.496293728880644</c:v>
                </c:pt>
                <c:pt idx="22">
                  <c:v>96.655766284101048</c:v>
                </c:pt>
                <c:pt idx="23">
                  <c:v>97.579794109101911</c:v>
                </c:pt>
                <c:pt idx="24">
                  <c:v>97.803292221198262</c:v>
                </c:pt>
                <c:pt idx="25">
                  <c:v>98.365803838186892</c:v>
                </c:pt>
                <c:pt idx="26">
                  <c:v>99.156731258050399</c:v>
                </c:pt>
                <c:pt idx="27">
                  <c:v>98.809529430337022</c:v>
                </c:pt>
                <c:pt idx="28">
                  <c:v>99.078155304973663</c:v>
                </c:pt>
                <c:pt idx="29">
                  <c:v>99.170890652125038</c:v>
                </c:pt>
                <c:pt idx="30">
                  <c:v>99.14861483391681</c:v>
                </c:pt>
                <c:pt idx="31">
                  <c:v>99.361621618065826</c:v>
                </c:pt>
                <c:pt idx="32">
                  <c:v>100.03127927156035</c:v>
                </c:pt>
                <c:pt idx="33">
                  <c:v>100.09896837005761</c:v>
                </c:pt>
                <c:pt idx="34">
                  <c:v>100.28403699102452</c:v>
                </c:pt>
                <c:pt idx="35">
                  <c:v>99.681708569149009</c:v>
                </c:pt>
                <c:pt idx="36">
                  <c:v>99.443910724310797</c:v>
                </c:pt>
                <c:pt idx="37">
                  <c:v>99.422473964601735</c:v>
                </c:pt>
                <c:pt idx="38">
                  <c:v>99.282049014714829</c:v>
                </c:pt>
                <c:pt idx="39">
                  <c:v>99.681417232259392</c:v>
                </c:pt>
                <c:pt idx="40">
                  <c:v>99.453797786813723</c:v>
                </c:pt>
                <c:pt idx="41">
                  <c:v>99.481609966371508</c:v>
                </c:pt>
                <c:pt idx="42">
                  <c:v>99.767981923899157</c:v>
                </c:pt>
                <c:pt idx="43">
                  <c:v>98.976693717095444</c:v>
                </c:pt>
                <c:pt idx="44">
                  <c:v>99.637290845938736</c:v>
                </c:pt>
                <c:pt idx="45">
                  <c:v>99.571481851084627</c:v>
                </c:pt>
                <c:pt idx="46">
                  <c:v>100</c:v>
                </c:pt>
                <c:pt idx="47">
                  <c:v>101.73078342472712</c:v>
                </c:pt>
                <c:pt idx="48">
                  <c:v>110.95460010001217</c:v>
                </c:pt>
                <c:pt idx="49">
                  <c:v>106.6237135631519</c:v>
                </c:pt>
                <c:pt idx="50">
                  <c:v>104.18209360412706</c:v>
                </c:pt>
                <c:pt idx="51">
                  <c:v>103.62163468799994</c:v>
                </c:pt>
                <c:pt idx="52">
                  <c:v>102.4583318144978</c:v>
                </c:pt>
                <c:pt idx="53">
                  <c:v>105.68444574261319</c:v>
                </c:pt>
                <c:pt idx="54">
                  <c:v>103.44287137380701</c:v>
                </c:pt>
                <c:pt idx="55">
                  <c:v>103.7856426114685</c:v>
                </c:pt>
                <c:pt idx="56">
                  <c:v>100.91881855232681</c:v>
                </c:pt>
                <c:pt idx="57">
                  <c:v>99.769250442631801</c:v>
                </c:pt>
                <c:pt idx="58">
                  <c:v>98.252120782026381</c:v>
                </c:pt>
                <c:pt idx="59">
                  <c:v>97.6962610993033</c:v>
                </c:pt>
                <c:pt idx="60">
                  <c:v>96.510989658927699</c:v>
                </c:pt>
                <c:pt idx="61">
                  <c:v>97.910632476498876</c:v>
                </c:pt>
                <c:pt idx="62">
                  <c:v>98.846662247969491</c:v>
                </c:pt>
                <c:pt idx="63">
                  <c:v>99.286506779902837</c:v>
                </c:pt>
                <c:pt idx="64">
                  <c:v>98.805441568810664</c:v>
                </c:pt>
                <c:pt idx="65">
                  <c:v>98.499646126892486</c:v>
                </c:pt>
                <c:pt idx="66">
                  <c:v>98.511348288553847</c:v>
                </c:pt>
                <c:pt idx="67">
                  <c:v>98.766763239605254</c:v>
                </c:pt>
                <c:pt idx="68">
                  <c:v>98.877086835255454</c:v>
                </c:pt>
                <c:pt idx="69">
                  <c:v>99.153129016730887</c:v>
                </c:pt>
              </c:numCache>
            </c:numRef>
          </c:val>
          <c:smooth val="0"/>
          <c:extLst>
            <c:ext xmlns:c16="http://schemas.microsoft.com/office/drawing/2014/chart" uri="{C3380CC4-5D6E-409C-BE32-E72D297353CC}">
              <c16:uniqueId val="{00000001-F309-4FAC-88FE-4D19197E5326}"/>
            </c:ext>
          </c:extLst>
        </c:ser>
        <c:dLbls>
          <c:showLegendKey val="0"/>
          <c:showVal val="0"/>
          <c:showCatName val="0"/>
          <c:showSerName val="0"/>
          <c:showPercent val="0"/>
          <c:showBubbleSize val="0"/>
        </c:dLbls>
        <c:marker val="1"/>
        <c:smooth val="0"/>
        <c:axId val="1064289727"/>
        <c:axId val="1064294047"/>
      </c:lineChart>
      <c:lineChart>
        <c:grouping val="standard"/>
        <c:varyColors val="0"/>
        <c:ser>
          <c:idx val="0"/>
          <c:order val="2"/>
          <c:tx>
            <c:v>DUMMY</c:v>
          </c:tx>
          <c:spPr>
            <a:ln w="28575" cap="rnd">
              <a:noFill/>
              <a:round/>
            </a:ln>
            <a:effectLst/>
            <a:extLst>
              <a:ext uri="{91240B29-F687-4F45-9708-019B960494DF}">
                <a14:hiddenLine xmlns:a14="http://schemas.microsoft.com/office/drawing/2010/main" w="28575" cap="rnd">
                  <a:solidFill>
                    <a:srgbClr val="002C47"/>
                  </a:solidFill>
                  <a:round/>
                </a14:hiddenLine>
              </a:ext>
            </a:extLst>
          </c:spPr>
          <c:marker>
            <c:symbol val="none"/>
          </c:marker>
          <c:val>
            <c:numLit>
              <c:formatCode>General</c:formatCode>
              <c:ptCount val="1"/>
              <c:pt idx="0">
                <c:v>0</c:v>
              </c:pt>
            </c:numLit>
          </c:val>
          <c:smooth val="0"/>
          <c:extLst>
            <c:ext xmlns:c16="http://schemas.microsoft.com/office/drawing/2014/chart" uri="{C3380CC4-5D6E-409C-BE32-E72D297353CC}">
              <c16:uniqueId val="{00000002-F309-4FAC-88FE-4D19197E5326}"/>
            </c:ext>
          </c:extLst>
        </c:ser>
        <c:dLbls>
          <c:showLegendKey val="0"/>
          <c:showVal val="0"/>
          <c:showCatName val="0"/>
          <c:showSerName val="0"/>
          <c:showPercent val="0"/>
          <c:showBubbleSize val="0"/>
        </c:dLbls>
        <c:marker val="1"/>
        <c:smooth val="0"/>
        <c:axId val="1028191615"/>
        <c:axId val="1028184415"/>
      </c:lineChart>
      <c:dateAx>
        <c:axId val="1064289727"/>
        <c:scaling>
          <c:orientation val="minMax"/>
          <c:min val="40787"/>
        </c:scaling>
        <c:delete val="0"/>
        <c:axPos val="b"/>
        <c:numFmt formatCode="mmm\-yy" sourceLinked="0"/>
        <c:majorTickMark val="out"/>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064294047"/>
        <c:crosses val="autoZero"/>
        <c:auto val="1"/>
        <c:lblOffset val="100"/>
        <c:baseTimeUnit val="months"/>
        <c:majorUnit val="24"/>
        <c:majorTimeUnit val="months"/>
      </c:dateAx>
      <c:valAx>
        <c:axId val="1064294047"/>
        <c:scaling>
          <c:orientation val="minMax"/>
          <c:min val="85"/>
        </c:scaling>
        <c:delete val="0"/>
        <c:axPos val="l"/>
        <c:majorGridlines>
          <c:spPr>
            <a:ln w="25400" cap="flat" cmpd="sng" algn="ctr">
              <a:noFill/>
              <a:round/>
            </a:ln>
            <a:effectLst/>
          </c:spPr>
        </c:majorGridlines>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064289727"/>
        <c:crosses val="autoZero"/>
        <c:crossBetween val="midCat"/>
      </c:valAx>
      <c:valAx>
        <c:axId val="1028184415"/>
        <c:scaling>
          <c:orientation val="minMax"/>
          <c:max val="115"/>
          <c:min val="85"/>
        </c:scaling>
        <c:delete val="0"/>
        <c:axPos val="r"/>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028191615"/>
        <c:crosses val="max"/>
        <c:crossBetween val="between"/>
        <c:majorUnit val="5"/>
        <c:minorUnit val="1"/>
      </c:valAx>
      <c:catAx>
        <c:axId val="1028191615"/>
        <c:scaling>
          <c:orientation val="minMax"/>
        </c:scaling>
        <c:delete val="1"/>
        <c:axPos val="b"/>
        <c:majorTickMark val="out"/>
        <c:minorTickMark val="none"/>
        <c:tickLblPos val="nextTo"/>
        <c:crossAx val="1028184415"/>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039426523297495E-3"/>
          <c:y val="4.6920997852647688E-2"/>
          <c:w val="0.98367697132616483"/>
          <c:h val="0.8704419635209657"/>
        </c:manualLayout>
      </c:layout>
      <c:barChart>
        <c:barDir val="col"/>
        <c:grouping val="clustered"/>
        <c:varyColors val="0"/>
        <c:ser>
          <c:idx val="0"/>
          <c:order val="0"/>
          <c:tx>
            <c:strRef>
              <c:f>'Data (with HMU material)'!$A$14</c:f>
              <c:strCache>
                <c:ptCount val="1"/>
                <c:pt idx="0">
                  <c:v>2006-2010</c:v>
                </c:pt>
              </c:strCache>
            </c:strRef>
          </c:tx>
          <c:spPr>
            <a:solidFill>
              <a:schemeClr val="accent1"/>
            </a:solidFill>
            <a:ln>
              <a:noFill/>
            </a:ln>
            <a:effectLst/>
          </c:spPr>
          <c:invertIfNegative val="0"/>
          <c:dPt>
            <c:idx val="0"/>
            <c:invertIfNegative val="0"/>
            <c:bubble3D val="0"/>
            <c:spPr>
              <a:solidFill>
                <a:srgbClr val="0364C3"/>
              </a:solidFill>
              <a:ln>
                <a:noFill/>
              </a:ln>
              <a:effectLst/>
            </c:spPr>
            <c:extLst>
              <c:ext xmlns:c16="http://schemas.microsoft.com/office/drawing/2014/chart" uri="{C3380CC4-5D6E-409C-BE32-E72D297353CC}">
                <c16:uniqueId val="{00000000-9909-40FB-9496-89568174E9FA}"/>
              </c:ext>
            </c:extLst>
          </c:dPt>
          <c:dPt>
            <c:idx val="1"/>
            <c:invertIfNegative val="0"/>
            <c:bubble3D val="0"/>
            <c:spPr>
              <a:solidFill>
                <a:srgbClr val="0364C3"/>
              </a:solidFill>
              <a:ln>
                <a:noFill/>
              </a:ln>
              <a:effectLst/>
            </c:spPr>
            <c:extLst>
              <c:ext xmlns:c16="http://schemas.microsoft.com/office/drawing/2014/chart" uri="{C3380CC4-5D6E-409C-BE32-E72D297353CC}">
                <c16:uniqueId val="{00000001-9909-40FB-9496-89568174E9FA}"/>
              </c:ext>
            </c:extLst>
          </c:dPt>
          <c:dPt>
            <c:idx val="2"/>
            <c:invertIfNegative val="0"/>
            <c:bubble3D val="0"/>
            <c:spPr>
              <a:solidFill>
                <a:srgbClr val="0364C3"/>
              </a:solidFill>
              <a:ln>
                <a:noFill/>
              </a:ln>
              <a:effectLst/>
            </c:spPr>
            <c:extLst>
              <c:ext xmlns:c16="http://schemas.microsoft.com/office/drawing/2014/chart" uri="{C3380CC4-5D6E-409C-BE32-E72D297353CC}">
                <c16:uniqueId val="{00000002-9909-40FB-9496-89568174E9FA}"/>
              </c:ext>
            </c:extLst>
          </c:dPt>
          <c:cat>
            <c:strRef>
              <c:f>'Data (with HMU material)'!$B$13:$D$13</c:f>
              <c:strCache>
                <c:ptCount val="3"/>
                <c:pt idx="0">
                  <c:v>Firm entry rate</c:v>
                </c:pt>
                <c:pt idx="1">
                  <c:v>Firm exit rate</c:v>
                </c:pt>
                <c:pt idx="2">
                  <c:v>New job rate</c:v>
                </c:pt>
              </c:strCache>
            </c:strRef>
          </c:cat>
          <c:val>
            <c:numRef>
              <c:f>'Data (with HMU material)'!$B$14:$D$14</c:f>
              <c:numCache>
                <c:formatCode>General</c:formatCode>
                <c:ptCount val="3"/>
                <c:pt idx="0">
                  <c:v>12.259999999999998</c:v>
                </c:pt>
                <c:pt idx="1">
                  <c:v>9.3000000000000007</c:v>
                </c:pt>
                <c:pt idx="2" formatCode="0.00">
                  <c:v>8.3144568883807128</c:v>
                </c:pt>
              </c:numCache>
            </c:numRef>
          </c:val>
          <c:extLst>
            <c:ext xmlns:c16="http://schemas.microsoft.com/office/drawing/2014/chart" uri="{C3380CC4-5D6E-409C-BE32-E72D297353CC}">
              <c16:uniqueId val="{00000000-B6BD-497F-B302-5C81F8A37D5F}"/>
            </c:ext>
          </c:extLst>
        </c:ser>
        <c:ser>
          <c:idx val="1"/>
          <c:order val="1"/>
          <c:tx>
            <c:strRef>
              <c:f>'Data (with HMU material)'!$A$15</c:f>
              <c:strCache>
                <c:ptCount val="1"/>
                <c:pt idx="0">
                  <c:v>2011-2015</c:v>
                </c:pt>
              </c:strCache>
            </c:strRef>
          </c:tx>
          <c:spPr>
            <a:solidFill>
              <a:srgbClr val="BE5154"/>
            </a:solidFill>
            <a:ln>
              <a:noFill/>
            </a:ln>
            <a:effectLst/>
          </c:spPr>
          <c:invertIfNegative val="0"/>
          <c:cat>
            <c:strRef>
              <c:f>'Data (with HMU material)'!$B$13:$D$13</c:f>
              <c:strCache>
                <c:ptCount val="3"/>
                <c:pt idx="0">
                  <c:v>Firm entry rate</c:v>
                </c:pt>
                <c:pt idx="1">
                  <c:v>Firm exit rate</c:v>
                </c:pt>
                <c:pt idx="2">
                  <c:v>New job rate</c:v>
                </c:pt>
              </c:strCache>
            </c:strRef>
          </c:cat>
          <c:val>
            <c:numRef>
              <c:f>'Data (with HMU material)'!$B$15:$D$15</c:f>
              <c:numCache>
                <c:formatCode>General</c:formatCode>
                <c:ptCount val="3"/>
                <c:pt idx="0">
                  <c:v>11</c:v>
                </c:pt>
                <c:pt idx="1">
                  <c:v>8.2399999999999984</c:v>
                </c:pt>
                <c:pt idx="2" formatCode="0.00">
                  <c:v>7.3628113035064144</c:v>
                </c:pt>
              </c:numCache>
            </c:numRef>
          </c:val>
          <c:extLst>
            <c:ext xmlns:c16="http://schemas.microsoft.com/office/drawing/2014/chart" uri="{C3380CC4-5D6E-409C-BE32-E72D297353CC}">
              <c16:uniqueId val="{00000001-B6BD-497F-B302-5C81F8A37D5F}"/>
            </c:ext>
          </c:extLst>
        </c:ser>
        <c:ser>
          <c:idx val="2"/>
          <c:order val="2"/>
          <c:tx>
            <c:strRef>
              <c:f>'Data (with HMU material)'!$A$16</c:f>
              <c:strCache>
                <c:ptCount val="1"/>
                <c:pt idx="0">
                  <c:v>2016-2020</c:v>
                </c:pt>
              </c:strCache>
            </c:strRef>
          </c:tx>
          <c:spPr>
            <a:solidFill>
              <a:srgbClr val="844D9E"/>
            </a:solidFill>
            <a:ln>
              <a:noFill/>
            </a:ln>
            <a:effectLst/>
          </c:spPr>
          <c:invertIfNegative val="0"/>
          <c:cat>
            <c:strRef>
              <c:f>'Data (with HMU material)'!$B$13:$D$13</c:f>
              <c:strCache>
                <c:ptCount val="3"/>
                <c:pt idx="0">
                  <c:v>Firm entry rate</c:v>
                </c:pt>
                <c:pt idx="1">
                  <c:v>Firm exit rate</c:v>
                </c:pt>
                <c:pt idx="2">
                  <c:v>New job rate</c:v>
                </c:pt>
              </c:strCache>
            </c:strRef>
          </c:cat>
          <c:val>
            <c:numRef>
              <c:f>'Data (with HMU material)'!$B$16:$D$16</c:f>
              <c:numCache>
                <c:formatCode>General</c:formatCode>
                <c:ptCount val="3"/>
                <c:pt idx="0">
                  <c:v>10.84</c:v>
                </c:pt>
                <c:pt idx="1">
                  <c:v>7.9599999999999991</c:v>
                </c:pt>
                <c:pt idx="2" formatCode="0.00">
                  <c:v>7.0185136587283576</c:v>
                </c:pt>
              </c:numCache>
            </c:numRef>
          </c:val>
          <c:extLst>
            <c:ext xmlns:c16="http://schemas.microsoft.com/office/drawing/2014/chart" uri="{C3380CC4-5D6E-409C-BE32-E72D297353CC}">
              <c16:uniqueId val="{00000002-B6BD-497F-B302-5C81F8A37D5F}"/>
            </c:ext>
          </c:extLst>
        </c:ser>
        <c:ser>
          <c:idx val="3"/>
          <c:order val="3"/>
          <c:tx>
            <c:strRef>
              <c:f>'Data (with HMU material)'!$A$17</c:f>
              <c:strCache>
                <c:ptCount val="1"/>
                <c:pt idx="0">
                  <c:v>2021-2025</c:v>
                </c:pt>
              </c:strCache>
            </c:strRef>
          </c:tx>
          <c:spPr>
            <a:solidFill>
              <a:srgbClr val="00818F"/>
            </a:solidFill>
            <a:ln>
              <a:noFill/>
            </a:ln>
            <a:effectLst/>
          </c:spPr>
          <c:invertIfNegative val="0"/>
          <c:cat>
            <c:strRef>
              <c:f>'Data (with HMU material)'!$B$13:$D$13</c:f>
              <c:strCache>
                <c:ptCount val="3"/>
                <c:pt idx="0">
                  <c:v>Firm entry rate</c:v>
                </c:pt>
                <c:pt idx="1">
                  <c:v>Firm exit rate</c:v>
                </c:pt>
                <c:pt idx="2">
                  <c:v>New job rate</c:v>
                </c:pt>
              </c:strCache>
            </c:strRef>
          </c:cat>
          <c:val>
            <c:numRef>
              <c:f>'Data (with HMU material)'!$B$17:$D$17</c:f>
              <c:numCache>
                <c:formatCode>General</c:formatCode>
                <c:ptCount val="3"/>
                <c:pt idx="0">
                  <c:v>11.38</c:v>
                </c:pt>
                <c:pt idx="1">
                  <c:v>7.6400000000000006</c:v>
                </c:pt>
                <c:pt idx="2" formatCode="0.00">
                  <c:v>7.046909627307949</c:v>
                </c:pt>
              </c:numCache>
            </c:numRef>
          </c:val>
          <c:extLst>
            <c:ext xmlns:c16="http://schemas.microsoft.com/office/drawing/2014/chart" uri="{C3380CC4-5D6E-409C-BE32-E72D297353CC}">
              <c16:uniqueId val="{00000003-B6BD-497F-B302-5C81F8A37D5F}"/>
            </c:ext>
          </c:extLst>
        </c:ser>
        <c:dLbls>
          <c:showLegendKey val="0"/>
          <c:showVal val="0"/>
          <c:showCatName val="0"/>
          <c:showSerName val="0"/>
          <c:showPercent val="0"/>
          <c:showBubbleSize val="0"/>
        </c:dLbls>
        <c:gapWidth val="50"/>
        <c:axId val="845673935"/>
        <c:axId val="845670575"/>
      </c:barChart>
      <c:barChart>
        <c:barDir val="col"/>
        <c:grouping val="clustered"/>
        <c:varyColors val="0"/>
        <c:ser>
          <c:idx val="4"/>
          <c:order val="4"/>
          <c:tx>
            <c:v>DUMMY</c:v>
          </c:tx>
          <c:spPr>
            <a:noFill/>
            <a:ln w="25400">
              <a:noFill/>
            </a:ln>
            <a:effectLst/>
            <a:extLst>
              <a:ext uri="{909E8E84-426E-40DD-AFC4-6F175D3DCCD1}">
                <a14:hiddenFill xmlns:a14="http://schemas.microsoft.com/office/drawing/2010/main">
                  <a:solidFill>
                    <a:srgbClr val="00827F"/>
                  </a:solidFill>
                </a14:hiddenFill>
              </a:ext>
              <a:ext uri="{91240B29-F687-4F45-9708-019B960494DF}">
                <a14:hiddenLine xmlns:a14="http://schemas.microsoft.com/office/drawing/2010/main">
                  <a:noFill/>
                </a14:hiddenLine>
              </a:ext>
            </a:extLst>
          </c:spPr>
          <c:invertIfNegative val="0"/>
          <c:val>
            <c:numLit>
              <c:formatCode>General</c:formatCode>
              <c:ptCount val="1"/>
              <c:pt idx="0">
                <c:v>0</c:v>
              </c:pt>
            </c:numLit>
          </c:val>
          <c:extLst>
            <c:ext xmlns:c16="http://schemas.microsoft.com/office/drawing/2014/chart" uri="{C3380CC4-5D6E-409C-BE32-E72D297353CC}">
              <c16:uniqueId val="{00000004-B6BD-497F-B302-5C81F8A37D5F}"/>
            </c:ext>
          </c:extLst>
        </c:ser>
        <c:dLbls>
          <c:showLegendKey val="0"/>
          <c:showVal val="0"/>
          <c:showCatName val="0"/>
          <c:showSerName val="0"/>
          <c:showPercent val="0"/>
          <c:showBubbleSize val="0"/>
        </c:dLbls>
        <c:gapWidth val="50"/>
        <c:axId val="230443071"/>
        <c:axId val="230454111"/>
      </c:barChart>
      <c:catAx>
        <c:axId val="845673935"/>
        <c:scaling>
          <c:orientation val="minMax"/>
        </c:scaling>
        <c:delete val="0"/>
        <c:axPos val="b"/>
        <c:numFmt formatCode="General" sourceLinked="1"/>
        <c:majorTickMark val="out"/>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845670575"/>
        <c:crosses val="autoZero"/>
        <c:auto val="1"/>
        <c:lblAlgn val="ctr"/>
        <c:lblOffset val="100"/>
        <c:noMultiLvlLbl val="0"/>
      </c:catAx>
      <c:valAx>
        <c:axId val="845670575"/>
        <c:scaling>
          <c:orientation val="minMax"/>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Per cent</a:t>
                </a:r>
              </a:p>
            </c:rich>
          </c:tx>
          <c:layout>
            <c:manualLayout>
              <c:xMode val="edge"/>
              <c:yMode val="edge"/>
              <c:x val="2.2759856630824374E-3"/>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845673935"/>
        <c:crosses val="autoZero"/>
        <c:crossBetween val="between"/>
      </c:valAx>
      <c:valAx>
        <c:axId val="230454111"/>
        <c:scaling>
          <c:orientation val="minMax"/>
          <c:max val="14"/>
          <c:min val="0"/>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Per cent</a:t>
                </a:r>
              </a:p>
            </c:rich>
          </c:tx>
          <c:layout>
            <c:manualLayout>
              <c:xMode val="edge"/>
              <c:yMode val="edge"/>
              <c:x val="0.91851971326164872"/>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230443071"/>
        <c:crosses val="max"/>
        <c:crossBetween val="between"/>
        <c:majorUnit val="2"/>
        <c:minorUnit val="0.4"/>
      </c:valAx>
      <c:catAx>
        <c:axId val="230443071"/>
        <c:scaling>
          <c:orientation val="minMax"/>
        </c:scaling>
        <c:delete val="1"/>
        <c:axPos val="b"/>
        <c:majorTickMark val="out"/>
        <c:minorTickMark val="none"/>
        <c:tickLblPos val="nextTo"/>
        <c:crossAx val="230454111"/>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egendEntry>
        <c:idx val="4"/>
        <c:delete val="1"/>
      </c:legendEntry>
      <c:layout>
        <c:manualLayout>
          <c:xMode val="edge"/>
          <c:yMode val="edge"/>
          <c:x val="0.24859296161074523"/>
          <c:y val="0.95154387390842476"/>
          <c:w val="0.50281389865547388"/>
          <c:h val="4.400941069699988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0.34088</cdr:x>
      <cdr:y>0.24486</cdr:y>
    </cdr:from>
    <cdr:to>
      <cdr:x>0.64547</cdr:x>
      <cdr:y>0.33684</cdr:y>
    </cdr:to>
    <cdr:sp macro="" textlink="">
      <cdr:nvSpPr>
        <cdr:cNvPr id="2" name="Series Label">
          <a:extLst xmlns:a="http://schemas.openxmlformats.org/drawingml/2006/main">
            <a:ext uri="{FF2B5EF4-FFF2-40B4-BE49-F238E27FC236}">
              <a16:creationId xmlns:a16="http://schemas.microsoft.com/office/drawing/2014/main" id="{4E01F121-A7B8-C055-DDB2-BA0280D93FE8}"/>
            </a:ext>
          </a:extLst>
        </cdr:cNvPr>
        <cdr:cNvSpPr txBox="1"/>
      </cdr:nvSpPr>
      <cdr:spPr>
        <a:xfrm xmlns:a="http://schemas.openxmlformats.org/drawingml/2006/main">
          <a:off x="1732951" y="559758"/>
          <a:ext cx="1548473" cy="210250"/>
        </a:xfrm>
        <a:prstGeom xmlns:a="http://schemas.openxmlformats.org/drawingml/2006/main" prst="rect">
          <a:avLst/>
        </a:prstGeom>
      </cdr:spPr>
      <cdr:txBody>
        <a:bodyPr xmlns:a="http://schemas.openxmlformats.org/drawingml/2006/main" vert="horz"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b="1" i="0" kern="1200">
              <a:solidFill>
                <a:srgbClr val="FF0000"/>
              </a:solidFill>
              <a:latin typeface="Arial" panose="020B0604020202020204" pitchFamily="34" charset="0"/>
            </a:rPr>
            <a:t>Pre-Covid productivity level</a:t>
          </a:r>
        </a:p>
      </cdr:txBody>
    </cdr:sp>
  </cdr:relSizeAnchor>
  <cdr:relSizeAnchor xmlns:cdr="http://schemas.openxmlformats.org/drawingml/2006/chartDrawing">
    <cdr:from>
      <cdr:x>0.35784</cdr:x>
      <cdr:y>0.17317</cdr:y>
    </cdr:from>
    <cdr:to>
      <cdr:x>0.60269</cdr:x>
      <cdr:y>0.26514</cdr:y>
    </cdr:to>
    <cdr:sp macro="" textlink="">
      <cdr:nvSpPr>
        <cdr:cNvPr id="3" name="Series Label">
          <a:extLst xmlns:a="http://schemas.openxmlformats.org/drawingml/2006/main">
            <a:ext uri="{FF2B5EF4-FFF2-40B4-BE49-F238E27FC236}">
              <a16:creationId xmlns:a16="http://schemas.microsoft.com/office/drawing/2014/main" id="{94E96174-D25F-D2D0-7EAB-AE4A3FBB24E0}"/>
            </a:ext>
          </a:extLst>
        </cdr:cNvPr>
        <cdr:cNvSpPr txBox="1"/>
      </cdr:nvSpPr>
      <cdr:spPr>
        <a:xfrm xmlns:a="http://schemas.openxmlformats.org/drawingml/2006/main">
          <a:off x="1819191" y="395867"/>
          <a:ext cx="1244770" cy="210243"/>
        </a:xfrm>
        <a:prstGeom xmlns:a="http://schemas.openxmlformats.org/drawingml/2006/main" prst="rect">
          <a:avLst/>
        </a:prstGeom>
      </cdr:spPr>
      <cdr:txBody>
        <a:bodyPr xmlns:a="http://schemas.openxmlformats.org/drawingml/2006/main" vert="horz"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b="1" i="0" kern="1200">
              <a:solidFill>
                <a:schemeClr val="tx1"/>
              </a:solidFill>
              <a:latin typeface="Arial" panose="020B0604020202020204" pitchFamily="34" charset="0"/>
            </a:rPr>
            <a:t>GDP per hour worked</a:t>
          </a:r>
        </a:p>
      </cdr:txBody>
    </cdr:sp>
  </cdr:relSizeAnchor>
</c:userShapes>
</file>

<file path=word/drawings/drawing2.xml><?xml version="1.0" encoding="utf-8"?>
<c:userShapes xmlns:c="http://schemas.openxmlformats.org/drawingml/2006/chart">
  <cdr:relSizeAnchor xmlns:cdr="http://schemas.openxmlformats.org/drawingml/2006/chartDrawing">
    <cdr:from>
      <cdr:x>0.43682</cdr:x>
      <cdr:y>0.67423</cdr:y>
    </cdr:from>
    <cdr:to>
      <cdr:x>0.46017</cdr:x>
      <cdr:y>0.80982</cdr:y>
    </cdr:to>
    <cdr:sp macro="" textlink="">
      <cdr:nvSpPr>
        <cdr:cNvPr id="2" name="Rectangle 1"/>
        <cdr:cNvSpPr/>
      </cdr:nvSpPr>
      <cdr:spPr>
        <a:xfrm xmlns:a="http://schemas.openxmlformats.org/drawingml/2006/main">
          <a:off x="2220685" y="2125683"/>
          <a:ext cx="118754" cy="427512"/>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AU" kern="1200"/>
        </a:p>
      </cdr:txBody>
    </cdr:sp>
  </cdr:relSizeAnchor>
</c:userShapes>
</file>

<file path=word/drawings/drawing3.xml><?xml version="1.0" encoding="utf-8"?>
<c:userShapes xmlns:c="http://schemas.openxmlformats.org/drawingml/2006/chart">
  <cdr:relSizeAnchor xmlns:cdr="http://schemas.openxmlformats.org/drawingml/2006/chartDrawing">
    <cdr:from>
      <cdr:x>0.39433</cdr:x>
      <cdr:y>0.04844</cdr:y>
    </cdr:from>
    <cdr:to>
      <cdr:x>0.54701</cdr:x>
      <cdr:y>0.13188</cdr:y>
    </cdr:to>
    <cdr:sp macro="" textlink="">
      <cdr:nvSpPr>
        <cdr:cNvPr id="2" name="Series Label">
          <a:extLst xmlns:a="http://schemas.openxmlformats.org/drawingml/2006/main">
            <a:ext uri="{FF2B5EF4-FFF2-40B4-BE49-F238E27FC236}">
              <a16:creationId xmlns:a16="http://schemas.microsoft.com/office/drawing/2014/main" id="{43EE0E7B-F36C-ADA2-67D9-54851B4A5AB1}"/>
            </a:ext>
          </a:extLst>
        </cdr:cNvPr>
        <cdr:cNvSpPr txBox="1"/>
      </cdr:nvSpPr>
      <cdr:spPr>
        <a:xfrm xmlns:a="http://schemas.openxmlformats.org/drawingml/2006/main">
          <a:off x="2200234" y="122052"/>
          <a:ext cx="851955" cy="210243"/>
        </a:xfrm>
        <a:prstGeom xmlns:a="http://schemas.openxmlformats.org/drawingml/2006/main" prst="rect">
          <a:avLst/>
        </a:prstGeom>
      </cdr:spPr>
      <cdr:txBody>
        <a:bodyPr xmlns:a="http://schemas.openxmlformats.org/drawingml/2006/main" vert="horz"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b="1" i="0" kern="1200">
              <a:solidFill>
                <a:schemeClr val="tx2"/>
              </a:solidFill>
              <a:latin typeface="Arial" panose="020B0604020202020204" pitchFamily="34" charset="0"/>
            </a:rPr>
            <a:t>Market sector</a:t>
          </a:r>
        </a:p>
      </cdr:txBody>
    </cdr:sp>
  </cdr:relSizeAnchor>
  <cdr:relSizeAnchor xmlns:cdr="http://schemas.openxmlformats.org/drawingml/2006/chartDrawing">
    <cdr:from>
      <cdr:x>0.36666</cdr:x>
      <cdr:y>0.105</cdr:y>
    </cdr:from>
    <cdr:to>
      <cdr:x>0.56223</cdr:x>
      <cdr:y>0.18845</cdr:y>
    </cdr:to>
    <cdr:sp macro="" textlink="">
      <cdr:nvSpPr>
        <cdr:cNvPr id="3" name="Series Label">
          <a:extLst xmlns:a="http://schemas.openxmlformats.org/drawingml/2006/main">
            <a:ext uri="{FF2B5EF4-FFF2-40B4-BE49-F238E27FC236}">
              <a16:creationId xmlns:a16="http://schemas.microsoft.com/office/drawing/2014/main" id="{AF5F480B-FFAC-5006-2BAF-9483518A75C8}"/>
            </a:ext>
          </a:extLst>
        </cdr:cNvPr>
        <cdr:cNvSpPr txBox="1"/>
      </cdr:nvSpPr>
      <cdr:spPr>
        <a:xfrm xmlns:a="http://schemas.openxmlformats.org/drawingml/2006/main">
          <a:off x="2045854" y="264556"/>
          <a:ext cx="1091225" cy="210269"/>
        </a:xfrm>
        <a:prstGeom xmlns:a="http://schemas.openxmlformats.org/drawingml/2006/main" prst="rect">
          <a:avLst/>
        </a:prstGeom>
      </cdr:spPr>
      <cdr:txBody>
        <a:bodyPr xmlns:a="http://schemas.openxmlformats.org/drawingml/2006/main" vert="horz"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b="1" i="0" kern="1200">
              <a:solidFill>
                <a:srgbClr val="FF0000"/>
              </a:solidFill>
              <a:latin typeface="Arial" panose="020B0604020202020204" pitchFamily="34" charset="0"/>
            </a:rPr>
            <a:t>Non-market sector</a:t>
          </a:r>
        </a:p>
      </cdr:txBody>
    </cdr:sp>
  </cdr:relSizeAnchor>
</c:userShapes>
</file>

<file path=word/theme/theme1.xml><?xml version="1.0" encoding="utf-8"?>
<a:theme xmlns:a="http://schemas.openxmlformats.org/drawingml/2006/main" name="Office Them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Treasury PowerPoint">
    <a:dk1>
      <a:sysClr val="windowText" lastClr="000000"/>
    </a:dk1>
    <a:lt1>
      <a:sysClr val="window" lastClr="FFFFFF"/>
    </a:lt1>
    <a:dk2>
      <a:srgbClr val="00ABBD"/>
    </a:dk2>
    <a:lt2>
      <a:srgbClr val="E2E0CB"/>
    </a:lt2>
    <a:accent1>
      <a:srgbClr val="002C47"/>
    </a:accent1>
    <a:accent2>
      <a:srgbClr val="E61E26"/>
    </a:accent2>
    <a:accent3>
      <a:srgbClr val="3A6FAF"/>
    </a:accent3>
    <a:accent4>
      <a:srgbClr val="F7901E"/>
    </a:accent4>
    <a:accent5>
      <a:srgbClr val="00827F"/>
    </a:accent5>
    <a:accent6>
      <a:srgbClr val="F06252"/>
    </a:accent6>
    <a:hlink>
      <a:srgbClr val="3A6FAF"/>
    </a:hlink>
    <a:folHlink>
      <a:srgbClr val="844D9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36</Pages>
  <Words>13512</Words>
  <Characters>89309</Characters>
  <Application>Microsoft Office Word</Application>
  <DocSecurity>0</DocSecurity>
  <Lines>744</Lines>
  <Paragraphs>205</Paragraphs>
  <ScaleCrop>false</ScaleCrop>
  <HeadingPairs>
    <vt:vector size="2" baseType="variant">
      <vt:variant>
        <vt:lpstr>Title</vt:lpstr>
      </vt:variant>
      <vt:variant>
        <vt:i4>1</vt:i4>
      </vt:variant>
    </vt:vector>
  </HeadingPairs>
  <TitlesOfParts>
    <vt:vector size="1" baseType="lpstr">
      <vt:lpstr>Treasury Submission to the Select Committee on Productivity in Australia</vt:lpstr>
    </vt:vector>
  </TitlesOfParts>
  <Company/>
  <LinksUpToDate>false</LinksUpToDate>
  <CharactersWithSpaces>102616</CharactersWithSpaces>
  <SharedDoc>false</SharedDoc>
  <HLinks>
    <vt:vector size="414" baseType="variant">
      <vt:variant>
        <vt:i4>6094924</vt:i4>
      </vt:variant>
      <vt:variant>
        <vt:i4>342</vt:i4>
      </vt:variant>
      <vt:variant>
        <vt:i4>0</vt:i4>
      </vt:variant>
      <vt:variant>
        <vt:i4>5</vt:i4>
      </vt:variant>
      <vt:variant>
        <vt:lpwstr>https://treasury.gov.au/sites/default/files/2019-03/04_International_comparisons.pdf</vt:lpwstr>
      </vt:variant>
      <vt:variant>
        <vt:lpwstr/>
      </vt:variant>
      <vt:variant>
        <vt:i4>720940</vt:i4>
      </vt:variant>
      <vt:variant>
        <vt:i4>339</vt:i4>
      </vt:variant>
      <vt:variant>
        <vt:i4>0</vt:i4>
      </vt:variant>
      <vt:variant>
        <vt:i4>5</vt:i4>
      </vt:variant>
      <vt:variant>
        <vt:lpwstr>https://reports.weforum.org/docs/WEF_Chief_Economists_Outlook_January_2026.pdf</vt:lpwstr>
      </vt:variant>
      <vt:variant>
        <vt:lpwstr/>
      </vt:variant>
      <vt:variant>
        <vt:i4>1245213</vt:i4>
      </vt:variant>
      <vt:variant>
        <vt:i4>336</vt:i4>
      </vt:variant>
      <vt:variant>
        <vt:i4>0</vt:i4>
      </vt:variant>
      <vt:variant>
        <vt:i4>5</vt:i4>
      </vt:variant>
      <vt:variant>
        <vt:lpwstr>https://www.rba.gov.au/publications/bulletin/2018/jun/pdf/private-non-mining-investment-in-australia.pdf</vt:lpwstr>
      </vt:variant>
      <vt:variant>
        <vt:lpwstr/>
      </vt:variant>
      <vt:variant>
        <vt:i4>720916</vt:i4>
      </vt:variant>
      <vt:variant>
        <vt:i4>333</vt:i4>
      </vt:variant>
      <vt:variant>
        <vt:i4>0</vt:i4>
      </vt:variant>
      <vt:variant>
        <vt:i4>5</vt:i4>
      </vt:variant>
      <vt:variant>
        <vt:lpwstr>https://treasury.gov.au/publication/p2024-526942</vt:lpwstr>
      </vt:variant>
      <vt:variant>
        <vt:lpwstr/>
      </vt:variant>
      <vt:variant>
        <vt:i4>589911</vt:i4>
      </vt:variant>
      <vt:variant>
        <vt:i4>330</vt:i4>
      </vt:variant>
      <vt:variant>
        <vt:i4>0</vt:i4>
      </vt:variant>
      <vt:variant>
        <vt:i4>5</vt:i4>
      </vt:variant>
      <vt:variant>
        <vt:lpwstr>https://treasury.gov.au/publication/2023-intergenerational-report</vt:lpwstr>
      </vt:variant>
      <vt:variant>
        <vt:lpwstr/>
      </vt:variant>
      <vt:variant>
        <vt:i4>2424945</vt:i4>
      </vt:variant>
      <vt:variant>
        <vt:i4>327</vt:i4>
      </vt:variant>
      <vt:variant>
        <vt:i4>0</vt:i4>
      </vt:variant>
      <vt:variant>
        <vt:i4>5</vt:i4>
      </vt:variant>
      <vt:variant>
        <vt:lpwstr>https://apo.org.au/sites/default/files/resource-files/2018-10/apo-nid194891.pdf</vt:lpwstr>
      </vt:variant>
      <vt:variant>
        <vt:lpwstr/>
      </vt:variant>
      <vt:variant>
        <vt:i4>2162700</vt:i4>
      </vt:variant>
      <vt:variant>
        <vt:i4>324</vt:i4>
      </vt:variant>
      <vt:variant>
        <vt:i4>0</vt:i4>
      </vt:variant>
      <vt:variant>
        <vt:i4>5</vt:i4>
      </vt:variant>
      <vt:variant>
        <vt:lpwstr>https://www.oecd.org/en/publications/can-productivity-still-grow-in-service-based-economies_4458ec7b-en.html</vt:lpwstr>
      </vt:variant>
      <vt:variant>
        <vt:lpwstr/>
      </vt:variant>
      <vt:variant>
        <vt:i4>1638471</vt:i4>
      </vt:variant>
      <vt:variant>
        <vt:i4>321</vt:i4>
      </vt:variant>
      <vt:variant>
        <vt:i4>0</vt:i4>
      </vt:variant>
      <vt:variant>
        <vt:i4>5</vt:i4>
      </vt:variant>
      <vt:variant>
        <vt:lpwstr>https://www.apolloacademy.com/waiting-for-the-ai-j-curve/</vt:lpwstr>
      </vt:variant>
      <vt:variant>
        <vt:lpwstr/>
      </vt:variant>
      <vt:variant>
        <vt:i4>655369</vt:i4>
      </vt:variant>
      <vt:variant>
        <vt:i4>318</vt:i4>
      </vt:variant>
      <vt:variant>
        <vt:i4>0</vt:i4>
      </vt:variant>
      <vt:variant>
        <vt:i4>5</vt:i4>
      </vt:variant>
      <vt:variant>
        <vt:lpwstr>https://www.rba.gov.au/publications/smp/2025/aug/in-depth-drivers-and-implications-of-lower-productivity-growth.html</vt:lpwstr>
      </vt:variant>
      <vt:variant>
        <vt:lpwstr/>
      </vt:variant>
      <vt:variant>
        <vt:i4>2687032</vt:i4>
      </vt:variant>
      <vt:variant>
        <vt:i4>315</vt:i4>
      </vt:variant>
      <vt:variant>
        <vt:i4>0</vt:i4>
      </vt:variant>
      <vt:variant>
        <vt:i4>5</vt:i4>
      </vt:variant>
      <vt:variant>
        <vt:lpwstr>https://www.rba.gov.au/speeches/2025/sp-ag-2025-10-15.html</vt:lpwstr>
      </vt:variant>
      <vt:variant>
        <vt:lpwstr/>
      </vt:variant>
      <vt:variant>
        <vt:i4>3014712</vt:i4>
      </vt:variant>
      <vt:variant>
        <vt:i4>312</vt:i4>
      </vt:variant>
      <vt:variant>
        <vt:i4>0</vt:i4>
      </vt:variant>
      <vt:variant>
        <vt:i4>5</vt:i4>
      </vt:variant>
      <vt:variant>
        <vt:lpwstr>https://www.rba.gov.au/speeches/2022/sp-ag-2022-10-12.html</vt:lpwstr>
      </vt:variant>
      <vt:variant>
        <vt:lpwstr/>
      </vt:variant>
      <vt:variant>
        <vt:i4>4456562</vt:i4>
      </vt:variant>
      <vt:variant>
        <vt:i4>309</vt:i4>
      </vt:variant>
      <vt:variant>
        <vt:i4>0</vt:i4>
      </vt:variant>
      <vt:variant>
        <vt:i4>5</vt:i4>
      </vt:variant>
      <vt:variant>
        <vt:lpwstr>https://assets.pc.gov.au/2025-12/data-digital_0.pdf?VersionId=CllchxmIqslkQ9zbKND7jSMBvrMqPyxq</vt:lpwstr>
      </vt:variant>
      <vt:variant>
        <vt:lpwstr/>
      </vt:variant>
      <vt:variant>
        <vt:i4>4456471</vt:i4>
      </vt:variant>
      <vt:variant>
        <vt:i4>306</vt:i4>
      </vt:variant>
      <vt:variant>
        <vt:i4>0</vt:i4>
      </vt:variant>
      <vt:variant>
        <vt:i4>5</vt:i4>
      </vt:variant>
      <vt:variant>
        <vt:lpwstr>https://www.pc.gov.au/inquiries-and-research/productivity-before-after-covid/</vt:lpwstr>
      </vt:variant>
      <vt:variant>
        <vt:lpwstr/>
      </vt:variant>
      <vt:variant>
        <vt:i4>3407904</vt:i4>
      </vt:variant>
      <vt:variant>
        <vt:i4>303</vt:i4>
      </vt:variant>
      <vt:variant>
        <vt:i4>0</vt:i4>
      </vt:variant>
      <vt:variant>
        <vt:i4>5</vt:i4>
      </vt:variant>
      <vt:variant>
        <vt:lpwstr>https://www.pc.gov.au/ongoing/productivity-insights/bulletins/quarterly-bulletin-december-2024/</vt:lpwstr>
      </vt:variant>
      <vt:variant>
        <vt:lpwstr/>
      </vt:variant>
      <vt:variant>
        <vt:i4>3538998</vt:i4>
      </vt:variant>
      <vt:variant>
        <vt:i4>300</vt:i4>
      </vt:variant>
      <vt:variant>
        <vt:i4>0</vt:i4>
      </vt:variant>
      <vt:variant>
        <vt:i4>5</vt:i4>
      </vt:variant>
      <vt:variant>
        <vt:lpwstr>https://www.pc.gov.au/inquiries-and-research/measuring-healthcare-productivity/</vt:lpwstr>
      </vt:variant>
      <vt:variant>
        <vt:lpwstr/>
      </vt:variant>
      <vt:variant>
        <vt:i4>2621476</vt:i4>
      </vt:variant>
      <vt:variant>
        <vt:i4>297</vt:i4>
      </vt:variant>
      <vt:variant>
        <vt:i4>0</vt:i4>
      </vt:variant>
      <vt:variant>
        <vt:i4>5</vt:i4>
      </vt:variant>
      <vt:variant>
        <vt:lpwstr>https://assets.pc.gov.au/inquiries/completed/productivity/report/productivity-volume5-innovation-diffusion.pdf</vt:lpwstr>
      </vt:variant>
      <vt:variant>
        <vt:lpwstr/>
      </vt:variant>
      <vt:variant>
        <vt:i4>4259860</vt:i4>
      </vt:variant>
      <vt:variant>
        <vt:i4>294</vt:i4>
      </vt:variant>
      <vt:variant>
        <vt:i4>0</vt:i4>
      </vt:variant>
      <vt:variant>
        <vt:i4>5</vt:i4>
      </vt:variant>
      <vt:variant>
        <vt:lpwstr>https://www.pc.gov.au/inquiries-and-research/productivity/report/</vt:lpwstr>
      </vt:variant>
      <vt:variant>
        <vt:lpwstr/>
      </vt:variant>
      <vt:variant>
        <vt:i4>4784132</vt:i4>
      </vt:variant>
      <vt:variant>
        <vt:i4>291</vt:i4>
      </vt:variant>
      <vt:variant>
        <vt:i4>0</vt:i4>
      </vt:variant>
      <vt:variant>
        <vt:i4>5</vt:i4>
      </vt:variant>
      <vt:variant>
        <vt:lpwstr>https://www.pc.gov.au/ongoing/productivity-insights/australia-leader/</vt:lpwstr>
      </vt:variant>
      <vt:variant>
        <vt:lpwstr/>
      </vt:variant>
      <vt:variant>
        <vt:i4>4128806</vt:i4>
      </vt:variant>
      <vt:variant>
        <vt:i4>288</vt:i4>
      </vt:variant>
      <vt:variant>
        <vt:i4>0</vt:i4>
      </vt:variant>
      <vt:variant>
        <vt:i4>5</vt:i4>
      </vt:variant>
      <vt:variant>
        <vt:lpwstr>https://www.pc.gov.au/ongoing/productivity-insights/long-term/</vt:lpwstr>
      </vt:variant>
      <vt:variant>
        <vt:lpwstr/>
      </vt:variant>
      <vt:variant>
        <vt:i4>6946920</vt:i4>
      </vt:variant>
      <vt:variant>
        <vt:i4>285</vt:i4>
      </vt:variant>
      <vt:variant>
        <vt:i4>0</vt:i4>
      </vt:variant>
      <vt:variant>
        <vt:i4>5</vt:i4>
      </vt:variant>
      <vt:variant>
        <vt:lpwstr>https://assets.pc.gov.au/inquiries/completed/national-competition-policy/report/ncp.pdf</vt:lpwstr>
      </vt:variant>
      <vt:variant>
        <vt:lpwstr/>
      </vt:variant>
      <vt:variant>
        <vt:i4>2555959</vt:i4>
      </vt:variant>
      <vt:variant>
        <vt:i4>282</vt:i4>
      </vt:variant>
      <vt:variant>
        <vt:i4>0</vt:i4>
      </vt:variant>
      <vt:variant>
        <vt:i4>5</vt:i4>
      </vt:variant>
      <vt:variant>
        <vt:lpwstr>https://www.homeaffairs.gov.au/reports-and-pubs/files/review-migration-system-final-report.pdf</vt:lpwstr>
      </vt:variant>
      <vt:variant>
        <vt:lpwstr/>
      </vt:variant>
      <vt:variant>
        <vt:i4>786446</vt:i4>
      </vt:variant>
      <vt:variant>
        <vt:i4>279</vt:i4>
      </vt:variant>
      <vt:variant>
        <vt:i4>0</vt:i4>
      </vt:variant>
      <vt:variant>
        <vt:i4>5</vt:i4>
      </vt:variant>
      <vt:variant>
        <vt:lpwstr>https://obr.uk/download/long-term-economic-determinants-march-2025-economic-and-fiscal-outlook/?tmstv=1769990683</vt:lpwstr>
      </vt:variant>
      <vt:variant>
        <vt:lpwstr/>
      </vt:variant>
      <vt:variant>
        <vt:i4>2031729</vt:i4>
      </vt:variant>
      <vt:variant>
        <vt:i4>276</vt:i4>
      </vt:variant>
      <vt:variant>
        <vt:i4>0</vt:i4>
      </vt:variant>
      <vt:variant>
        <vt:i4>5</vt:i4>
      </vt:variant>
      <vt:variant>
        <vt:lpwstr>https://www.oecd.org/en/publications/oecd-economic-surveys-australia-2026_d22a1efd-en.html</vt:lpwstr>
      </vt:variant>
      <vt:variant>
        <vt:lpwstr/>
      </vt:variant>
      <vt:variant>
        <vt:i4>786521</vt:i4>
      </vt:variant>
      <vt:variant>
        <vt:i4>273</vt:i4>
      </vt:variant>
      <vt:variant>
        <vt:i4>0</vt:i4>
      </vt:variant>
      <vt:variant>
        <vt:i4>5</vt:i4>
      </vt:variant>
      <vt:variant>
        <vt:lpwstr>https://www.oecd.org/en/publications/the-global-forum-on-productivity-at-10_ca7295d9-en/full-report/the-best-versus-the-rest-the-global-productivity-slowdown-divergence-across-firms-and-the-role-of-public-policy_8e7447f5.html</vt:lpwstr>
      </vt:variant>
      <vt:variant>
        <vt:lpwstr/>
      </vt:variant>
      <vt:variant>
        <vt:i4>6750283</vt:i4>
      </vt:variant>
      <vt:variant>
        <vt:i4>270</vt:i4>
      </vt:variant>
      <vt:variant>
        <vt:i4>0</vt:i4>
      </vt:variant>
      <vt:variant>
        <vt:i4>5</vt:i4>
      </vt:variant>
      <vt:variant>
        <vt:lpwstr>https://www.oecd.org/en/publications/understanding-the-weakness-in-business-investment_89bd437d-en.html</vt:lpwstr>
      </vt:variant>
      <vt:variant>
        <vt:lpwstr/>
      </vt:variant>
      <vt:variant>
        <vt:i4>2162814</vt:i4>
      </vt:variant>
      <vt:variant>
        <vt:i4>267</vt:i4>
      </vt:variant>
      <vt:variant>
        <vt:i4>0</vt:i4>
      </vt:variant>
      <vt:variant>
        <vt:i4>5</vt:i4>
      </vt:variant>
      <vt:variant>
        <vt:lpwstr>https://doi.org/10.1787/ca7295d9-en</vt:lpwstr>
      </vt:variant>
      <vt:variant>
        <vt:lpwstr/>
      </vt:variant>
      <vt:variant>
        <vt:i4>1703993</vt:i4>
      </vt:variant>
      <vt:variant>
        <vt:i4>264</vt:i4>
      </vt:variant>
      <vt:variant>
        <vt:i4>0</vt:i4>
      </vt:variant>
      <vt:variant>
        <vt:i4>5</vt:i4>
      </vt:variant>
      <vt:variant>
        <vt:lpwstr>https://www.oecd.org/en/publications/migration-and-regional-productivity-evidence-from-individual-wages-in-australia_7bc64c78-en.html</vt:lpwstr>
      </vt:variant>
      <vt:variant>
        <vt:lpwstr/>
      </vt:variant>
      <vt:variant>
        <vt:i4>458794</vt:i4>
      </vt:variant>
      <vt:variant>
        <vt:i4>261</vt:i4>
      </vt:variant>
      <vt:variant>
        <vt:i4>0</vt:i4>
      </vt:variant>
      <vt:variant>
        <vt:i4>5</vt:i4>
      </vt:variant>
      <vt:variant>
        <vt:lpwstr>https://www.oecd.org/content/dam/oecd/en/publications/reports/2012/12/oecd-compendium-of-productivity-indicators-2012_g1g24c58/9789264188846-en.pdf</vt:lpwstr>
      </vt:variant>
      <vt:variant>
        <vt:lpwstr/>
      </vt:variant>
      <vt:variant>
        <vt:i4>3932212</vt:i4>
      </vt:variant>
      <vt:variant>
        <vt:i4>258</vt:i4>
      </vt:variant>
      <vt:variant>
        <vt:i4>0</vt:i4>
      </vt:variant>
      <vt:variant>
        <vt:i4>5</vt:i4>
      </vt:variant>
      <vt:variant>
        <vt:lpwstr>https://www.treasury.govt.nz/sites/default/files/2025-09/ltfs-2025.pdf</vt:lpwstr>
      </vt:variant>
      <vt:variant>
        <vt:lpwstr/>
      </vt:variant>
      <vt:variant>
        <vt:i4>1245271</vt:i4>
      </vt:variant>
      <vt:variant>
        <vt:i4>255</vt:i4>
      </vt:variant>
      <vt:variant>
        <vt:i4>0</vt:i4>
      </vt:variant>
      <vt:variant>
        <vt:i4>5</vt:i4>
      </vt:variant>
      <vt:variant>
        <vt:lpwstr>https://www.nsw.gov.au/sites/default/files/noindex/2025-08/nsw-productivity-and-equality-commission-white-paper-2021.pdf</vt:lpwstr>
      </vt:variant>
      <vt:variant>
        <vt:lpwstr/>
      </vt:variant>
      <vt:variant>
        <vt:i4>1310732</vt:i4>
      </vt:variant>
      <vt:variant>
        <vt:i4>252</vt:i4>
      </vt:variant>
      <vt:variant>
        <vt:i4>0</vt:i4>
      </vt:variant>
      <vt:variant>
        <vt:i4>5</vt:i4>
      </vt:variant>
      <vt:variant>
        <vt:lpwstr>https://cepr.org/voxeu/columns/technological-progress-thing-past</vt:lpwstr>
      </vt:variant>
      <vt:variant>
        <vt:lpwstr/>
      </vt:variant>
      <vt:variant>
        <vt:i4>5308416</vt:i4>
      </vt:variant>
      <vt:variant>
        <vt:i4>249</vt:i4>
      </vt:variant>
      <vt:variant>
        <vt:i4>0</vt:i4>
      </vt:variant>
      <vt:variant>
        <vt:i4>5</vt:i4>
      </vt:variant>
      <vt:variant>
        <vt:lpwstr>https://www.rba.gov.au/publications/bulletin/2017/sep/2.html</vt:lpwstr>
      </vt:variant>
      <vt:variant>
        <vt:lpwstr/>
      </vt:variant>
      <vt:variant>
        <vt:i4>4718686</vt:i4>
      </vt:variant>
      <vt:variant>
        <vt:i4>246</vt:i4>
      </vt:variant>
      <vt:variant>
        <vt:i4>0</vt:i4>
      </vt:variant>
      <vt:variant>
        <vt:i4>5</vt:i4>
      </vt:variant>
      <vt:variant>
        <vt:lpwstr>https://treasury.gov.au/sites/default/files/2024-03/p2024-495252-01-labour-market.pdf</vt:lpwstr>
      </vt:variant>
      <vt:variant>
        <vt:lpwstr/>
      </vt:variant>
      <vt:variant>
        <vt:i4>4653143</vt:i4>
      </vt:variant>
      <vt:variant>
        <vt:i4>243</vt:i4>
      </vt:variant>
      <vt:variant>
        <vt:i4>0</vt:i4>
      </vt:variant>
      <vt:variant>
        <vt:i4>5</vt:i4>
      </vt:variant>
      <vt:variant>
        <vt:lpwstr>https://www.rba.gov.au/publications/rdp/1995/pdf/rdp9505.pdf</vt:lpwstr>
      </vt:variant>
      <vt:variant>
        <vt:lpwstr/>
      </vt:variant>
      <vt:variant>
        <vt:i4>5701738</vt:i4>
      </vt:variant>
      <vt:variant>
        <vt:i4>240</vt:i4>
      </vt:variant>
      <vt:variant>
        <vt:i4>0</vt:i4>
      </vt:variant>
      <vt:variant>
        <vt:i4>5</vt:i4>
      </vt:variant>
      <vt:variant>
        <vt:lpwstr>https://assets.pc.gov.au/2025-09/competitive-care_0.pdf?VersionId=K2iFoQ32e81h45PnxYtj83Nz5YnVkdaH</vt:lpwstr>
      </vt:variant>
      <vt:variant>
        <vt:lpwstr/>
      </vt:variant>
      <vt:variant>
        <vt:i4>131088</vt:i4>
      </vt:variant>
      <vt:variant>
        <vt:i4>237</vt:i4>
      </vt:variant>
      <vt:variant>
        <vt:i4>0</vt:i4>
      </vt:variant>
      <vt:variant>
        <vt:i4>5</vt:i4>
      </vt:variant>
      <vt:variant>
        <vt:lpwstr>https://www.rba.gov.au/publications/bulletin/2018/mar/mining-investment-beyond-the-boom.html</vt:lpwstr>
      </vt:variant>
      <vt:variant>
        <vt:lpwstr/>
      </vt:variant>
      <vt:variant>
        <vt:i4>7143474</vt:i4>
      </vt:variant>
      <vt:variant>
        <vt:i4>234</vt:i4>
      </vt:variant>
      <vt:variant>
        <vt:i4>0</vt:i4>
      </vt:variant>
      <vt:variant>
        <vt:i4>5</vt:i4>
      </vt:variant>
      <vt:variant>
        <vt:lpwstr>https://www.infrastructure.gov.au/sites/default/files/migrated/infrastructure/pab/soac/files/SOAC_Chapter_4.pdf</vt:lpwstr>
      </vt:variant>
      <vt:variant>
        <vt:lpwstr/>
      </vt:variant>
      <vt:variant>
        <vt:i4>7143442</vt:i4>
      </vt:variant>
      <vt:variant>
        <vt:i4>231</vt:i4>
      </vt:variant>
      <vt:variant>
        <vt:i4>0</vt:i4>
      </vt:variant>
      <vt:variant>
        <vt:i4>5</vt:i4>
      </vt:variant>
      <vt:variant>
        <vt:lpwstr>https://www.nber.org/system/files/working_papers/w4854/w4854.pdf</vt:lpwstr>
      </vt:variant>
      <vt:variant>
        <vt:lpwstr/>
      </vt:variant>
      <vt:variant>
        <vt:i4>5308508</vt:i4>
      </vt:variant>
      <vt:variant>
        <vt:i4>228</vt:i4>
      </vt:variant>
      <vt:variant>
        <vt:i4>0</vt:i4>
      </vt:variant>
      <vt:variant>
        <vt:i4>5</vt:i4>
      </vt:variant>
      <vt:variant>
        <vt:lpwstr>https://www.rba.gov.au/publications/rdp/2025/2025-05.html</vt:lpwstr>
      </vt:variant>
      <vt:variant>
        <vt:lpwstr/>
      </vt:variant>
      <vt:variant>
        <vt:i4>2556018</vt:i4>
      </vt:variant>
      <vt:variant>
        <vt:i4>225</vt:i4>
      </vt:variant>
      <vt:variant>
        <vt:i4>0</vt:i4>
      </vt:variant>
      <vt:variant>
        <vt:i4>5</vt:i4>
      </vt:variant>
      <vt:variant>
        <vt:lpwstr>https://www.rba.gov.au/publications/rdp/2023/pdf/rdp2023-03.pdf</vt:lpwstr>
      </vt:variant>
      <vt:variant>
        <vt:lpwstr/>
      </vt:variant>
      <vt:variant>
        <vt:i4>721012</vt:i4>
      </vt:variant>
      <vt:variant>
        <vt:i4>222</vt:i4>
      </vt:variant>
      <vt:variant>
        <vt:i4>0</vt:i4>
      </vt:variant>
      <vt:variant>
        <vt:i4>5</vt:i4>
      </vt:variant>
      <vt:variant>
        <vt:lpwstr>https://www.nber.org/system/files/working_papers/w18315/w18315.pdf</vt:lpwstr>
      </vt:variant>
      <vt:variant>
        <vt:lpwstr/>
      </vt:variant>
      <vt:variant>
        <vt:i4>7209051</vt:i4>
      </vt:variant>
      <vt:variant>
        <vt:i4>219</vt:i4>
      </vt:variant>
      <vt:variant>
        <vt:i4>0</vt:i4>
      </vt:variant>
      <vt:variant>
        <vt:i4>5</vt:i4>
      </vt:variant>
      <vt:variant>
        <vt:lpwstr>https://www.brookings.edu/wp-content/uploads/2018/09/Farhi-Gourio_final-draft.pdf</vt:lpwstr>
      </vt:variant>
      <vt:variant>
        <vt:lpwstr/>
      </vt:variant>
      <vt:variant>
        <vt:i4>2293868</vt:i4>
      </vt:variant>
      <vt:variant>
        <vt:i4>216</vt:i4>
      </vt:variant>
      <vt:variant>
        <vt:i4>0</vt:i4>
      </vt:variant>
      <vt:variant>
        <vt:i4>5</vt:i4>
      </vt:variant>
      <vt:variant>
        <vt:lpwstr>https://assets.pc.gov.au/research/supporting/high-investment-hurdle-rates/high-investment-hurdle-rates.pdf</vt:lpwstr>
      </vt:variant>
      <vt:variant>
        <vt:lpwstr/>
      </vt:variant>
      <vt:variant>
        <vt:i4>4325397</vt:i4>
      </vt:variant>
      <vt:variant>
        <vt:i4>213</vt:i4>
      </vt:variant>
      <vt:variant>
        <vt:i4>0</vt:i4>
      </vt:variant>
      <vt:variant>
        <vt:i4>5</vt:i4>
      </vt:variant>
      <vt:variant>
        <vt:lpwstr>https://assets.pc.gov.au/research/supporting/australia-match-usa/productivityperformance.pdf</vt:lpwstr>
      </vt:variant>
      <vt:variant>
        <vt:lpwstr/>
      </vt:variant>
      <vt:variant>
        <vt:i4>2621486</vt:i4>
      </vt:variant>
      <vt:variant>
        <vt:i4>210</vt:i4>
      </vt:variant>
      <vt:variant>
        <vt:i4>0</vt:i4>
      </vt:variant>
      <vt:variant>
        <vt:i4>5</vt:i4>
      </vt:variant>
      <vt:variant>
        <vt:lpwstr>https://openknowledge.worldbank.org/bitstream/handle/10986/34015/9781464816086.pdf</vt:lpwstr>
      </vt:variant>
      <vt:variant>
        <vt:lpwstr/>
      </vt:variant>
      <vt:variant>
        <vt:i4>2097279</vt:i4>
      </vt:variant>
      <vt:variant>
        <vt:i4>207</vt:i4>
      </vt:variant>
      <vt:variant>
        <vt:i4>0</vt:i4>
      </vt:variant>
      <vt:variant>
        <vt:i4>5</vt:i4>
      </vt:variant>
      <vt:variant>
        <vt:lpwstr>https://treasury.gov.au/sites/default/files/2019-11/p2019-37418-jobswitching-v2.pdf</vt:lpwstr>
      </vt:variant>
      <vt:variant>
        <vt:lpwstr/>
      </vt:variant>
      <vt:variant>
        <vt:i4>5374035</vt:i4>
      </vt:variant>
      <vt:variant>
        <vt:i4>204</vt:i4>
      </vt:variant>
      <vt:variant>
        <vt:i4>0</vt:i4>
      </vt:variant>
      <vt:variant>
        <vt:i4>5</vt:i4>
      </vt:variant>
      <vt:variant>
        <vt:lpwstr>https://budget.canada.ca/2025/report-rapport/pdf/budget-2025.pdf</vt:lpwstr>
      </vt:variant>
      <vt:variant>
        <vt:lpwstr/>
      </vt:variant>
      <vt:variant>
        <vt:i4>6094851</vt:i4>
      </vt:variant>
      <vt:variant>
        <vt:i4>201</vt:i4>
      </vt:variant>
      <vt:variant>
        <vt:i4>0</vt:i4>
      </vt:variant>
      <vt:variant>
        <vt:i4>5</vt:i4>
      </vt:variant>
      <vt:variant>
        <vt:lpwstr>https://treasury.gov.au/sites/default/files/2022-10/p2022-325290-productivity-growth.pdf</vt:lpwstr>
      </vt:variant>
      <vt:variant>
        <vt:lpwstr/>
      </vt:variant>
      <vt:variant>
        <vt:i4>7012434</vt:i4>
      </vt:variant>
      <vt:variant>
        <vt:i4>198</vt:i4>
      </vt:variant>
      <vt:variant>
        <vt:i4>0</vt:i4>
      </vt:variant>
      <vt:variant>
        <vt:i4>5</vt:i4>
      </vt:variant>
      <vt:variant>
        <vt:lpwstr>https://www.researchgate.net/publication/4724731_The_Dynamo_and_the_Computer_An_Historical_Perspective_On_the_Modern_Productivity_Paradox</vt:lpwstr>
      </vt:variant>
      <vt:variant>
        <vt:lpwstr/>
      </vt:variant>
      <vt:variant>
        <vt:i4>131096</vt:i4>
      </vt:variant>
      <vt:variant>
        <vt:i4>195</vt:i4>
      </vt:variant>
      <vt:variant>
        <vt:i4>0</vt:i4>
      </vt:variant>
      <vt:variant>
        <vt:i4>5</vt:i4>
      </vt:variant>
      <vt:variant>
        <vt:lpwstr>https://www.lse.ac.uk/Economic-History/Assets/Documents/Research/LSTC/wp7503.pdf</vt:lpwstr>
      </vt:variant>
      <vt:variant>
        <vt:lpwstr/>
      </vt:variant>
      <vt:variant>
        <vt:i4>4784202</vt:i4>
      </vt:variant>
      <vt:variant>
        <vt:i4>192</vt:i4>
      </vt:variant>
      <vt:variant>
        <vt:i4>0</vt:i4>
      </vt:variant>
      <vt:variant>
        <vt:i4>5</vt:i4>
      </vt:variant>
      <vt:variant>
        <vt:lpwstr>https://www.cbo.gov/system/files/2026-02/57054-2026-02-LTBO-econ.xlsx</vt:lpwstr>
      </vt:variant>
      <vt:variant>
        <vt:lpwstr/>
      </vt:variant>
      <vt:variant>
        <vt:i4>8323161</vt:i4>
      </vt:variant>
      <vt:variant>
        <vt:i4>189</vt:i4>
      </vt:variant>
      <vt:variant>
        <vt:i4>0</vt:i4>
      </vt:variant>
      <vt:variant>
        <vt:i4>5</vt:i4>
      </vt:variant>
      <vt:variant>
        <vt:lpwstr>https://www.conference-board.org/pdf_free/TED-SummaryTables-Charts-may2025.pdf</vt:lpwstr>
      </vt:variant>
      <vt:variant>
        <vt:lpwstr/>
      </vt:variant>
      <vt:variant>
        <vt:i4>4456534</vt:i4>
      </vt:variant>
      <vt:variant>
        <vt:i4>186</vt:i4>
      </vt:variant>
      <vt:variant>
        <vt:i4>0</vt:i4>
      </vt:variant>
      <vt:variant>
        <vt:i4>5</vt:i4>
      </vt:variant>
      <vt:variant>
        <vt:lpwstr>https://www.aeaweb.org/articles?id=10.1257/aer.100.5.2031</vt:lpwstr>
      </vt:variant>
      <vt:variant>
        <vt:lpwstr/>
      </vt:variant>
      <vt:variant>
        <vt:i4>2293807</vt:i4>
      </vt:variant>
      <vt:variant>
        <vt:i4>183</vt:i4>
      </vt:variant>
      <vt:variant>
        <vt:i4>0</vt:i4>
      </vt:variant>
      <vt:variant>
        <vt:i4>5</vt:i4>
      </vt:variant>
      <vt:variant>
        <vt:lpwstr>https://e61.in/wp-content/uploads/2023/11/Productivity-in-motion-the-role-of-job-switching.pdf</vt:lpwstr>
      </vt:variant>
      <vt:variant>
        <vt:lpwstr/>
      </vt:variant>
      <vt:variant>
        <vt:i4>2097197</vt:i4>
      </vt:variant>
      <vt:variant>
        <vt:i4>180</vt:i4>
      </vt:variant>
      <vt:variant>
        <vt:i4>0</vt:i4>
      </vt:variant>
      <vt:variant>
        <vt:i4>5</vt:i4>
      </vt:variant>
      <vt:variant>
        <vt:lpwstr>https://www.ft.com/content/4b51d0b4-bbfe-4f05-b50a-1d485d419dc5</vt:lpwstr>
      </vt:variant>
      <vt:variant>
        <vt:lpwstr/>
      </vt:variant>
      <vt:variant>
        <vt:i4>4587598</vt:i4>
      </vt:variant>
      <vt:variant>
        <vt:i4>177</vt:i4>
      </vt:variant>
      <vt:variant>
        <vt:i4>0</vt:i4>
      </vt:variant>
      <vt:variant>
        <vt:i4>5</vt:i4>
      </vt:variant>
      <vt:variant>
        <vt:lpwstr>https://dl.acm.org/doi/10.1145/163298.163309</vt:lpwstr>
      </vt:variant>
      <vt:variant>
        <vt:lpwstr/>
      </vt:variant>
      <vt:variant>
        <vt:i4>262153</vt:i4>
      </vt:variant>
      <vt:variant>
        <vt:i4>174</vt:i4>
      </vt:variant>
      <vt:variant>
        <vt:i4>0</vt:i4>
      </vt:variant>
      <vt:variant>
        <vt:i4>5</vt:i4>
      </vt:variant>
      <vt:variant>
        <vt:lpwstr>https://www.rba.gov.au/publications/bulletin/2025/jul/pdf/a-closer-to-real-time-labour-quality-index.pdf</vt:lpwstr>
      </vt:variant>
      <vt:variant>
        <vt:lpwstr/>
      </vt:variant>
      <vt:variant>
        <vt:i4>7143442</vt:i4>
      </vt:variant>
      <vt:variant>
        <vt:i4>171</vt:i4>
      </vt:variant>
      <vt:variant>
        <vt:i4>0</vt:i4>
      </vt:variant>
      <vt:variant>
        <vt:i4>5</vt:i4>
      </vt:variant>
      <vt:variant>
        <vt:lpwstr>https://www.nber.org/system/files/working_papers/w4148/w4148.pdf</vt:lpwstr>
      </vt:variant>
      <vt:variant>
        <vt:lpwstr/>
      </vt:variant>
      <vt:variant>
        <vt:i4>5439556</vt:i4>
      </vt:variant>
      <vt:variant>
        <vt:i4>168</vt:i4>
      </vt:variant>
      <vt:variant>
        <vt:i4>0</vt:i4>
      </vt:variant>
      <vt:variant>
        <vt:i4>5</vt:i4>
      </vt:variant>
      <vt:variant>
        <vt:lpwstr>https://treasury.gov.au/sites/default/files/2019-03/TWP_03_2006.pdf</vt:lpwstr>
      </vt:variant>
      <vt:variant>
        <vt:lpwstr/>
      </vt:variant>
      <vt:variant>
        <vt:i4>5636186</vt:i4>
      </vt:variant>
      <vt:variant>
        <vt:i4>165</vt:i4>
      </vt:variant>
      <vt:variant>
        <vt:i4>0</vt:i4>
      </vt:variant>
      <vt:variant>
        <vt:i4>5</vt:i4>
      </vt:variant>
      <vt:variant>
        <vt:lpwstr>https://treasury.gov.au/sites/default/files/2025-11/hots_b_investment.pdf</vt:lpwstr>
      </vt:variant>
      <vt:variant>
        <vt:lpwstr/>
      </vt:variant>
      <vt:variant>
        <vt:i4>3014676</vt:i4>
      </vt:variant>
      <vt:variant>
        <vt:i4>162</vt:i4>
      </vt:variant>
      <vt:variant>
        <vt:i4>0</vt:i4>
      </vt:variant>
      <vt:variant>
        <vt:i4>5</vt:i4>
      </vt:variant>
      <vt:variant>
        <vt:lpwstr>https://treasury.gov.au/sites/default/files/2019-11/p2019-37418-productivity_0.pdf</vt:lpwstr>
      </vt:variant>
      <vt:variant>
        <vt:lpwstr/>
      </vt:variant>
      <vt:variant>
        <vt:i4>262225</vt:i4>
      </vt:variant>
      <vt:variant>
        <vt:i4>159</vt:i4>
      </vt:variant>
      <vt:variant>
        <vt:i4>0</vt:i4>
      </vt:variant>
      <vt:variant>
        <vt:i4>5</vt:i4>
      </vt:variant>
      <vt:variant>
        <vt:lpwstr>https://treasury.gov.au/sites/default/files/2022-02/p2022-243535.pdf</vt:lpwstr>
      </vt:variant>
      <vt:variant>
        <vt:lpwstr/>
      </vt:variant>
      <vt:variant>
        <vt:i4>196660</vt:i4>
      </vt:variant>
      <vt:variant>
        <vt:i4>156</vt:i4>
      </vt:variant>
      <vt:variant>
        <vt:i4>0</vt:i4>
      </vt:variant>
      <vt:variant>
        <vt:i4>5</vt:i4>
      </vt:variant>
      <vt:variant>
        <vt:lpwstr>https://www.oecd.org/content/dam/oecd/en/publications/reports/2025/04/five-facts-on-non-compete-and-related-clauses-in-oecd-countries_99391f6f/727da13e-en.pdf</vt:lpwstr>
      </vt:variant>
      <vt:variant>
        <vt:lpwstr/>
      </vt:variant>
      <vt:variant>
        <vt:i4>1441827</vt:i4>
      </vt:variant>
      <vt:variant>
        <vt:i4>153</vt:i4>
      </vt:variant>
      <vt:variant>
        <vt:i4>0</vt:i4>
      </vt:variant>
      <vt:variant>
        <vt:i4>5</vt:i4>
      </vt:variant>
      <vt:variant>
        <vt:lpwstr>https://www.oecd.org/en/publications/the-best-versus-the-rest_63629cc9-en.html</vt:lpwstr>
      </vt:variant>
      <vt:variant>
        <vt:lpwstr/>
      </vt:variant>
      <vt:variant>
        <vt:i4>6881318</vt:i4>
      </vt:variant>
      <vt:variant>
        <vt:i4>150</vt:i4>
      </vt:variant>
      <vt:variant>
        <vt:i4>0</vt:i4>
      </vt:variant>
      <vt:variant>
        <vt:i4>5</vt:i4>
      </vt:variant>
      <vt:variant>
        <vt:lpwstr>https://www.agriculture.gov.au/abares/research-topics/productivity/agricultural-productivity-estimates</vt:lpwstr>
      </vt:variant>
      <vt:variant>
        <vt:lpwstr/>
      </vt:variant>
      <vt:variant>
        <vt:i4>8126588</vt:i4>
      </vt:variant>
      <vt:variant>
        <vt:i4>147</vt:i4>
      </vt:variant>
      <vt:variant>
        <vt:i4>0</vt:i4>
      </vt:variant>
      <vt:variant>
        <vt:i4>5</vt:i4>
      </vt:variant>
      <vt:variant>
        <vt:lpwstr>https://www.agriculture.gov.au/abares/research-topics/productivity/productivity-drivers</vt:lpwstr>
      </vt:variant>
      <vt:variant>
        <vt:lpwstr/>
      </vt:variant>
      <vt:variant>
        <vt:i4>5963845</vt:i4>
      </vt:variant>
      <vt:variant>
        <vt:i4>144</vt:i4>
      </vt:variant>
      <vt:variant>
        <vt:i4>0</vt:i4>
      </vt:variant>
      <vt:variant>
        <vt:i4>5</vt:i4>
      </vt:variant>
      <vt:variant>
        <vt:lpwstr>https://www.abs.gov.au/methodologies/estimates-industry-multifactor-productivity-methodology/2024-25</vt:lpwstr>
      </vt:variant>
      <vt:variant>
        <vt:lpwstr/>
      </vt:variant>
      <vt:variant>
        <vt:i4>3866680</vt:i4>
      </vt:variant>
      <vt:variant>
        <vt:i4>141</vt:i4>
      </vt:variant>
      <vt:variant>
        <vt:i4>0</vt:i4>
      </vt:variant>
      <vt:variant>
        <vt:i4>5</vt:i4>
      </vt:variant>
      <vt:variant>
        <vt:lpwstr>https://www.abs.gov.au/articles/primer-labour-productivity</vt:lpwstr>
      </vt:variant>
      <vt:variant>
        <vt:lpwstr/>
      </vt:variant>
      <vt:variant>
        <vt:i4>5636108</vt:i4>
      </vt:variant>
      <vt:variant>
        <vt:i4>138</vt:i4>
      </vt:variant>
      <vt:variant>
        <vt:i4>0</vt:i4>
      </vt:variant>
      <vt:variant>
        <vt:i4>5</vt:i4>
      </vt:variant>
      <vt:variant>
        <vt:lpwstr>https://www.abs.gov.au/articles/interpreting-abs-productivity-statistics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Treasury Submission to the Select Committee on Productivity in Australia</dc:title>
  <dc:subject/>
  <dc:creator>Treasury</dc:creator>
  <cp:keywords/>
  <cp:lastModifiedBy/>
  <cp:revision>1</cp:revision>
  <dcterms:created xsi:type="dcterms:W3CDTF">2026-03-19T23:20:00Z</dcterms:created>
  <dcterms:modified xsi:type="dcterms:W3CDTF">2026-03-19T23:22:00Z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2026-03-19T23:22:54Z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303bf2b5-06d3-4e70-8faf-2e5d251e1fb0</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