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1CEA" w14:textId="77777777" w:rsidR="00236901" w:rsidRDefault="00861105" w:rsidP="00236901">
      <w:pPr>
        <w:spacing w:before="360"/>
        <w:ind w:right="95"/>
        <w:jc w:val="center"/>
      </w:pPr>
      <w:r>
        <w:rPr>
          <w:caps/>
          <w:noProof/>
        </w:rPr>
        <w:drawing>
          <wp:inline distT="0" distB="0" distL="0" distR="0" wp14:anchorId="6C7DEC8E" wp14:editId="35E903A4">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549569B" w:rsidR="002A31E6" w:rsidRPr="00EC7701" w:rsidRDefault="00861105"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F63F4D"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C30D6C">
            <w:rPr>
              <w:rFonts w:ascii="Montserrat Light" w:hAnsi="Montserrat Light"/>
              <w:sz w:val="32"/>
              <w:szCs w:val="32"/>
            </w:rPr>
            <w:t>Inquiry into Treasury Laws Amendment (Mergers and Acquisitions Reform) Bill 2024</w:t>
          </w:r>
        </w:sdtContent>
      </w:sdt>
    </w:p>
    <w:p w14:paraId="342B6F22" w14:textId="4B9A951D" w:rsidR="006037BE" w:rsidRPr="00EC7701" w:rsidRDefault="00EF10EF" w:rsidP="006037BE">
      <w:pPr>
        <w:jc w:val="right"/>
        <w:rPr>
          <w:rFonts w:ascii="Montserrat Light" w:hAnsi="Montserrat Light"/>
          <w:caps/>
          <w:sz w:val="28"/>
          <w:szCs w:val="28"/>
        </w:rPr>
      </w:pPr>
      <w:r>
        <w:rPr>
          <w:rFonts w:ascii="Montserrat Light" w:hAnsi="Montserrat Light"/>
          <w:sz w:val="28"/>
          <w:szCs w:val="28"/>
        </w:rPr>
        <w:t>March</w:t>
      </w:r>
      <w:r w:rsidR="00861105" w:rsidRPr="00861105">
        <w:rPr>
          <w:rFonts w:ascii="Montserrat Light" w:hAnsi="Montserrat Light"/>
          <w:sz w:val="28"/>
          <w:szCs w:val="28"/>
        </w:rPr>
        <w:t xml:space="preserve"> 2026</w:t>
      </w:r>
    </w:p>
    <w:p w14:paraId="1455F258" w14:textId="33E74D48" w:rsidR="00236901" w:rsidRDefault="00236901" w:rsidP="002A31E6">
      <w:pPr>
        <w:jc w:val="right"/>
        <w:rPr>
          <w:rFonts w:ascii="Montserrat Light" w:hAnsi="Montserrat Light"/>
          <w:sz w:val="28"/>
          <w:szCs w:val="28"/>
        </w:rPr>
      </w:pP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38EC6997" w14:textId="77777777" w:rsidR="00B47ECF" w:rsidRPr="00C47A9C" w:rsidRDefault="00861105" w:rsidP="0077630F">
      <w:pPr>
        <w:pStyle w:val="Heading1"/>
      </w:pPr>
      <w:bookmarkStart w:id="0" w:name="_Toc256000000"/>
      <w:bookmarkStart w:id="1" w:name="_Toc307237589"/>
      <w:r w:rsidRPr="00C47A9C">
        <w:lastRenderedPageBreak/>
        <w:t>Introduction</w:t>
      </w:r>
      <w:bookmarkEnd w:id="0"/>
      <w:bookmarkEnd w:id="1"/>
    </w:p>
    <w:p w14:paraId="64D1E10E" w14:textId="77777777" w:rsidR="006037BE" w:rsidRPr="00D57A4A" w:rsidRDefault="00861105" w:rsidP="006037BE">
      <w:pPr>
        <w:rPr>
          <w:rFonts w:asciiTheme="majorHAnsi" w:hAnsiTheme="majorHAnsi" w:cstheme="majorHAnsi"/>
        </w:rPr>
      </w:pPr>
      <w:r w:rsidRPr="00D57A4A">
        <w:rPr>
          <w:rFonts w:asciiTheme="majorHAnsi" w:hAnsiTheme="majorHAnsi" w:cstheme="majorHAnsi"/>
        </w:rPr>
        <w:t xml:space="preserve">This </w:t>
      </w:r>
      <w:r w:rsidRPr="00136C80">
        <w:rPr>
          <w:rFonts w:asciiTheme="majorHAnsi" w:hAnsiTheme="majorHAnsi" w:cstheme="majorHAnsi"/>
        </w:rPr>
        <w:t xml:space="preserve">Treasury Laws Amendment (Mergers and Acquisitions Reform) Bill 2024 </w:t>
      </w:r>
      <w:r w:rsidRPr="00D57A4A">
        <w:rPr>
          <w:rFonts w:asciiTheme="majorHAnsi" w:hAnsiTheme="majorHAnsi" w:cstheme="majorHAnsi"/>
        </w:rPr>
        <w:t xml:space="preserve">includes a package of reforms to modernise Australia’s merger review framework. </w:t>
      </w:r>
      <w:r>
        <w:rPr>
          <w:rFonts w:asciiTheme="majorHAnsi" w:hAnsiTheme="majorHAnsi" w:cstheme="majorHAnsi"/>
        </w:rPr>
        <w:t xml:space="preserve">The Bill </w:t>
      </w:r>
      <w:r w:rsidRPr="00D57A4A">
        <w:rPr>
          <w:rFonts w:asciiTheme="majorHAnsi" w:hAnsiTheme="majorHAnsi" w:cstheme="majorHAnsi"/>
        </w:rPr>
        <w:t>replaces Australia’s current approach to merger control with a faster, stronger, simpler, targeted, more transparent and streamlined system that better addresses anti</w:t>
      </w:r>
      <w:r w:rsidRPr="00D57A4A">
        <w:rPr>
          <w:rFonts w:asciiTheme="majorHAnsi" w:hAnsiTheme="majorHAnsi" w:cstheme="majorHAnsi"/>
        </w:rPr>
        <w:noBreakHyphen/>
        <w:t>competitive mergers and acquisitions.</w:t>
      </w:r>
    </w:p>
    <w:p w14:paraId="62B3B0D3" w14:textId="21141D91" w:rsidR="006037BE" w:rsidRPr="00D57A4A" w:rsidRDefault="00861105" w:rsidP="006037BE">
      <w:pPr>
        <w:rPr>
          <w:rFonts w:asciiTheme="majorHAnsi" w:hAnsiTheme="majorHAnsi" w:cstheme="majorHAnsi"/>
        </w:rPr>
      </w:pPr>
      <w:r w:rsidRPr="00D57A4A">
        <w:rPr>
          <w:rFonts w:asciiTheme="majorHAnsi" w:hAnsiTheme="majorHAnsi" w:cstheme="majorHAnsi"/>
        </w:rPr>
        <w:t>The Bill:</w:t>
      </w:r>
    </w:p>
    <w:p w14:paraId="22936738" w14:textId="640E144F" w:rsidR="006037BE" w:rsidRPr="00D57A4A" w:rsidRDefault="00861105" w:rsidP="006037BE">
      <w:pPr>
        <w:pStyle w:val="Bullet"/>
      </w:pPr>
      <w:r w:rsidRPr="00D57A4A">
        <w:t xml:space="preserve">introduces a requirement for certain acquisitions to be notified to the </w:t>
      </w:r>
      <w:r w:rsidRPr="0053687B">
        <w:t>Australian Competition and Consumer C</w:t>
      </w:r>
      <w:r w:rsidRPr="00D57A4A">
        <w:t>ommission</w:t>
      </w:r>
      <w:r>
        <w:t xml:space="preserve"> (ACCC)</w:t>
      </w:r>
      <w:r w:rsidRPr="00D57A4A">
        <w:t xml:space="preserve"> for assessment prior to </w:t>
      </w:r>
      <w:r>
        <w:t>being put into effect</w:t>
      </w:r>
      <w:r w:rsidRPr="00D57A4A">
        <w:t>, with penalties to support compliance</w:t>
      </w:r>
    </w:p>
    <w:p w14:paraId="0BEB9DA6" w14:textId="17BCF2B7" w:rsidR="006037BE" w:rsidRPr="00D57A4A" w:rsidRDefault="00861105" w:rsidP="006037BE">
      <w:pPr>
        <w:pStyle w:val="Bullet"/>
      </w:pPr>
      <w:r w:rsidRPr="00D57A4A">
        <w:t xml:space="preserve">establishes a new administrative system where the </w:t>
      </w:r>
      <w:r>
        <w:t>ACCC</w:t>
      </w:r>
      <w:r w:rsidRPr="00D57A4A">
        <w:t xml:space="preserve"> </w:t>
      </w:r>
      <w:r>
        <w:t>is the first instance decision maker on</w:t>
      </w:r>
      <w:r w:rsidRPr="00D57A4A">
        <w:t xml:space="preserve"> whether the acquisition is likely to substantially lessen competition in a market, or </w:t>
      </w:r>
      <w:r>
        <w:t>(following the competition assessment) whether likely</w:t>
      </w:r>
      <w:r w:rsidRPr="00D57A4A">
        <w:t xml:space="preserve"> public benefit</w:t>
      </w:r>
      <w:r>
        <w:t>s would outweigh the public detriments</w:t>
      </w:r>
    </w:p>
    <w:p w14:paraId="690B95A9" w14:textId="46B806F6" w:rsidR="006037BE" w:rsidRPr="00D57A4A" w:rsidRDefault="00861105" w:rsidP="006037BE">
      <w:pPr>
        <w:pStyle w:val="Bullet"/>
      </w:pPr>
      <w:r w:rsidRPr="00D57A4A">
        <w:t>streamlines the assessment of mergers and acquisitions with clear timelines</w:t>
      </w:r>
    </w:p>
    <w:p w14:paraId="7C79629C" w14:textId="77777777" w:rsidR="006037BE" w:rsidRPr="00D57A4A" w:rsidRDefault="00861105" w:rsidP="006037BE">
      <w:pPr>
        <w:pStyle w:val="Bullet"/>
      </w:pPr>
      <w:r w:rsidRPr="00D57A4A">
        <w:t xml:space="preserve">promotes integrity and good decision-making by providing for review of </w:t>
      </w:r>
      <w:r>
        <w:t>ACCC</w:t>
      </w:r>
      <w:r w:rsidRPr="00D57A4A">
        <w:t xml:space="preserve"> decisions by the Tribunal</w:t>
      </w:r>
    </w:p>
    <w:p w14:paraId="57C9024A" w14:textId="77777777" w:rsidR="006037BE" w:rsidRPr="00D57A4A" w:rsidRDefault="00861105" w:rsidP="006037BE">
      <w:pPr>
        <w:pStyle w:val="Bullet"/>
      </w:pPr>
      <w:r w:rsidRPr="00D57A4A">
        <w:t xml:space="preserve">enhances transparency through </w:t>
      </w:r>
      <w:r>
        <w:t xml:space="preserve">the </w:t>
      </w:r>
      <w:r w:rsidRPr="00D57A4A">
        <w:t>establishment of a public register of notified acquisitions and other procedural safeguards</w:t>
      </w:r>
    </w:p>
    <w:p w14:paraId="5569C864" w14:textId="77777777" w:rsidR="006037BE" w:rsidRPr="00D57A4A" w:rsidRDefault="00861105" w:rsidP="006037BE">
      <w:pPr>
        <w:pStyle w:val="Bullet"/>
      </w:pPr>
      <w:r w:rsidRPr="00D57A4A">
        <w:t xml:space="preserve">provides that fees are payable for certain actions under the reforms. </w:t>
      </w:r>
    </w:p>
    <w:p w14:paraId="563999AA" w14:textId="77777777" w:rsidR="006037BE" w:rsidRPr="00D57A4A" w:rsidRDefault="00861105" w:rsidP="006037BE">
      <w:pPr>
        <w:rPr>
          <w:rFonts w:asciiTheme="majorHAnsi" w:hAnsiTheme="majorHAnsi" w:cstheme="majorHAnsi"/>
        </w:rPr>
      </w:pPr>
      <w:r w:rsidRPr="00D57A4A">
        <w:rPr>
          <w:rFonts w:asciiTheme="majorHAnsi" w:hAnsiTheme="majorHAnsi" w:cstheme="majorHAnsi"/>
        </w:rPr>
        <w:t xml:space="preserve">The Bill passed both Houses on </w:t>
      </w:r>
      <w:r>
        <w:rPr>
          <w:rFonts w:asciiTheme="majorHAnsi" w:hAnsiTheme="majorHAnsi" w:cstheme="majorHAnsi"/>
        </w:rPr>
        <w:t>28 November 2024</w:t>
      </w:r>
      <w:r w:rsidRPr="00D57A4A">
        <w:rPr>
          <w:rFonts w:asciiTheme="majorHAnsi" w:hAnsiTheme="majorHAnsi" w:cstheme="majorHAnsi"/>
        </w:rPr>
        <w:t xml:space="preserve"> and received Royal Assent on </w:t>
      </w:r>
      <w:r>
        <w:rPr>
          <w:rFonts w:asciiTheme="majorHAnsi" w:hAnsiTheme="majorHAnsi" w:cstheme="majorHAnsi"/>
        </w:rPr>
        <w:t xml:space="preserve">10 December 2024 </w:t>
      </w:r>
      <w:r w:rsidRPr="00D57A4A">
        <w:rPr>
          <w:rFonts w:asciiTheme="majorHAnsi" w:hAnsiTheme="majorHAnsi" w:cstheme="majorHAnsi"/>
        </w:rPr>
        <w:t xml:space="preserve">as the </w:t>
      </w:r>
      <w:r w:rsidRPr="00BD2AE1">
        <w:rPr>
          <w:rFonts w:asciiTheme="majorHAnsi" w:hAnsiTheme="majorHAnsi" w:cstheme="majorHAnsi"/>
          <w:i/>
          <w:iCs/>
        </w:rPr>
        <w:t>Treasury Laws Amendment (Mergers and Acquisitions Reform) Act 2024</w:t>
      </w:r>
      <w:r>
        <w:rPr>
          <w:rFonts w:asciiTheme="majorHAnsi" w:hAnsiTheme="majorHAnsi" w:cstheme="majorHAnsi"/>
        </w:rPr>
        <w:t>.</w:t>
      </w:r>
    </w:p>
    <w:p w14:paraId="7AC8F9D4" w14:textId="77777777" w:rsidR="006037BE" w:rsidRDefault="00861105" w:rsidP="006037BE">
      <w:pPr>
        <w:rPr>
          <w:rFonts w:asciiTheme="majorHAnsi" w:hAnsiTheme="majorHAnsi" w:cstheme="majorHAnsi"/>
        </w:rPr>
      </w:pPr>
      <w:r>
        <w:t>The Government thanks the Senate Economics Legislation Committee for its inquiry into the Bill, and thanks the organisations and individuals who made submissions to the inquiry and participated in the public hearing.</w:t>
      </w:r>
    </w:p>
    <w:p w14:paraId="19525830" w14:textId="03D23323" w:rsidR="00936E2B" w:rsidRDefault="00861105" w:rsidP="000957B5">
      <w:pPr>
        <w:rPr>
          <w:rFonts w:asciiTheme="majorHAnsi" w:hAnsiTheme="majorHAnsi" w:cstheme="majorHAnsi"/>
        </w:rPr>
      </w:pPr>
      <w:r w:rsidRPr="00D57A4A">
        <w:rPr>
          <w:rFonts w:asciiTheme="majorHAnsi" w:hAnsiTheme="majorHAnsi" w:cstheme="majorHAnsi"/>
        </w:rPr>
        <w:t>The Government’s responses to the recommendations made in the Committee’s final report are provided below. In line with the guidelines on Government responses, recommendations that a bill or bills be passed, rejected, or amended have not been responded to. This includes the Committee’s recommendation in the Main Report that the Senate pass the Bill</w:t>
      </w:r>
      <w:r>
        <w:rPr>
          <w:rFonts w:asciiTheme="majorHAnsi" w:hAnsiTheme="majorHAnsi" w:cstheme="majorHAnsi"/>
        </w:rPr>
        <w:t>,</w:t>
      </w:r>
      <w:r w:rsidRPr="00D57A4A">
        <w:rPr>
          <w:rFonts w:asciiTheme="majorHAnsi" w:hAnsiTheme="majorHAnsi" w:cstheme="majorHAnsi"/>
        </w:rPr>
        <w:t xml:space="preserve"> recommendation </w:t>
      </w:r>
      <w:r>
        <w:rPr>
          <w:rFonts w:asciiTheme="majorHAnsi" w:hAnsiTheme="majorHAnsi" w:cstheme="majorHAnsi"/>
        </w:rPr>
        <w:t>1</w:t>
      </w:r>
      <w:r w:rsidRPr="00D57A4A">
        <w:rPr>
          <w:rFonts w:asciiTheme="majorHAnsi" w:hAnsiTheme="majorHAnsi" w:cstheme="majorHAnsi"/>
        </w:rPr>
        <w:t xml:space="preserve"> in the</w:t>
      </w:r>
      <w:r>
        <w:rPr>
          <w:rFonts w:asciiTheme="majorHAnsi" w:hAnsiTheme="majorHAnsi" w:cstheme="majorHAnsi"/>
        </w:rPr>
        <w:t xml:space="preserve"> Coalition </w:t>
      </w:r>
      <w:r w:rsidRPr="00D37BE1">
        <w:t>Senators'</w:t>
      </w:r>
      <w:r>
        <w:t xml:space="preserve"> </w:t>
      </w:r>
      <w:r>
        <w:rPr>
          <w:rFonts w:asciiTheme="majorHAnsi" w:hAnsiTheme="majorHAnsi" w:cstheme="majorHAnsi"/>
        </w:rPr>
        <w:t>additional comments and recommendation 1 in the</w:t>
      </w:r>
      <w:r w:rsidRPr="00D57A4A">
        <w:rPr>
          <w:rFonts w:asciiTheme="majorHAnsi" w:hAnsiTheme="majorHAnsi" w:cstheme="majorHAnsi"/>
        </w:rPr>
        <w:t xml:space="preserve"> Greens Senators' additional comments</w:t>
      </w:r>
      <w:r>
        <w:rPr>
          <w:rFonts w:asciiTheme="majorHAnsi" w:hAnsiTheme="majorHAnsi" w:cstheme="majorHAnsi"/>
        </w:rPr>
        <w:t>.</w:t>
      </w:r>
    </w:p>
    <w:p w14:paraId="0EC6BF9E" w14:textId="767C4AE6" w:rsidR="00C47A9C" w:rsidRPr="00D57A4A" w:rsidRDefault="00861105" w:rsidP="00D57A4A">
      <w:pPr>
        <w:rPr>
          <w:rFonts w:asciiTheme="majorHAnsi" w:hAnsiTheme="majorHAnsi" w:cstheme="majorHAnsi"/>
        </w:rPr>
      </w:pPr>
      <w:r w:rsidRPr="00C47A9C">
        <w:rPr>
          <w:caps/>
          <w:sz w:val="28"/>
          <w:szCs w:val="28"/>
        </w:rPr>
        <w:br w:type="page"/>
      </w:r>
    </w:p>
    <w:p w14:paraId="54B4AE1F" w14:textId="2FE108EE" w:rsidR="00C47A9C" w:rsidRDefault="00861105" w:rsidP="0077630F">
      <w:pPr>
        <w:pStyle w:val="Heading1"/>
      </w:pPr>
      <w:r w:rsidRPr="00C47A9C">
        <w:lastRenderedPageBreak/>
        <w:t>Response to the recommendations</w:t>
      </w:r>
    </w:p>
    <w:p w14:paraId="7F5FD73A" w14:textId="3644CC1C" w:rsidR="00D37BE1" w:rsidRPr="00D37BE1" w:rsidRDefault="00861105" w:rsidP="00D37BE1">
      <w:pPr>
        <w:pStyle w:val="Heading2"/>
      </w:pPr>
      <w:r w:rsidRPr="00D37BE1">
        <w:t>Coalition Senators' additional comments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3673D" w14:paraId="5860208F" w14:textId="77777777" w:rsidTr="00FB6B0E">
        <w:trPr>
          <w:trHeight w:val="70"/>
        </w:trPr>
        <w:tc>
          <w:tcPr>
            <w:tcW w:w="9016" w:type="dxa"/>
          </w:tcPr>
          <w:p w14:paraId="673FA531" w14:textId="5C0E0610" w:rsidR="00A66929" w:rsidRDefault="00861105" w:rsidP="00FB6B0E">
            <w:pPr>
              <w:pStyle w:val="BoxText"/>
              <w:rPr>
                <w:b/>
                <w:color w:val="2C384A" w:themeColor="accent1"/>
                <w:sz w:val="26"/>
                <w:szCs w:val="26"/>
              </w:rPr>
            </w:pPr>
            <w:r w:rsidRPr="00A66929">
              <w:rPr>
                <w:b/>
                <w:color w:val="2C384A" w:themeColor="accent1"/>
                <w:sz w:val="26"/>
                <w:szCs w:val="26"/>
              </w:rPr>
              <w:t>Recommendation 2</w:t>
            </w:r>
          </w:p>
          <w:p w14:paraId="5144C0CC" w14:textId="4500F5AB" w:rsidR="00A66929" w:rsidRDefault="00861105" w:rsidP="00FB6B0E">
            <w:pPr>
              <w:pStyle w:val="BoxSubHeading"/>
              <w:keepNext w:val="0"/>
              <w:rPr>
                <w:bCs w:val="0"/>
                <w:i w:val="0"/>
                <w:iCs w:val="0"/>
                <w:color w:val="auto"/>
                <w:sz w:val="22"/>
                <w:szCs w:val="20"/>
              </w:rPr>
            </w:pPr>
            <w:r>
              <w:rPr>
                <w:bCs w:val="0"/>
                <w:i w:val="0"/>
                <w:iCs w:val="0"/>
                <w:color w:val="auto"/>
                <w:sz w:val="22"/>
                <w:szCs w:val="20"/>
              </w:rPr>
              <w:t>A</w:t>
            </w:r>
            <w:r w:rsidRPr="00A66929">
              <w:rPr>
                <w:bCs w:val="0"/>
                <w:i w:val="0"/>
                <w:iCs w:val="0"/>
                <w:color w:val="auto"/>
                <w:sz w:val="22"/>
                <w:szCs w:val="20"/>
              </w:rPr>
              <w:t>n expert implementation advisory panel be established, with the Competition Taskforce Advisory Panel and key submitters to this inquiry including the Business Council of Australia and the Technology Council of Australia among those represented.</w:t>
            </w:r>
          </w:p>
          <w:p w14:paraId="30A4F0C9" w14:textId="3BF8C25A" w:rsidR="00FB6B0E" w:rsidRPr="009753EB" w:rsidRDefault="00861105" w:rsidP="00FB6B0E">
            <w:pPr>
              <w:pStyle w:val="BoxSubHeading"/>
              <w:keepNext w:val="0"/>
              <w:rPr>
                <w:caps/>
              </w:rPr>
            </w:pPr>
            <w:r w:rsidRPr="009753EB">
              <w:t xml:space="preserve">Australian Government response </w:t>
            </w:r>
          </w:p>
          <w:p w14:paraId="0C762762" w14:textId="5AEF4D38" w:rsidR="00A66929" w:rsidRDefault="00861105" w:rsidP="00A66929">
            <w:r>
              <w:rPr>
                <w:caps/>
              </w:rPr>
              <w:t>t</w:t>
            </w:r>
            <w:r>
              <w:t xml:space="preserve">he Government </w:t>
            </w:r>
            <w:r w:rsidRPr="003D56AE">
              <w:rPr>
                <w:b/>
                <w:bCs/>
              </w:rPr>
              <w:t>notes</w:t>
            </w:r>
            <w:r w:rsidRPr="008774BA">
              <w:t xml:space="preserve"> </w:t>
            </w:r>
            <w:r>
              <w:t xml:space="preserve">this recommendation. </w:t>
            </w:r>
          </w:p>
          <w:p w14:paraId="002C1EE2" w14:textId="77777777" w:rsidR="005A5306" w:rsidRDefault="00861105" w:rsidP="005A5306">
            <w:pPr>
              <w:pStyle w:val="BoxText"/>
            </w:pPr>
            <w:r>
              <w:t>During</w:t>
            </w:r>
            <w:r w:rsidRPr="003E1E62">
              <w:t xml:space="preserve"> the transition period (1 July–31 December 2025), Treasury worked closely with the Australian Competition and Consumer Commission (ACCC), the Business Council of Australia (BCA), the Law Council of Australia (LCA) and other key stakeholders, holding monthly meetings to capture emerging business experiences with the merger reform.</w:t>
            </w:r>
          </w:p>
          <w:p w14:paraId="37A979AE" w14:textId="77777777" w:rsidR="005A5306" w:rsidRDefault="00861105" w:rsidP="005A5306">
            <w:pPr>
              <w:pStyle w:val="BoxText"/>
            </w:pPr>
            <w:r>
              <w:t>In 2025, the</w:t>
            </w:r>
            <w:r w:rsidRPr="00537CBA">
              <w:t xml:space="preserve"> ACCC</w:t>
            </w:r>
            <w:r>
              <w:t xml:space="preserve"> also renewed and expanded its Performance Consultative Committee to advise on the ACCC’s merger review functions as well as the broad range of the ACCC’s responsibilities.</w:t>
            </w:r>
            <w:r>
              <w:rPr>
                <w:rStyle w:val="FootnoteReference"/>
                <w:vertAlign w:val="superscript"/>
              </w:rPr>
              <w:footnoteReference w:id="1"/>
            </w:r>
          </w:p>
          <w:p w14:paraId="331C1BB8" w14:textId="7BADCDCF" w:rsidR="008774BA" w:rsidRPr="00A66929" w:rsidRDefault="00861105" w:rsidP="005A5306">
            <w:pPr>
              <w:pStyle w:val="BoxText"/>
            </w:pPr>
            <w:r>
              <w:t>The Performance Consultative Committee consists of a range of stakeholders including consumer, business, and legal representatives.</w:t>
            </w:r>
            <w:r>
              <w:rPr>
                <w:rStyle w:val="FootnoteReference"/>
                <w:vertAlign w:val="superscript"/>
              </w:rPr>
              <w:footnoteReference w:id="2"/>
            </w:r>
            <w:r>
              <w:t xml:space="preserve"> </w:t>
            </w:r>
            <w:r w:rsidRPr="001A469D">
              <w:rPr>
                <w:rStyle w:val="FootnoteReference"/>
                <w:vertAlign w:val="superscript"/>
              </w:rPr>
              <w:t xml:space="preserve"> </w:t>
            </w:r>
            <w:r>
              <w:t>The Performance Consultative Committee will provide feedback on ACCC initiatives and a forum for exchange of perspectives on key issues, including those related to the implementation of the new merger system.</w:t>
            </w:r>
          </w:p>
        </w:tc>
      </w:tr>
      <w:tr w:rsidR="0073673D" w14:paraId="1CCEFE42" w14:textId="77777777" w:rsidTr="00FB6B0E">
        <w:trPr>
          <w:trHeight w:val="70"/>
        </w:trPr>
        <w:tc>
          <w:tcPr>
            <w:tcW w:w="9016" w:type="dxa"/>
          </w:tcPr>
          <w:p w14:paraId="732652FD" w14:textId="2F1DC745" w:rsidR="00A66929" w:rsidRDefault="00861105" w:rsidP="00FB6B0E">
            <w:pPr>
              <w:pStyle w:val="BoxSubHeading"/>
              <w:keepNext w:val="0"/>
              <w:rPr>
                <w:b/>
                <w:bCs w:val="0"/>
                <w:i w:val="0"/>
                <w:iCs w:val="0"/>
                <w:sz w:val="26"/>
                <w:szCs w:val="26"/>
              </w:rPr>
            </w:pPr>
            <w:r w:rsidRPr="00A66929">
              <w:rPr>
                <w:b/>
                <w:bCs w:val="0"/>
                <w:i w:val="0"/>
                <w:iCs w:val="0"/>
                <w:sz w:val="26"/>
                <w:szCs w:val="26"/>
              </w:rPr>
              <w:t>Recommendation 3</w:t>
            </w:r>
          </w:p>
          <w:p w14:paraId="25F25C1D" w14:textId="3DF788FE" w:rsidR="00A66929" w:rsidRDefault="00861105" w:rsidP="00FB6B0E">
            <w:pPr>
              <w:pStyle w:val="BoxSubHeading"/>
              <w:keepNext w:val="0"/>
              <w:rPr>
                <w:bCs w:val="0"/>
                <w:i w:val="0"/>
                <w:iCs w:val="0"/>
                <w:color w:val="auto"/>
                <w:sz w:val="22"/>
                <w:szCs w:val="20"/>
              </w:rPr>
            </w:pPr>
            <w:r w:rsidRPr="00A66929">
              <w:rPr>
                <w:bCs w:val="0"/>
                <w:i w:val="0"/>
                <w:iCs w:val="0"/>
                <w:color w:val="auto"/>
                <w:sz w:val="22"/>
                <w:szCs w:val="20"/>
              </w:rPr>
              <w:t>Treasury and ACCC officials make themselves available to provide a private briefing to the Senate Economics Committee on merger regime implementation progress on a quarterly basis.</w:t>
            </w:r>
          </w:p>
          <w:p w14:paraId="603DB50B" w14:textId="260EEEF8" w:rsidR="00FB6B0E" w:rsidRPr="009753EB" w:rsidRDefault="00861105" w:rsidP="00FB6B0E">
            <w:pPr>
              <w:pStyle w:val="BoxSubHeading"/>
              <w:keepNext w:val="0"/>
              <w:rPr>
                <w:caps/>
              </w:rPr>
            </w:pPr>
            <w:r w:rsidRPr="009753EB">
              <w:t xml:space="preserve">Australian Government response </w:t>
            </w:r>
          </w:p>
          <w:p w14:paraId="062045A2" w14:textId="04A7DC2A" w:rsidR="00A66929" w:rsidRDefault="00861105" w:rsidP="00A66929">
            <w:r>
              <w:t xml:space="preserve">The Government </w:t>
            </w:r>
            <w:r w:rsidRPr="00A66929">
              <w:rPr>
                <w:b/>
                <w:bCs/>
              </w:rPr>
              <w:t>notes</w:t>
            </w:r>
            <w:r w:rsidRPr="008774BA">
              <w:t xml:space="preserve"> </w:t>
            </w:r>
            <w:r>
              <w:t xml:space="preserve">this recommendation. </w:t>
            </w:r>
          </w:p>
          <w:p w14:paraId="0C2FB211" w14:textId="283FF4AE" w:rsidR="008774BA" w:rsidRPr="00073BB2" w:rsidRDefault="00861105" w:rsidP="00A66929">
            <w:r>
              <w:t xml:space="preserve">Relevant Treasury and ACCC officials have and will continue to be available to provide updates on merger reform implementation progress as part of </w:t>
            </w:r>
            <w:r w:rsidRPr="00A66929">
              <w:t>regular Parliamentary scrutiny processes (including Senate Estimates).</w:t>
            </w:r>
          </w:p>
        </w:tc>
      </w:tr>
      <w:tr w:rsidR="0073673D" w14:paraId="4B6176B8" w14:textId="77777777" w:rsidTr="00FB6B0E">
        <w:trPr>
          <w:trHeight w:val="70"/>
        </w:trPr>
        <w:tc>
          <w:tcPr>
            <w:tcW w:w="9016" w:type="dxa"/>
          </w:tcPr>
          <w:p w14:paraId="325F2338" w14:textId="7F4819D4" w:rsidR="00A66929" w:rsidRDefault="00861105" w:rsidP="00FB6B0E">
            <w:pPr>
              <w:pStyle w:val="BoxSubHeading"/>
              <w:keepNext w:val="0"/>
              <w:rPr>
                <w:b/>
                <w:bCs w:val="0"/>
                <w:i w:val="0"/>
                <w:iCs w:val="0"/>
                <w:sz w:val="26"/>
                <w:szCs w:val="26"/>
              </w:rPr>
            </w:pPr>
            <w:r w:rsidRPr="00A66929">
              <w:rPr>
                <w:b/>
                <w:bCs w:val="0"/>
                <w:i w:val="0"/>
                <w:iCs w:val="0"/>
                <w:sz w:val="26"/>
                <w:szCs w:val="26"/>
              </w:rPr>
              <w:t>Recommendation 4</w:t>
            </w:r>
          </w:p>
          <w:p w14:paraId="441457E3" w14:textId="05062DCD" w:rsidR="00A66929" w:rsidRDefault="00861105" w:rsidP="00FB6B0E">
            <w:pPr>
              <w:pStyle w:val="BoxSubHeading"/>
              <w:keepNext w:val="0"/>
              <w:rPr>
                <w:bCs w:val="0"/>
                <w:i w:val="0"/>
                <w:iCs w:val="0"/>
                <w:color w:val="auto"/>
                <w:sz w:val="22"/>
                <w:szCs w:val="20"/>
              </w:rPr>
            </w:pPr>
            <w:r>
              <w:rPr>
                <w:bCs w:val="0"/>
                <w:i w:val="0"/>
                <w:iCs w:val="0"/>
                <w:color w:val="auto"/>
                <w:sz w:val="22"/>
                <w:szCs w:val="20"/>
              </w:rPr>
              <w:t>S</w:t>
            </w:r>
            <w:r w:rsidRPr="00A66929">
              <w:rPr>
                <w:bCs w:val="0"/>
                <w:i w:val="0"/>
                <w:iCs w:val="0"/>
                <w:color w:val="auto"/>
                <w:sz w:val="22"/>
                <w:szCs w:val="20"/>
              </w:rPr>
              <w:t>erious consideration be given to the implementation proposals highlighted by the Business Council of Australia that have not yet been adopted, namely the quarterly publication of key performance indicators on merger timelines and the publication of s155 notices data.</w:t>
            </w:r>
          </w:p>
          <w:p w14:paraId="03BF9D35" w14:textId="77777777" w:rsidR="005A5306" w:rsidRDefault="005A5306" w:rsidP="00FB6B0E">
            <w:pPr>
              <w:pStyle w:val="BoxSubHeading"/>
              <w:keepNext w:val="0"/>
            </w:pPr>
          </w:p>
          <w:p w14:paraId="0C488DD0" w14:textId="59288D3F" w:rsidR="00FB6B0E" w:rsidRPr="009753EB" w:rsidRDefault="00861105" w:rsidP="00FB6B0E">
            <w:pPr>
              <w:pStyle w:val="BoxSubHeading"/>
              <w:keepNext w:val="0"/>
              <w:rPr>
                <w:caps/>
              </w:rPr>
            </w:pPr>
            <w:r w:rsidRPr="009753EB">
              <w:lastRenderedPageBreak/>
              <w:t xml:space="preserve">Australian Government response </w:t>
            </w:r>
          </w:p>
          <w:p w14:paraId="1ADA9756" w14:textId="77777777" w:rsidR="00A66929" w:rsidRDefault="00861105" w:rsidP="00A66929">
            <w:pPr>
              <w:pStyle w:val="BoxText"/>
            </w:pPr>
            <w:r>
              <w:rPr>
                <w:caps/>
              </w:rPr>
              <w:t>t</w:t>
            </w:r>
            <w:r>
              <w:t xml:space="preserve">he Government </w:t>
            </w:r>
            <w:r w:rsidRPr="00FB6B0E">
              <w:rPr>
                <w:b/>
                <w:bCs/>
              </w:rPr>
              <w:t>notes</w:t>
            </w:r>
            <w:r w:rsidRPr="008774BA">
              <w:t xml:space="preserve"> </w:t>
            </w:r>
            <w:r>
              <w:t>this recommendation.</w:t>
            </w:r>
          </w:p>
          <w:p w14:paraId="0EF64FEA" w14:textId="77777777" w:rsidR="006037BE" w:rsidRDefault="00861105" w:rsidP="006037BE">
            <w:pPr>
              <w:pStyle w:val="BoxText"/>
            </w:pPr>
            <w:r>
              <w:t>The ACCC published a Statement of Goals for Merger Reform Implementation</w:t>
            </w:r>
            <w:r>
              <w:rPr>
                <w:rStyle w:val="FootnoteReference"/>
                <w:vertAlign w:val="superscript"/>
              </w:rPr>
              <w:footnoteReference w:id="3"/>
            </w:r>
            <w:r>
              <w:t xml:space="preserve"> on 10 October 2024. </w:t>
            </w:r>
          </w:p>
          <w:p w14:paraId="1A647803" w14:textId="341DDFA3" w:rsidR="006037BE" w:rsidRDefault="00861105" w:rsidP="006037BE">
            <w:pPr>
              <w:pStyle w:val="BoxText"/>
            </w:pPr>
            <w:r w:rsidRPr="00942DD8">
              <w:t xml:space="preserve">The ACCC will </w:t>
            </w:r>
            <w:r>
              <w:t xml:space="preserve">include a summary of key performance indicators relating to merger timelines as part of annual reporting on the ACCC’s mergers </w:t>
            </w:r>
            <w:proofErr w:type="gramStart"/>
            <w:r>
              <w:t>work, and</w:t>
            </w:r>
            <w:proofErr w:type="gramEnd"/>
            <w:r>
              <w:t xml:space="preserve"> has committed to reporting on the use of extension powers related to its information gathering powers under section 155 of the </w:t>
            </w:r>
            <w:r w:rsidRPr="00725E06">
              <w:rPr>
                <w:i/>
                <w:iCs/>
              </w:rPr>
              <w:t>Competition and Consumer Act 2010</w:t>
            </w:r>
            <w:r>
              <w:t>.</w:t>
            </w:r>
            <w:r>
              <w:rPr>
                <w:rStyle w:val="FootnoteReference"/>
                <w:vertAlign w:val="superscript"/>
              </w:rPr>
              <w:footnoteReference w:id="4"/>
            </w:r>
            <w:r w:rsidRPr="003B5AEA">
              <w:rPr>
                <w:rStyle w:val="FootnoteReference"/>
                <w:vertAlign w:val="superscript"/>
              </w:rPr>
              <w:t xml:space="preserve"> </w:t>
            </w:r>
          </w:p>
          <w:p w14:paraId="4709507C" w14:textId="5D8CEF30" w:rsidR="008774BA" w:rsidRPr="007763B0" w:rsidRDefault="00861105" w:rsidP="006037BE">
            <w:pPr>
              <w:pStyle w:val="BoxText"/>
            </w:pPr>
            <w:r>
              <w:t xml:space="preserve">The ACCC’s acquisition register publishes </w:t>
            </w:r>
            <w:r w:rsidRPr="00203F8F">
              <w:t xml:space="preserve">timelines and its use of </w:t>
            </w:r>
            <w:r>
              <w:t>timeline extension</w:t>
            </w:r>
            <w:r w:rsidRPr="00203F8F">
              <w:t xml:space="preserve"> powers</w:t>
            </w:r>
            <w:r>
              <w:t xml:space="preserve"> for merger notifications.</w:t>
            </w:r>
          </w:p>
        </w:tc>
      </w:tr>
      <w:tr w:rsidR="0073673D" w14:paraId="2F7DE58B" w14:textId="77777777" w:rsidTr="0099789E">
        <w:trPr>
          <w:trHeight w:val="70"/>
        </w:trPr>
        <w:tc>
          <w:tcPr>
            <w:tcW w:w="9016" w:type="dxa"/>
          </w:tcPr>
          <w:p w14:paraId="1C53AE76" w14:textId="78E930E4" w:rsidR="00D37BE1" w:rsidRDefault="00861105" w:rsidP="00D37BE1">
            <w:pPr>
              <w:pStyle w:val="Heading2"/>
              <w:rPr>
                <w:bCs/>
                <w:i/>
              </w:rPr>
            </w:pPr>
            <w:r w:rsidRPr="00AB210D">
              <w:lastRenderedPageBreak/>
              <w:t>Greens Senators' Additional Comments</w:t>
            </w:r>
          </w:p>
          <w:p w14:paraId="28C97750" w14:textId="30C8A44B" w:rsidR="00AB210D" w:rsidRDefault="00861105" w:rsidP="0099789E">
            <w:pPr>
              <w:pStyle w:val="BoxSubHeading"/>
              <w:keepNext w:val="0"/>
              <w:rPr>
                <w:b/>
                <w:bCs w:val="0"/>
                <w:i w:val="0"/>
                <w:iCs w:val="0"/>
                <w:sz w:val="26"/>
                <w:szCs w:val="26"/>
              </w:rPr>
            </w:pPr>
            <w:r w:rsidRPr="00AB210D">
              <w:rPr>
                <w:b/>
                <w:bCs w:val="0"/>
                <w:i w:val="0"/>
                <w:iCs w:val="0"/>
                <w:sz w:val="26"/>
                <w:szCs w:val="26"/>
              </w:rPr>
              <w:t>Recommendation 2</w:t>
            </w:r>
          </w:p>
          <w:p w14:paraId="66E9033A" w14:textId="38FCCB0E" w:rsidR="00A66929" w:rsidRDefault="00861105" w:rsidP="0099789E">
            <w:pPr>
              <w:pStyle w:val="BoxSubHeading"/>
              <w:keepNext w:val="0"/>
              <w:rPr>
                <w:bCs w:val="0"/>
                <w:i w:val="0"/>
                <w:iCs w:val="0"/>
                <w:color w:val="auto"/>
                <w:sz w:val="22"/>
                <w:szCs w:val="20"/>
              </w:rPr>
            </w:pPr>
            <w:r>
              <w:rPr>
                <w:bCs w:val="0"/>
                <w:i w:val="0"/>
                <w:iCs w:val="0"/>
                <w:color w:val="auto"/>
                <w:sz w:val="22"/>
                <w:szCs w:val="20"/>
              </w:rPr>
              <w:t>T</w:t>
            </w:r>
            <w:r w:rsidRPr="00A66929">
              <w:rPr>
                <w:bCs w:val="0"/>
                <w:i w:val="0"/>
                <w:iCs w:val="0"/>
                <w:color w:val="auto"/>
                <w:sz w:val="22"/>
                <w:szCs w:val="20"/>
              </w:rPr>
              <w:t>he Government should prioritise reforms that would make markets more competitive and bring down the cost of essential goods and services, including by introducing economy-wide divestiture powers to allow for corporations that have misused their market power to be broken up.</w:t>
            </w:r>
          </w:p>
          <w:p w14:paraId="57909CE0" w14:textId="01E5C5FC" w:rsidR="00A66929" w:rsidRPr="009753EB" w:rsidRDefault="00861105" w:rsidP="0099789E">
            <w:pPr>
              <w:pStyle w:val="BoxSubHeading"/>
              <w:keepNext w:val="0"/>
              <w:rPr>
                <w:caps/>
              </w:rPr>
            </w:pPr>
            <w:r w:rsidRPr="009753EB">
              <w:t xml:space="preserve">Australian Government response </w:t>
            </w:r>
          </w:p>
          <w:p w14:paraId="16B13968" w14:textId="54422857" w:rsidR="00A66929" w:rsidRDefault="00861105" w:rsidP="00A66929">
            <w:r>
              <w:rPr>
                <w:caps/>
              </w:rPr>
              <w:t>t</w:t>
            </w:r>
            <w:r>
              <w:t xml:space="preserve">he Government </w:t>
            </w:r>
            <w:r w:rsidRPr="00FB6B0E">
              <w:rPr>
                <w:b/>
                <w:bCs/>
              </w:rPr>
              <w:t>does not support</w:t>
            </w:r>
            <w:r w:rsidRPr="008774BA">
              <w:t xml:space="preserve"> </w:t>
            </w:r>
            <w:r>
              <w:t xml:space="preserve">this recommendation. </w:t>
            </w:r>
          </w:p>
          <w:p w14:paraId="16E7DC6B" w14:textId="3E7D3643" w:rsidR="005E3B68" w:rsidRDefault="00861105" w:rsidP="005E3B68">
            <w:r>
              <w:t>The Government has prioritised reforms that will make our economy more competitive and productive, including the biggest reform to the merger control system in 50 years.</w:t>
            </w:r>
          </w:p>
          <w:p w14:paraId="27F3F677" w14:textId="48EB4C67" w:rsidR="00A66929" w:rsidRPr="00AE7721" w:rsidRDefault="00861105" w:rsidP="00A66929">
            <w:pPr>
              <w:pStyle w:val="paragraph"/>
              <w:spacing w:before="120" w:beforeAutospacing="0" w:after="120" w:afterAutospacing="0"/>
              <w:textAlignment w:val="baseline"/>
              <w:rPr>
                <w:rStyle w:val="eop"/>
                <w:rFonts w:asciiTheme="majorHAnsi" w:hAnsiTheme="majorHAnsi" w:cstheme="majorHAnsi"/>
              </w:rPr>
            </w:pPr>
            <w:r w:rsidRPr="00134B42">
              <w:rPr>
                <w:rStyle w:val="normaltextrun"/>
                <w:rFonts w:asciiTheme="majorHAnsi" w:hAnsiTheme="majorHAnsi" w:cstheme="majorHAnsi"/>
              </w:rPr>
              <w:t>Divestiture is only available as a remedy in limited cases in Australia: to unwind mergers, to dispose of assets in a foreign investment context, or as a last resort to deal with aggravated causes of abuse of market power in electricity markets.</w:t>
            </w:r>
          </w:p>
          <w:p w14:paraId="55430919" w14:textId="3D382E2C" w:rsidR="00A66929" w:rsidRPr="00134B42" w:rsidRDefault="00861105" w:rsidP="00A66929">
            <w:pPr>
              <w:pStyle w:val="paragraph"/>
              <w:spacing w:before="120" w:beforeAutospacing="0" w:after="120" w:afterAutospacing="0"/>
              <w:textAlignment w:val="baseline"/>
              <w:rPr>
                <w:rStyle w:val="normaltextrun"/>
              </w:rPr>
            </w:pPr>
            <w:bookmarkStart w:id="2" w:name="_Hlk170161338"/>
            <w:r w:rsidRPr="004F64D6">
              <w:rPr>
                <w:rStyle w:val="normaltextrun"/>
                <w:rFonts w:asciiTheme="majorHAnsi" w:hAnsiTheme="majorHAnsi" w:cstheme="majorHAnsi"/>
              </w:rPr>
              <w:t>As past competition reviews have found, introducing divestiture powers as a remedy for breaches of misuse of market power provisions carries more risks than benefits and would likely result in significant adverse economic and legal consequences</w:t>
            </w:r>
            <w:r w:rsidRPr="00134B42">
              <w:rPr>
                <w:rStyle w:val="normaltextrun"/>
                <w:rFonts w:asciiTheme="majorHAnsi" w:hAnsiTheme="majorHAnsi" w:cstheme="majorHAnsi"/>
              </w:rPr>
              <w:t>. The Hilmer (1993), Dawson (2003) and Harper (2015) reviews did not recommend divestiture as a remedy to address market power concerns.</w:t>
            </w:r>
          </w:p>
          <w:bookmarkEnd w:id="2"/>
          <w:p w14:paraId="46CC87AD" w14:textId="197031DE" w:rsidR="00A66929" w:rsidRPr="00A66929" w:rsidRDefault="00861105" w:rsidP="00A66929">
            <w:pPr>
              <w:pStyle w:val="paragraph"/>
              <w:spacing w:before="120" w:beforeAutospacing="0" w:after="120" w:afterAutospacing="0"/>
              <w:textAlignment w:val="baseline"/>
              <w:rPr>
                <w:rFonts w:asciiTheme="majorHAnsi" w:hAnsiTheme="majorHAnsi" w:cstheme="majorHAnsi"/>
                <w:sz w:val="18"/>
                <w:szCs w:val="18"/>
              </w:rPr>
            </w:pPr>
            <w:r>
              <w:rPr>
                <w:rStyle w:val="normaltextrun"/>
                <w:rFonts w:asciiTheme="majorHAnsi" w:hAnsiTheme="majorHAnsi" w:cstheme="majorHAnsi"/>
              </w:rPr>
              <w:t xml:space="preserve">As part of the </w:t>
            </w:r>
            <w:r w:rsidRPr="00841EDE">
              <w:rPr>
                <w:rStyle w:val="normaltextrun"/>
                <w:rFonts w:asciiTheme="majorHAnsi" w:hAnsiTheme="majorHAnsi" w:cstheme="majorHAnsi"/>
                <w:i/>
                <w:iCs/>
              </w:rPr>
              <w:t xml:space="preserve">Treasury Laws Amendment (Mergers and Acquisitions Reform) Act </w:t>
            </w:r>
            <w:r w:rsidRPr="00841EDE">
              <w:rPr>
                <w:rStyle w:val="normaltextrun"/>
                <w:rFonts w:asciiTheme="majorHAnsi" w:hAnsiTheme="majorHAnsi" w:cstheme="majorHAnsi"/>
              </w:rPr>
              <w:t>2024</w:t>
            </w:r>
            <w:r>
              <w:rPr>
                <w:rStyle w:val="normaltextrun"/>
                <w:rFonts w:asciiTheme="majorHAnsi" w:hAnsiTheme="majorHAnsi" w:cstheme="majorHAnsi"/>
              </w:rPr>
              <w:t xml:space="preserve">, </w:t>
            </w:r>
            <w:r w:rsidR="00CF137B">
              <w:rPr>
                <w:rStyle w:val="normaltextrun"/>
                <w:rFonts w:asciiTheme="majorHAnsi" w:hAnsiTheme="majorHAnsi" w:cstheme="majorHAnsi"/>
              </w:rPr>
              <w:t>the Government passed legislation to introduce significant</w:t>
            </w:r>
            <w:r w:rsidR="00CF137B" w:rsidRPr="00134B42">
              <w:rPr>
                <w:rStyle w:val="normaltextrun"/>
                <w:rFonts w:asciiTheme="majorHAnsi" w:hAnsiTheme="majorHAnsi" w:cstheme="majorHAnsi"/>
              </w:rPr>
              <w:t xml:space="preserve"> merger reform</w:t>
            </w:r>
            <w:r w:rsidR="00CF137B">
              <w:rPr>
                <w:rStyle w:val="normaltextrun"/>
                <w:rFonts w:asciiTheme="majorHAnsi" w:hAnsiTheme="majorHAnsi" w:cstheme="majorHAnsi"/>
              </w:rPr>
              <w:t>s</w:t>
            </w:r>
            <w:r w:rsidR="00CF137B" w:rsidRPr="00134B42">
              <w:rPr>
                <w:rStyle w:val="normaltextrun"/>
                <w:rFonts w:asciiTheme="majorHAnsi" w:hAnsiTheme="majorHAnsi" w:cstheme="majorHAnsi"/>
              </w:rPr>
              <w:t xml:space="preserve"> to promote competition and deliver better outcomes for consumers</w:t>
            </w:r>
            <w:r w:rsidR="00CF137B">
              <w:rPr>
                <w:rStyle w:val="normaltextrun"/>
                <w:rFonts w:asciiTheme="majorHAnsi" w:hAnsiTheme="majorHAnsi" w:cstheme="majorHAnsi"/>
              </w:rPr>
              <w:t>,</w:t>
            </w:r>
            <w:r w:rsidR="00CF137B" w:rsidRPr="00134B42">
              <w:rPr>
                <w:rStyle w:val="normaltextrun"/>
                <w:rFonts w:asciiTheme="majorHAnsi" w:hAnsiTheme="majorHAnsi" w:cstheme="majorHAnsi"/>
              </w:rPr>
              <w:t xml:space="preserve"> businesses and the economy. </w:t>
            </w:r>
            <w:r w:rsidR="00CF137B" w:rsidRPr="00E561E9">
              <w:rPr>
                <w:rStyle w:val="normaltextrun"/>
                <w:rFonts w:asciiTheme="majorHAnsi" w:hAnsiTheme="majorHAnsi" w:cstheme="majorHAnsi"/>
              </w:rPr>
              <w:t>Th</w:t>
            </w:r>
            <w:r w:rsidR="00CF137B">
              <w:rPr>
                <w:rStyle w:val="normaltextrun"/>
                <w:rFonts w:asciiTheme="majorHAnsi" w:hAnsiTheme="majorHAnsi" w:cstheme="majorHAnsi"/>
              </w:rPr>
              <w:t xml:space="preserve">ese are </w:t>
            </w:r>
            <w:r w:rsidR="00CF137B" w:rsidRPr="00E561E9">
              <w:rPr>
                <w:rStyle w:val="normaltextrun"/>
                <w:rFonts w:asciiTheme="majorHAnsi" w:hAnsiTheme="majorHAnsi" w:cstheme="majorHAnsi"/>
              </w:rPr>
              <w:t>the biggest reform</w:t>
            </w:r>
            <w:r w:rsidR="00CF137B">
              <w:rPr>
                <w:rStyle w:val="normaltextrun"/>
                <w:rFonts w:asciiTheme="majorHAnsi" w:hAnsiTheme="majorHAnsi" w:cstheme="majorHAnsi"/>
              </w:rPr>
              <w:t>s</w:t>
            </w:r>
            <w:r w:rsidR="00CF137B" w:rsidRPr="00E561E9">
              <w:rPr>
                <w:rStyle w:val="normaltextrun"/>
                <w:rFonts w:asciiTheme="majorHAnsi" w:hAnsiTheme="majorHAnsi" w:cstheme="majorHAnsi"/>
              </w:rPr>
              <w:t xml:space="preserve"> to the merger control system in 50 years, making it stronger, faster, simpler, more targeted and more transparent. </w:t>
            </w:r>
            <w:r w:rsidR="00CF137B" w:rsidRPr="00134B42">
              <w:rPr>
                <w:rStyle w:val="normaltextrun"/>
                <w:rFonts w:asciiTheme="majorHAnsi" w:hAnsiTheme="majorHAnsi" w:cstheme="majorHAnsi"/>
              </w:rPr>
              <w:t>The ACCC will have stronger powers to identify and scrutinise transactions that pose a risk to competition</w:t>
            </w:r>
            <w:r w:rsidR="003B22AE">
              <w:rPr>
                <w:rStyle w:val="normaltextrun"/>
                <w:rFonts w:asciiTheme="majorHAnsi" w:hAnsiTheme="majorHAnsi" w:cstheme="majorHAnsi"/>
              </w:rPr>
              <w:t xml:space="preserve"> </w:t>
            </w:r>
            <w:r w:rsidR="003B22AE" w:rsidRPr="2DF55DEE">
              <w:rPr>
                <w:rStyle w:val="normaltextrun"/>
                <w:rFonts w:asciiTheme="majorHAnsi" w:hAnsiTheme="majorHAnsi" w:cstheme="majorBidi"/>
              </w:rPr>
              <w:t>before they occur.</w:t>
            </w:r>
          </w:p>
        </w:tc>
      </w:tr>
    </w:tbl>
    <w:p w14:paraId="31D47FE6" w14:textId="77777777" w:rsidR="0077630F" w:rsidRPr="00C47A9C" w:rsidRDefault="0077630F">
      <w:pPr>
        <w:spacing w:after="480"/>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2940" w14:textId="77777777" w:rsidR="00931DE0" w:rsidRDefault="00931DE0">
      <w:pPr>
        <w:spacing w:before="0" w:after="0"/>
      </w:pPr>
      <w:r>
        <w:separator/>
      </w:r>
    </w:p>
  </w:endnote>
  <w:endnote w:type="continuationSeparator" w:id="0">
    <w:p w14:paraId="5101E671" w14:textId="77777777" w:rsidR="00931DE0" w:rsidRDefault="00931D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8E17" w14:textId="44DAFF7C" w:rsidR="0077630F" w:rsidRPr="00F347BE" w:rsidRDefault="00861105" w:rsidP="00F347BE">
    <w:pPr>
      <w:pStyle w:val="FooterEven"/>
      <w:jc w:val="both"/>
    </w:pPr>
    <w:r>
      <w:rPr>
        <w:noProof w:val="0"/>
      </w:rPr>
      <w:fldChar w:fldCharType="begin"/>
    </w:r>
    <w:r>
      <w:instrText xml:space="preserve"> PAGE   \* MERGEFORMAT </w:instrText>
    </w:r>
    <w:r>
      <w:rPr>
        <w:noProof w:val="0"/>
      </w:rPr>
      <w:fldChar w:fldCharType="separate"/>
    </w:r>
    <w:r>
      <w:rPr>
        <w:noProof w:val="0"/>
      </w:rPr>
      <w:t>4</w:t>
    </w:r>
    <w:r>
      <w:fldChar w:fldCharType="end"/>
    </w:r>
    <w:r>
      <w:t xml:space="preserve"> | </w:t>
    </w:r>
    <w:r w:rsidR="00FE205D">
      <w:fldChar w:fldCharType="begin"/>
    </w:r>
    <w:r>
      <w:instrText xml:space="preserve"> STYLEREF  "Heading 1"  \* MERGEFORMAT </w:instrText>
    </w:r>
    <w:r w:rsidR="00FE205D">
      <w:fldChar w:fldCharType="separate"/>
    </w:r>
    <w:r w:rsidR="00F63F4D">
      <w:t>Response to the recommendations</w:t>
    </w:r>
    <w:r w:rsidR="00FE205D">
      <w:fldChar w:fldCharType="end"/>
    </w:r>
    <w:r>
      <w:tab/>
    </w:r>
    <w:r w:rsidRPr="00103F3C">
      <w:rPr>
        <w:position w:val="-8"/>
      </w:rPr>
      <w:drawing>
        <wp:inline distT="0" distB="0" distL="0" distR="0" wp14:anchorId="37FD20B8" wp14:editId="04DD0951">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5C21" w14:textId="5A1A0885" w:rsidR="0077630F" w:rsidRPr="00F347BE" w:rsidRDefault="00861105" w:rsidP="00F347BE">
    <w:pPr>
      <w:pStyle w:val="FooterOdd"/>
      <w:jc w:val="left"/>
    </w:pPr>
    <w:r w:rsidRPr="00103F3C">
      <w:rPr>
        <w:noProof/>
        <w:position w:val="-8"/>
      </w:rPr>
      <w:drawing>
        <wp:inline distT="0" distB="0" distL="0" distR="0" wp14:anchorId="2EBB0D11" wp14:editId="58F11832">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E205D">
      <w:fldChar w:fldCharType="begin"/>
    </w:r>
    <w:r>
      <w:instrText xml:space="preserve"> STYLEREF  "Heading 1"  \* MERGEFORMAT </w:instrText>
    </w:r>
    <w:r w:rsidR="00FE205D">
      <w:fldChar w:fldCharType="separate"/>
    </w:r>
    <w:r w:rsidR="00F63F4D">
      <w:rPr>
        <w:noProof/>
      </w:rPr>
      <w:t>Response to the recommendations</w:t>
    </w:r>
    <w:r w:rsidR="00FE205D">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52D" w14:textId="78F77B93" w:rsidR="0077630F" w:rsidRPr="00F347BE" w:rsidRDefault="00861105" w:rsidP="00F347BE">
    <w:pPr>
      <w:pStyle w:val="FooterOdd"/>
      <w:jc w:val="left"/>
    </w:pPr>
    <w:r w:rsidRPr="00103F3C">
      <w:rPr>
        <w:noProof/>
        <w:position w:val="-8"/>
      </w:rPr>
      <w:drawing>
        <wp:inline distT="0" distB="0" distL="0" distR="0" wp14:anchorId="0749743B" wp14:editId="27FCAE63">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E205D">
      <w:fldChar w:fldCharType="begin"/>
    </w:r>
    <w:r>
      <w:instrText xml:space="preserve"> STYLEREF  "Heading 1"  \* MERGEFORMAT </w:instrText>
    </w:r>
    <w:r w:rsidR="00FE205D">
      <w:fldChar w:fldCharType="separate"/>
    </w:r>
    <w:r w:rsidR="00F63F4D">
      <w:rPr>
        <w:noProof/>
      </w:rPr>
      <w:t>Introduction</w:t>
    </w:r>
    <w:r w:rsidR="00FE205D">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3770" w14:textId="77777777" w:rsidR="00931DE0" w:rsidRDefault="00931DE0" w:rsidP="00B47ECF">
      <w:r>
        <w:separator/>
      </w:r>
    </w:p>
  </w:footnote>
  <w:footnote w:type="continuationSeparator" w:id="0">
    <w:p w14:paraId="68A4BEA3" w14:textId="77777777" w:rsidR="00931DE0" w:rsidRDefault="00931DE0" w:rsidP="00B47ECF">
      <w:r>
        <w:continuationSeparator/>
      </w:r>
    </w:p>
  </w:footnote>
  <w:footnote w:id="1">
    <w:p w14:paraId="55BD8AB0" w14:textId="77777777" w:rsidR="005A5306" w:rsidRPr="009558AD" w:rsidRDefault="00861105" w:rsidP="005A5306">
      <w:pPr>
        <w:pStyle w:val="FootnoteText"/>
      </w:pPr>
      <w:r>
        <w:rPr>
          <w:rStyle w:val="FootnoteReference"/>
        </w:rPr>
        <w:footnoteRef/>
      </w:r>
      <w:r>
        <w:t xml:space="preserve"> </w:t>
      </w:r>
      <w:r w:rsidRPr="009558AD">
        <w:t xml:space="preserve">ACCC, </w:t>
      </w:r>
      <w:hyperlink r:id="rId1" w:history="1">
        <w:r w:rsidR="005A5306" w:rsidRPr="009558AD">
          <w:rPr>
            <w:rStyle w:val="Hyperlink"/>
            <w:color w:val="auto"/>
          </w:rPr>
          <w:t>Statement of Goals for Merger Reform Implementation</w:t>
        </w:r>
      </w:hyperlink>
      <w:r w:rsidRPr="009558AD">
        <w:t>, ACCC, Australian Government, 10 October 2024</w:t>
      </w:r>
    </w:p>
  </w:footnote>
  <w:footnote w:id="2">
    <w:p w14:paraId="637E71F4" w14:textId="77777777" w:rsidR="005A5306" w:rsidRPr="009142D3" w:rsidRDefault="00861105" w:rsidP="005A5306">
      <w:pPr>
        <w:pStyle w:val="FootnoteText"/>
        <w:rPr>
          <w:lang w:val="en-US"/>
        </w:rPr>
      </w:pPr>
      <w:r w:rsidRPr="009558AD">
        <w:rPr>
          <w:rStyle w:val="FootnoteReference"/>
        </w:rPr>
        <w:footnoteRef/>
      </w:r>
      <w:r w:rsidRPr="009558AD">
        <w:t xml:space="preserve"> ACCC, </w:t>
      </w:r>
      <w:hyperlink r:id="rId2" w:history="1">
        <w:r w:rsidR="005A5306" w:rsidRPr="009558AD">
          <w:rPr>
            <w:rStyle w:val="Hyperlink"/>
            <w:color w:val="auto"/>
          </w:rPr>
          <w:t>ACCC Performance Consultative Committee</w:t>
        </w:r>
      </w:hyperlink>
      <w:r>
        <w:t>, ACCC website</w:t>
      </w:r>
    </w:p>
  </w:footnote>
  <w:footnote w:id="3">
    <w:p w14:paraId="21B4B470" w14:textId="103C01C7" w:rsidR="006037BE" w:rsidRPr="00FE205D" w:rsidRDefault="00861105" w:rsidP="006037BE">
      <w:pPr>
        <w:pStyle w:val="FootnoteText"/>
        <w:rPr>
          <w:color w:val="000000" w:themeColor="text1"/>
        </w:rPr>
      </w:pPr>
      <w:r>
        <w:rPr>
          <w:rStyle w:val="FootnoteReference"/>
        </w:rPr>
        <w:footnoteRef/>
      </w:r>
      <w:r>
        <w:t xml:space="preserve"> </w:t>
      </w:r>
      <w:r w:rsidRPr="00FE205D">
        <w:rPr>
          <w:color w:val="000000" w:themeColor="text1"/>
        </w:rPr>
        <w:t xml:space="preserve">ACCC, </w:t>
      </w:r>
      <w:hyperlink r:id="rId3" w:history="1">
        <w:r w:rsidR="006037BE" w:rsidRPr="00FE205D">
          <w:rPr>
            <w:rStyle w:val="Hyperlink"/>
            <w:color w:val="000000" w:themeColor="text1"/>
          </w:rPr>
          <w:t>Statement of Goals for Merger Reform Implementation</w:t>
        </w:r>
      </w:hyperlink>
      <w:r w:rsidRPr="00FE205D">
        <w:rPr>
          <w:color w:val="000000" w:themeColor="text1"/>
        </w:rPr>
        <w:t>, ACCC, Australian Government, 10 October 2024</w:t>
      </w:r>
    </w:p>
  </w:footnote>
  <w:footnote w:id="4">
    <w:p w14:paraId="601523AD" w14:textId="77777777" w:rsidR="00FE205D" w:rsidRDefault="00861105" w:rsidP="006037BE">
      <w:pPr>
        <w:pStyle w:val="FootnoteText"/>
      </w:pPr>
      <w:r w:rsidRPr="00FE205D">
        <w:rPr>
          <w:rStyle w:val="FootnoteReference"/>
          <w:color w:val="000000" w:themeColor="text1"/>
        </w:rPr>
        <w:footnoteRef/>
      </w:r>
      <w:r w:rsidRPr="00FE205D">
        <w:rPr>
          <w:color w:val="000000" w:themeColor="text1"/>
        </w:rPr>
        <w:t xml:space="preserve"> </w:t>
      </w:r>
      <w:hyperlink r:id="rId4" w:history="1">
        <w:r w:rsidR="00FE205D" w:rsidRPr="00FE205D">
          <w:rPr>
            <w:rStyle w:val="Hyperlink"/>
            <w:color w:val="000000" w:themeColor="text1"/>
          </w:rPr>
          <w:t>Evidence to Senate Economics Legislation Committee</w:t>
        </w:r>
      </w:hyperlink>
      <w:r w:rsidRPr="00FE205D">
        <w:rPr>
          <w:color w:val="000000" w:themeColor="text1"/>
        </w:rPr>
        <w:t>, Parliament of Australia</w:t>
      </w:r>
      <w:r>
        <w:t xml:space="preserve">, Canberra, 30 October 2024, </w:t>
      </w:r>
    </w:p>
    <w:p w14:paraId="2C7AF90A" w14:textId="4BDEBBBF" w:rsidR="006037BE" w:rsidRPr="00DD378E" w:rsidRDefault="00861105" w:rsidP="006037BE">
      <w:pPr>
        <w:pStyle w:val="FootnoteText"/>
        <w:rPr>
          <w:lang w:val="en-US"/>
        </w:rPr>
      </w:pPr>
      <w:r>
        <w:t xml:space="preserve">   16-17 (Gina Cass-Gottlieb, ACCC Chair).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C2A6" w14:textId="10B8B2A5" w:rsidR="008774BA" w:rsidRDefault="00F347BE">
    <w:pPr>
      <w:pStyle w:val="Header"/>
    </w:pPr>
    <w:r>
      <w:rPr>
        <w:noProof/>
      </w:rPr>
      <w:drawing>
        <wp:anchor distT="0" distB="0" distL="114300" distR="114300" simplePos="0" relativeHeight="251659264" behindDoc="1" locked="1" layoutInCell="1" allowOverlap="1" wp14:anchorId="473D6E63" wp14:editId="1AC0B491">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D92" w14:textId="18AA152C" w:rsidR="008774BA" w:rsidRDefault="00F347BE">
    <w:pPr>
      <w:pStyle w:val="Header"/>
    </w:pPr>
    <w:r>
      <w:rPr>
        <w:noProof/>
      </w:rPr>
      <w:drawing>
        <wp:anchor distT="0" distB="0" distL="114300" distR="114300" simplePos="0" relativeHeight="251660288" behindDoc="1" locked="1" layoutInCell="1" allowOverlap="1" wp14:anchorId="6DDBE807" wp14:editId="28614E14">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655" w14:textId="6A3F862A"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A222" w14:textId="220AE29C"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A41" w14:textId="4FFAF96C" w:rsidR="0077630F" w:rsidRDefault="00F347BE">
    <w:pPr>
      <w:pStyle w:val="Header"/>
    </w:pPr>
    <w:r>
      <w:rPr>
        <w:noProof/>
      </w:rPr>
      <w:drawing>
        <wp:anchor distT="0" distB="0" distL="114300" distR="114300" simplePos="0" relativeHeight="251658240" behindDoc="1" locked="1" layoutInCell="1" allowOverlap="1" wp14:anchorId="343A19E5" wp14:editId="340036F7">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A59845A6">
      <w:start w:val="1"/>
      <w:numFmt w:val="decimal"/>
      <w:pStyle w:val="OneLevelNumberedParagraph"/>
      <w:lvlText w:val="%1."/>
      <w:lvlJc w:val="left"/>
      <w:pPr>
        <w:tabs>
          <w:tab w:val="num" w:pos="567"/>
        </w:tabs>
        <w:ind w:left="567" w:hanging="567"/>
      </w:pPr>
      <w:rPr>
        <w:rFonts w:hint="default"/>
      </w:rPr>
    </w:lvl>
    <w:lvl w:ilvl="1" w:tplc="7F52CFBA" w:tentative="1">
      <w:start w:val="1"/>
      <w:numFmt w:val="lowerLetter"/>
      <w:lvlText w:val="%2."/>
      <w:lvlJc w:val="left"/>
      <w:pPr>
        <w:ind w:left="1440" w:hanging="360"/>
      </w:pPr>
    </w:lvl>
    <w:lvl w:ilvl="2" w:tplc="A6F20B86" w:tentative="1">
      <w:start w:val="1"/>
      <w:numFmt w:val="lowerRoman"/>
      <w:lvlText w:val="%3."/>
      <w:lvlJc w:val="right"/>
      <w:pPr>
        <w:ind w:left="2160" w:hanging="180"/>
      </w:pPr>
    </w:lvl>
    <w:lvl w:ilvl="3" w:tplc="70CE144C" w:tentative="1">
      <w:start w:val="1"/>
      <w:numFmt w:val="decimal"/>
      <w:lvlText w:val="%4."/>
      <w:lvlJc w:val="left"/>
      <w:pPr>
        <w:ind w:left="2880" w:hanging="360"/>
      </w:pPr>
    </w:lvl>
    <w:lvl w:ilvl="4" w:tplc="EF6CCC50" w:tentative="1">
      <w:start w:val="1"/>
      <w:numFmt w:val="lowerLetter"/>
      <w:lvlText w:val="%5."/>
      <w:lvlJc w:val="left"/>
      <w:pPr>
        <w:ind w:left="3600" w:hanging="360"/>
      </w:pPr>
    </w:lvl>
    <w:lvl w:ilvl="5" w:tplc="983E06A8" w:tentative="1">
      <w:start w:val="1"/>
      <w:numFmt w:val="lowerRoman"/>
      <w:lvlText w:val="%6."/>
      <w:lvlJc w:val="right"/>
      <w:pPr>
        <w:ind w:left="4320" w:hanging="180"/>
      </w:pPr>
    </w:lvl>
    <w:lvl w:ilvl="6" w:tplc="D5F6E390" w:tentative="1">
      <w:start w:val="1"/>
      <w:numFmt w:val="decimal"/>
      <w:lvlText w:val="%7."/>
      <w:lvlJc w:val="left"/>
      <w:pPr>
        <w:ind w:left="5040" w:hanging="360"/>
      </w:pPr>
    </w:lvl>
    <w:lvl w:ilvl="7" w:tplc="CEF2AF32" w:tentative="1">
      <w:start w:val="1"/>
      <w:numFmt w:val="lowerLetter"/>
      <w:lvlText w:val="%8."/>
      <w:lvlJc w:val="left"/>
      <w:pPr>
        <w:ind w:left="5760" w:hanging="360"/>
      </w:pPr>
    </w:lvl>
    <w:lvl w:ilvl="8" w:tplc="AE20844A"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950960"/>
    <w:multiLevelType w:val="multilevel"/>
    <w:tmpl w:val="A8FA17BC"/>
    <w:name w:val="DotPointList"/>
    <w:lvl w:ilvl="0">
      <w:start w:val="1"/>
      <w:numFmt w:val="bullet"/>
      <w:pStyle w:val="Dotpoint1"/>
      <w:lvlText w:val=""/>
      <w:lvlJc w:val="left"/>
      <w:pPr>
        <w:tabs>
          <w:tab w:val="num" w:pos="993"/>
        </w:tabs>
        <w:ind w:left="993" w:hanging="284"/>
      </w:pPr>
      <w:rPr>
        <w:rFonts w:ascii="Symbol" w:hAnsi="Symbol" w:hint="default"/>
        <w:b w:val="0"/>
        <w:i w:val="0"/>
        <w:color w:val="000000"/>
      </w:rPr>
    </w:lvl>
    <w:lvl w:ilvl="1">
      <w:start w:val="1"/>
      <w:numFmt w:val="bullet"/>
      <w:lvlText w:val="–"/>
      <w:lvlJc w:val="left"/>
      <w:pPr>
        <w:tabs>
          <w:tab w:val="num" w:pos="1276"/>
        </w:tabs>
        <w:ind w:left="1276" w:hanging="283"/>
      </w:pPr>
      <w:rPr>
        <w:b w:val="0"/>
        <w:i w:val="0"/>
        <w:color w:val="000000"/>
      </w:rPr>
    </w:lvl>
    <w:lvl w:ilvl="2">
      <w:start w:val="1"/>
      <w:numFmt w:val="decimal"/>
      <w:lvlText w:val="%3"/>
      <w:lvlJc w:val="left"/>
      <w:pPr>
        <w:tabs>
          <w:tab w:val="num" w:pos="426"/>
        </w:tabs>
        <w:ind w:left="426" w:hanging="567"/>
      </w:pPr>
      <w:rPr>
        <w:b w:val="0"/>
        <w:i w:val="0"/>
        <w:color w:val="000000"/>
      </w:rPr>
    </w:lvl>
    <w:lvl w:ilvl="3">
      <w:start w:val="1"/>
      <w:numFmt w:val="decimal"/>
      <w:lvlText w:val="%4"/>
      <w:lvlJc w:val="left"/>
      <w:pPr>
        <w:tabs>
          <w:tab w:val="num" w:pos="993"/>
        </w:tabs>
        <w:ind w:left="993" w:hanging="567"/>
      </w:pPr>
      <w:rPr>
        <w:b w:val="0"/>
        <w:i w:val="0"/>
        <w:color w:val="000000"/>
      </w:rPr>
    </w:lvl>
    <w:lvl w:ilvl="4">
      <w:start w:val="1"/>
      <w:numFmt w:val="decimal"/>
      <w:lvlText w:val="%5"/>
      <w:lvlJc w:val="left"/>
      <w:pPr>
        <w:tabs>
          <w:tab w:val="num" w:pos="1560"/>
        </w:tabs>
        <w:ind w:left="1560" w:hanging="567"/>
      </w:pPr>
      <w:rPr>
        <w:b w:val="0"/>
        <w:i w:val="0"/>
        <w:color w:val="000000"/>
      </w:rPr>
    </w:lvl>
    <w:lvl w:ilvl="5">
      <w:start w:val="1"/>
      <w:numFmt w:val="decimal"/>
      <w:lvlText w:val="%6"/>
      <w:lvlJc w:val="left"/>
      <w:pPr>
        <w:tabs>
          <w:tab w:val="num" w:pos="2127"/>
        </w:tabs>
        <w:ind w:left="2127" w:hanging="567"/>
      </w:pPr>
      <w:rPr>
        <w:b w:val="0"/>
        <w:i w:val="0"/>
        <w:color w:val="000000"/>
      </w:rPr>
    </w:lvl>
    <w:lvl w:ilvl="6">
      <w:start w:val="1"/>
      <w:numFmt w:val="decimal"/>
      <w:lvlText w:val="%7"/>
      <w:lvlJc w:val="left"/>
      <w:pPr>
        <w:tabs>
          <w:tab w:val="num" w:pos="2694"/>
        </w:tabs>
        <w:ind w:left="2694" w:hanging="567"/>
      </w:pPr>
      <w:rPr>
        <w:b w:val="0"/>
        <w:i w:val="0"/>
        <w:color w:val="000000"/>
      </w:rPr>
    </w:lvl>
    <w:lvl w:ilvl="7">
      <w:start w:val="1"/>
      <w:numFmt w:val="decimal"/>
      <w:lvlText w:val="%8"/>
      <w:lvlJc w:val="left"/>
      <w:pPr>
        <w:tabs>
          <w:tab w:val="num" w:pos="3261"/>
        </w:tabs>
        <w:ind w:left="3261" w:hanging="567"/>
      </w:pPr>
      <w:rPr>
        <w:b w:val="0"/>
        <w:i w:val="0"/>
        <w:color w:val="000000"/>
      </w:rPr>
    </w:lvl>
    <w:lvl w:ilvl="8">
      <w:start w:val="1"/>
      <w:numFmt w:val="decimal"/>
      <w:lvlText w:val="%9"/>
      <w:lvlJc w:val="left"/>
      <w:pPr>
        <w:tabs>
          <w:tab w:val="num" w:pos="3828"/>
        </w:tabs>
        <w:ind w:left="3828" w:hanging="567"/>
      </w:pPr>
      <w:rPr>
        <w:b w:val="0"/>
        <w:i w:val="0"/>
        <w:color w:val="000000"/>
      </w:rPr>
    </w:lvl>
  </w:abstractNum>
  <w:abstractNum w:abstractNumId="9" w15:restartNumberingAfterBreak="0">
    <w:nsid w:val="45895885"/>
    <w:multiLevelType w:val="hybridMultilevel"/>
    <w:tmpl w:val="3FC612CC"/>
    <w:lvl w:ilvl="0" w:tplc="AA0AE8B4">
      <w:start w:val="1"/>
      <w:numFmt w:val="bullet"/>
      <w:pStyle w:val="Bullet"/>
      <w:lvlText w:val=""/>
      <w:lvlJc w:val="left"/>
      <w:pPr>
        <w:ind w:left="720" w:hanging="360"/>
      </w:pPr>
      <w:rPr>
        <w:rFonts w:ascii="Symbol" w:hAnsi="Symbol" w:hint="default"/>
      </w:rPr>
    </w:lvl>
    <w:lvl w:ilvl="1" w:tplc="E5C2F578" w:tentative="1">
      <w:start w:val="1"/>
      <w:numFmt w:val="bullet"/>
      <w:lvlText w:val="o"/>
      <w:lvlJc w:val="left"/>
      <w:pPr>
        <w:ind w:left="1440" w:hanging="360"/>
      </w:pPr>
      <w:rPr>
        <w:rFonts w:ascii="Courier New" w:hAnsi="Courier New" w:cs="Courier New" w:hint="default"/>
      </w:rPr>
    </w:lvl>
    <w:lvl w:ilvl="2" w:tplc="AF9A276E" w:tentative="1">
      <w:start w:val="1"/>
      <w:numFmt w:val="bullet"/>
      <w:lvlText w:val=""/>
      <w:lvlJc w:val="left"/>
      <w:pPr>
        <w:ind w:left="2160" w:hanging="360"/>
      </w:pPr>
      <w:rPr>
        <w:rFonts w:ascii="Wingdings" w:hAnsi="Wingdings" w:hint="default"/>
      </w:rPr>
    </w:lvl>
    <w:lvl w:ilvl="3" w:tplc="EE745C82" w:tentative="1">
      <w:start w:val="1"/>
      <w:numFmt w:val="bullet"/>
      <w:lvlText w:val=""/>
      <w:lvlJc w:val="left"/>
      <w:pPr>
        <w:ind w:left="2880" w:hanging="360"/>
      </w:pPr>
      <w:rPr>
        <w:rFonts w:ascii="Symbol" w:hAnsi="Symbol" w:hint="default"/>
      </w:rPr>
    </w:lvl>
    <w:lvl w:ilvl="4" w:tplc="3CE8F6D6" w:tentative="1">
      <w:start w:val="1"/>
      <w:numFmt w:val="bullet"/>
      <w:lvlText w:val="o"/>
      <w:lvlJc w:val="left"/>
      <w:pPr>
        <w:ind w:left="3600" w:hanging="360"/>
      </w:pPr>
      <w:rPr>
        <w:rFonts w:ascii="Courier New" w:hAnsi="Courier New" w:cs="Courier New" w:hint="default"/>
      </w:rPr>
    </w:lvl>
    <w:lvl w:ilvl="5" w:tplc="098EF262" w:tentative="1">
      <w:start w:val="1"/>
      <w:numFmt w:val="bullet"/>
      <w:lvlText w:val=""/>
      <w:lvlJc w:val="left"/>
      <w:pPr>
        <w:ind w:left="4320" w:hanging="360"/>
      </w:pPr>
      <w:rPr>
        <w:rFonts w:ascii="Wingdings" w:hAnsi="Wingdings" w:hint="default"/>
      </w:rPr>
    </w:lvl>
    <w:lvl w:ilvl="6" w:tplc="4F32B74E" w:tentative="1">
      <w:start w:val="1"/>
      <w:numFmt w:val="bullet"/>
      <w:lvlText w:val=""/>
      <w:lvlJc w:val="left"/>
      <w:pPr>
        <w:ind w:left="5040" w:hanging="360"/>
      </w:pPr>
      <w:rPr>
        <w:rFonts w:ascii="Symbol" w:hAnsi="Symbol" w:hint="default"/>
      </w:rPr>
    </w:lvl>
    <w:lvl w:ilvl="7" w:tplc="CE646F36" w:tentative="1">
      <w:start w:val="1"/>
      <w:numFmt w:val="bullet"/>
      <w:lvlText w:val="o"/>
      <w:lvlJc w:val="left"/>
      <w:pPr>
        <w:ind w:left="5760" w:hanging="360"/>
      </w:pPr>
      <w:rPr>
        <w:rFonts w:ascii="Courier New" w:hAnsi="Courier New" w:cs="Courier New" w:hint="default"/>
      </w:rPr>
    </w:lvl>
    <w:lvl w:ilvl="8" w:tplc="FC64134C" w:tentative="1">
      <w:start w:val="1"/>
      <w:numFmt w:val="bullet"/>
      <w:lvlText w:val=""/>
      <w:lvlJc w:val="left"/>
      <w:pPr>
        <w:ind w:left="6480" w:hanging="360"/>
      </w:pPr>
      <w:rPr>
        <w:rFonts w:ascii="Wingdings" w:hAnsi="Wingdings" w:hint="default"/>
      </w:rPr>
    </w:lvl>
  </w:abstractNum>
  <w:abstractNum w:abstractNumId="10"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6029125">
    <w:abstractNumId w:val="2"/>
  </w:num>
  <w:num w:numId="2" w16cid:durableId="2014457591">
    <w:abstractNumId w:val="4"/>
  </w:num>
  <w:num w:numId="3" w16cid:durableId="76888985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797703">
    <w:abstractNumId w:val="0"/>
  </w:num>
  <w:num w:numId="5" w16cid:durableId="936595825">
    <w:abstractNumId w:val="5"/>
  </w:num>
  <w:num w:numId="6" w16cid:durableId="1711878146">
    <w:abstractNumId w:val="6"/>
  </w:num>
  <w:num w:numId="7" w16cid:durableId="929119586">
    <w:abstractNumId w:val="3"/>
  </w:num>
  <w:num w:numId="8" w16cid:durableId="1101877851">
    <w:abstractNumId w:val="7"/>
  </w:num>
  <w:num w:numId="9" w16cid:durableId="1414819102">
    <w:abstractNumId w:val="1"/>
  </w:num>
  <w:num w:numId="10" w16cid:durableId="642201615">
    <w:abstractNumId w:val="9"/>
  </w:num>
  <w:num w:numId="11" w16cid:durableId="561214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164F"/>
    <w:rsid w:val="00056FF5"/>
    <w:rsid w:val="00062A7C"/>
    <w:rsid w:val="00073BB2"/>
    <w:rsid w:val="00076769"/>
    <w:rsid w:val="000846EF"/>
    <w:rsid w:val="000851F8"/>
    <w:rsid w:val="000957B5"/>
    <w:rsid w:val="000D051A"/>
    <w:rsid w:val="000D1C7F"/>
    <w:rsid w:val="000D3761"/>
    <w:rsid w:val="000F621B"/>
    <w:rsid w:val="00106DC4"/>
    <w:rsid w:val="00116F13"/>
    <w:rsid w:val="00134B42"/>
    <w:rsid w:val="00136C80"/>
    <w:rsid w:val="00175037"/>
    <w:rsid w:val="001A469D"/>
    <w:rsid w:val="00203F8F"/>
    <w:rsid w:val="0020577C"/>
    <w:rsid w:val="00205BAC"/>
    <w:rsid w:val="00220FC1"/>
    <w:rsid w:val="00236901"/>
    <w:rsid w:val="002740F3"/>
    <w:rsid w:val="00277C22"/>
    <w:rsid w:val="002A30D0"/>
    <w:rsid w:val="002A31E6"/>
    <w:rsid w:val="002B4442"/>
    <w:rsid w:val="002C268F"/>
    <w:rsid w:val="002D037C"/>
    <w:rsid w:val="002F52A6"/>
    <w:rsid w:val="00322FD1"/>
    <w:rsid w:val="00326FB8"/>
    <w:rsid w:val="00340F54"/>
    <w:rsid w:val="003426DF"/>
    <w:rsid w:val="003463B6"/>
    <w:rsid w:val="00353FD7"/>
    <w:rsid w:val="003B22AE"/>
    <w:rsid w:val="003B4FFC"/>
    <w:rsid w:val="003B5AEA"/>
    <w:rsid w:val="003C1C89"/>
    <w:rsid w:val="003C40CA"/>
    <w:rsid w:val="003D56AE"/>
    <w:rsid w:val="003E1E62"/>
    <w:rsid w:val="003E6F3D"/>
    <w:rsid w:val="003F3D08"/>
    <w:rsid w:val="003F49DD"/>
    <w:rsid w:val="004063DC"/>
    <w:rsid w:val="0042266F"/>
    <w:rsid w:val="0044406D"/>
    <w:rsid w:val="00490670"/>
    <w:rsid w:val="00495C13"/>
    <w:rsid w:val="004C1029"/>
    <w:rsid w:val="004D2632"/>
    <w:rsid w:val="004F64D6"/>
    <w:rsid w:val="00501352"/>
    <w:rsid w:val="00510BCE"/>
    <w:rsid w:val="005243F9"/>
    <w:rsid w:val="0053687B"/>
    <w:rsid w:val="00537CBA"/>
    <w:rsid w:val="00551FA6"/>
    <w:rsid w:val="005537C9"/>
    <w:rsid w:val="005A000F"/>
    <w:rsid w:val="005A5306"/>
    <w:rsid w:val="005E3B68"/>
    <w:rsid w:val="005E449B"/>
    <w:rsid w:val="006037BE"/>
    <w:rsid w:val="0062644C"/>
    <w:rsid w:val="006643FC"/>
    <w:rsid w:val="0066657F"/>
    <w:rsid w:val="006848CE"/>
    <w:rsid w:val="006D019F"/>
    <w:rsid w:val="006D1D3B"/>
    <w:rsid w:val="007060E4"/>
    <w:rsid w:val="0072156A"/>
    <w:rsid w:val="00725E06"/>
    <w:rsid w:val="00725F12"/>
    <w:rsid w:val="0073673D"/>
    <w:rsid w:val="0077630F"/>
    <w:rsid w:val="007763B0"/>
    <w:rsid w:val="007820EC"/>
    <w:rsid w:val="007C5FCA"/>
    <w:rsid w:val="00801C93"/>
    <w:rsid w:val="00802CC3"/>
    <w:rsid w:val="00807E98"/>
    <w:rsid w:val="00835798"/>
    <w:rsid w:val="00841EDE"/>
    <w:rsid w:val="008423EC"/>
    <w:rsid w:val="00854626"/>
    <w:rsid w:val="00857B23"/>
    <w:rsid w:val="00861105"/>
    <w:rsid w:val="00866319"/>
    <w:rsid w:val="008671CE"/>
    <w:rsid w:val="008706FC"/>
    <w:rsid w:val="008774BA"/>
    <w:rsid w:val="008D01F4"/>
    <w:rsid w:val="008D32D4"/>
    <w:rsid w:val="008D6E34"/>
    <w:rsid w:val="008F3799"/>
    <w:rsid w:val="008F6DE4"/>
    <w:rsid w:val="008F6F80"/>
    <w:rsid w:val="00901070"/>
    <w:rsid w:val="009142D3"/>
    <w:rsid w:val="00916005"/>
    <w:rsid w:val="00931DE0"/>
    <w:rsid w:val="00935E3D"/>
    <w:rsid w:val="00936E2B"/>
    <w:rsid w:val="00942DD8"/>
    <w:rsid w:val="00945FCD"/>
    <w:rsid w:val="009558AD"/>
    <w:rsid w:val="0096342F"/>
    <w:rsid w:val="009753EB"/>
    <w:rsid w:val="0099789E"/>
    <w:rsid w:val="009B3B52"/>
    <w:rsid w:val="009D2B59"/>
    <w:rsid w:val="009D5E42"/>
    <w:rsid w:val="009E4503"/>
    <w:rsid w:val="00A02B84"/>
    <w:rsid w:val="00A2437E"/>
    <w:rsid w:val="00A47334"/>
    <w:rsid w:val="00A60BC5"/>
    <w:rsid w:val="00A635E3"/>
    <w:rsid w:val="00A66929"/>
    <w:rsid w:val="00A7212C"/>
    <w:rsid w:val="00A9127B"/>
    <w:rsid w:val="00AB210D"/>
    <w:rsid w:val="00AC215F"/>
    <w:rsid w:val="00AE7721"/>
    <w:rsid w:val="00B11725"/>
    <w:rsid w:val="00B47ECF"/>
    <w:rsid w:val="00BB1B65"/>
    <w:rsid w:val="00BD2AE1"/>
    <w:rsid w:val="00BE31D9"/>
    <w:rsid w:val="00BF1C86"/>
    <w:rsid w:val="00C03FE3"/>
    <w:rsid w:val="00C12C6B"/>
    <w:rsid w:val="00C30D6C"/>
    <w:rsid w:val="00C34ADB"/>
    <w:rsid w:val="00C45BA7"/>
    <w:rsid w:val="00C47A9C"/>
    <w:rsid w:val="00C86DDC"/>
    <w:rsid w:val="00C929E6"/>
    <w:rsid w:val="00CA789F"/>
    <w:rsid w:val="00CC4F84"/>
    <w:rsid w:val="00CD3EBC"/>
    <w:rsid w:val="00CF137B"/>
    <w:rsid w:val="00CF75DF"/>
    <w:rsid w:val="00D04818"/>
    <w:rsid w:val="00D048D4"/>
    <w:rsid w:val="00D15147"/>
    <w:rsid w:val="00D37BE1"/>
    <w:rsid w:val="00D4537A"/>
    <w:rsid w:val="00D45CBA"/>
    <w:rsid w:val="00D57A4A"/>
    <w:rsid w:val="00DA2451"/>
    <w:rsid w:val="00DA5059"/>
    <w:rsid w:val="00DD378E"/>
    <w:rsid w:val="00DE77E3"/>
    <w:rsid w:val="00DF557B"/>
    <w:rsid w:val="00DF5FB3"/>
    <w:rsid w:val="00E12215"/>
    <w:rsid w:val="00E447E8"/>
    <w:rsid w:val="00E47818"/>
    <w:rsid w:val="00E561E9"/>
    <w:rsid w:val="00E61A00"/>
    <w:rsid w:val="00E85273"/>
    <w:rsid w:val="00EB019C"/>
    <w:rsid w:val="00EC7701"/>
    <w:rsid w:val="00EF10EF"/>
    <w:rsid w:val="00EF2F09"/>
    <w:rsid w:val="00F058B5"/>
    <w:rsid w:val="00F24C6B"/>
    <w:rsid w:val="00F347BE"/>
    <w:rsid w:val="00F513A8"/>
    <w:rsid w:val="00F53754"/>
    <w:rsid w:val="00F63F4D"/>
    <w:rsid w:val="00F769CE"/>
    <w:rsid w:val="00F92A63"/>
    <w:rsid w:val="00FB6B0E"/>
    <w:rsid w:val="00FE045B"/>
    <w:rsid w:val="00FE205D"/>
    <w:rsid w:val="00FE3451"/>
    <w:rsid w:val="2DF55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customStyle="1" w:styleId="paragraph">
    <w:name w:val="paragraph"/>
    <w:basedOn w:val="Normal"/>
    <w:rsid w:val="00A66929"/>
    <w:pPr>
      <w:spacing w:before="100" w:beforeAutospacing="1" w:after="100" w:afterAutospacing="1"/>
    </w:pPr>
    <w:rPr>
      <w:rFonts w:ascii="Calibri" w:hAnsi="Calibri" w:cs="Calibri"/>
      <w:szCs w:val="22"/>
    </w:rPr>
  </w:style>
  <w:style w:type="character" w:customStyle="1" w:styleId="normaltextrun">
    <w:name w:val="normaltextrun"/>
    <w:basedOn w:val="DefaultParagraphFont"/>
    <w:rsid w:val="00A66929"/>
  </w:style>
  <w:style w:type="character" w:customStyle="1" w:styleId="eop">
    <w:name w:val="eop"/>
    <w:basedOn w:val="DefaultParagraphFont"/>
    <w:rsid w:val="00A66929"/>
  </w:style>
  <w:style w:type="paragraph" w:customStyle="1" w:styleId="Normalparatextnonumbers">
    <w:name w:val="Normal para text (no numbers)"/>
    <w:basedOn w:val="Normal"/>
    <w:qFormat/>
    <w:rsid w:val="003F49DD"/>
    <w:rPr>
      <w:rFonts w:ascii="Times New Roman" w:eastAsiaTheme="minorHAnsi" w:hAnsi="Times New Roman" w:cstheme="minorBidi"/>
      <w:szCs w:val="22"/>
      <w:lang w:eastAsia="en-US"/>
    </w:rPr>
  </w:style>
  <w:style w:type="paragraph" w:customStyle="1" w:styleId="Dotpoint1">
    <w:name w:val="Dot point 1"/>
    <w:basedOn w:val="Normal"/>
    <w:link w:val="Dotpoint1Char"/>
    <w:uiPriority w:val="1"/>
    <w:qFormat/>
    <w:rsid w:val="003F49DD"/>
    <w:pPr>
      <w:numPr>
        <w:numId w:val="11"/>
      </w:numPr>
      <w:tabs>
        <w:tab w:val="clear" w:pos="993"/>
      </w:tabs>
      <w:ind w:left="1418" w:hanging="709"/>
    </w:pPr>
    <w:rPr>
      <w:rFonts w:ascii="Times New Roman" w:eastAsiaTheme="minorHAnsi" w:hAnsi="Times New Roman" w:cstheme="minorBidi"/>
      <w:szCs w:val="22"/>
      <w:lang w:eastAsia="en-US"/>
    </w:rPr>
  </w:style>
  <w:style w:type="character" w:customStyle="1" w:styleId="Dotpoint1Char">
    <w:name w:val="Dot point 1 Char"/>
    <w:basedOn w:val="DefaultParagraphFont"/>
    <w:link w:val="Dotpoint1"/>
    <w:uiPriority w:val="1"/>
    <w:rsid w:val="003F49DD"/>
    <w:rPr>
      <w:rFonts w:ascii="Times New Roman" w:hAnsi="Times New Roman"/>
    </w:rPr>
  </w:style>
  <w:style w:type="paragraph" w:styleId="Revision">
    <w:name w:val="Revision"/>
    <w:hidden/>
    <w:uiPriority w:val="99"/>
    <w:semiHidden/>
    <w:rsid w:val="00936E2B"/>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8F6F80"/>
    <w:rPr>
      <w:color w:val="605E5C"/>
      <w:shd w:val="clear" w:color="auto" w:fill="E1DFDD"/>
    </w:rPr>
  </w:style>
  <w:style w:type="character" w:styleId="FollowedHyperlink">
    <w:name w:val="FollowedHyperlink"/>
    <w:basedOn w:val="DefaultParagraphFont"/>
    <w:uiPriority w:val="99"/>
    <w:semiHidden/>
    <w:unhideWhenUsed/>
    <w:rsid w:val="008D01F4"/>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accc.gov.au/system/files/statement-goals-merger-reform-implementation-september-2024_0.pdf" TargetMode="External"/><Relationship Id="rId2" Type="http://schemas.openxmlformats.org/officeDocument/2006/relationships/hyperlink" Target="https://www.accc.gov.au/inquiries-and-consultations/consultative-committees/accc-performance-consultative-committee" TargetMode="External"/><Relationship Id="rId1" Type="http://schemas.openxmlformats.org/officeDocument/2006/relationships/hyperlink" Target="https://www.accc.gov.au/system/files/statement-goals-merger-reform-implementation-september-2024_0.pdf" TargetMode="External"/><Relationship Id="rId4" Type="http://schemas.openxmlformats.org/officeDocument/2006/relationships/hyperlink" Target="https://www.aph.gov.au/Parliamentary_Business/Committees/Senate/Economics/TLABMergers/Public_Hear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A789F" w:rsidRDefault="00E92EBD"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CA789F" w:rsidRDefault="00E92EBD"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CA789F" w:rsidRDefault="00E92EBD"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717" w:rsidRDefault="00F73717">
      <w:pPr>
        <w:spacing w:after="0" w:line="240" w:lineRule="auto"/>
      </w:pPr>
      <w:r>
        <w:separator/>
      </w:r>
    </w:p>
  </w:endnote>
  <w:endnote w:type="continuationSeparator" w:id="0">
    <w:p w:rsidR="00F73717" w:rsidRDefault="00F7371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717" w:rsidRDefault="00F73717">
      <w:pPr>
        <w:spacing w:after="0" w:line="240" w:lineRule="auto"/>
      </w:pPr>
      <w:r>
        <w:separator/>
      </w:r>
    </w:p>
  </w:footnote>
  <w:footnote w:type="continuationSeparator" w:id="0">
    <w:p w:rsidR="00F73717" w:rsidRDefault="00F7371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0851F8"/>
    <w:rsid w:val="00116F13"/>
    <w:rsid w:val="002F52A6"/>
    <w:rsid w:val="003F3D08"/>
    <w:rsid w:val="00501352"/>
    <w:rsid w:val="0062644C"/>
    <w:rsid w:val="008B1EF4"/>
    <w:rsid w:val="00945FCD"/>
    <w:rsid w:val="00B84B01"/>
    <w:rsid w:val="00B97A0E"/>
    <w:rsid w:val="00CA789F"/>
    <w:rsid w:val="00CF75DF"/>
    <w:rsid w:val="00D048D4"/>
    <w:rsid w:val="00DA5059"/>
    <w:rsid w:val="00DE431E"/>
    <w:rsid w:val="00E7416D"/>
    <w:rsid w:val="00E92EBD"/>
    <w:rsid w:val="00ED00BF"/>
    <w:rsid w:val="00F302BB"/>
    <w:rsid w:val="00F73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Australian Government response to the Senate Committee Economics report: Inquiry into Treasury Laws Amendment (Mergers and Acquisitions Reform) Bill 2024</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Committee Economics report: Inquiry into Treasury Laws Amendment (Mergers and Acquisitions Reform) Bill 2024</dc:title>
  <dc:subject/>
  <dc:creator>Australian Government</dc:creator>
  <cp:keywords/>
  <cp:lastModifiedBy/>
  <cp:revision>1</cp:revision>
  <dcterms:created xsi:type="dcterms:W3CDTF">2026-03-12T00:54:00Z</dcterms:created>
  <dcterms:modified xsi:type="dcterms:W3CDTF">2026-03-12T00:54:00Z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2026-03-12T00:54:47Z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18c11153-4225-49fc-bb22-a705477f1d0b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