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E397" w14:textId="77777777" w:rsidR="00DC46E3" w:rsidRDefault="00DC46E3" w:rsidP="00DC46E3">
      <w:pPr>
        <w:spacing w:before="360"/>
        <w:ind w:right="95"/>
        <w:jc w:val="center"/>
      </w:pPr>
      <w:r>
        <w:rPr>
          <w:caps/>
          <w:noProof/>
        </w:rPr>
        <w:drawing>
          <wp:inline distT="0" distB="0" distL="0" distR="0" wp14:anchorId="4A966324" wp14:editId="06663180">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2562027B" w14:textId="7B663F69" w:rsidR="00DC46E3" w:rsidRPr="00EC7701" w:rsidRDefault="00DC46E3" w:rsidP="00DC46E3">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DC46E3">
        <w:rPr>
          <w:rFonts w:ascii="Montserrat Light" w:hAnsi="Montserrat Light"/>
          <w:sz w:val="32"/>
          <w:szCs w:val="32"/>
        </w:rPr>
        <w:t>Parliamentary Joint Committee on Corporations and Financial Services report</w:t>
      </w:r>
      <w:r w:rsidR="00221ED1">
        <w:rPr>
          <w:rFonts w:ascii="Montserrat Light" w:hAnsi="Montserrat Light"/>
          <w:sz w:val="32"/>
          <w:szCs w:val="32"/>
        </w:rPr>
        <w:t>:</w:t>
      </w:r>
    </w:p>
    <w:p w14:paraId="3C05EE5E" w14:textId="023CA2AD" w:rsidR="00DC46E3" w:rsidRPr="00EC7701" w:rsidRDefault="00BB6A47" w:rsidP="004A57BA">
      <w:pPr>
        <w:spacing w:before="240" w:after="7500"/>
        <w:jc w:val="center"/>
        <w:rPr>
          <w:rFonts w:ascii="Montserrat Light" w:hAnsi="Montserrat Light"/>
          <w:sz w:val="32"/>
          <w:szCs w:val="32"/>
        </w:rPr>
      </w:pPr>
      <w:sdt>
        <w:sdtPr>
          <w:rPr>
            <w:rStyle w:val="commiChar"/>
            <w:rFonts w:eastAsiaTheme="minorHAnsi"/>
          </w:rPr>
          <w:alias w:val="Report Title"/>
          <w:tag w:val="ReportTitle"/>
          <w:id w:val="160520125"/>
          <w:placeholder>
            <w:docPart w:val="797CF0914E3A4BA2B7756B71CF189B06"/>
          </w:placeholder>
        </w:sdtPr>
        <w:sdtEndPr>
          <w:rPr>
            <w:rStyle w:val="commiChar"/>
          </w:rPr>
        </w:sdtEndPr>
        <w:sdtContent>
          <w:r w:rsidR="00DC46E3" w:rsidRPr="00DC46E3">
            <w:rPr>
              <w:rStyle w:val="commiChar"/>
              <w:rFonts w:eastAsiaTheme="minorHAnsi"/>
            </w:rPr>
            <w:t>Ethics and Professional Accountability: Structural</w:t>
          </w:r>
          <w:r w:rsidR="00732CC7">
            <w:rPr>
              <w:rStyle w:val="commiChar"/>
              <w:rFonts w:eastAsiaTheme="minorHAnsi"/>
            </w:rPr>
            <w:t xml:space="preserve"> </w:t>
          </w:r>
          <w:r w:rsidR="00DC46E3" w:rsidRPr="00DC46E3">
            <w:rPr>
              <w:rStyle w:val="commiChar"/>
              <w:rFonts w:eastAsiaTheme="minorHAnsi"/>
            </w:rPr>
            <w:t>Challenges in the Audit, Assurance and Consultancy</w:t>
          </w:r>
          <w:r w:rsidR="00732CC7">
            <w:rPr>
              <w:rStyle w:val="commiChar"/>
              <w:rFonts w:eastAsiaTheme="minorHAnsi"/>
            </w:rPr>
            <w:t xml:space="preserve"> </w:t>
          </w:r>
          <w:r w:rsidR="00DC46E3" w:rsidRPr="00DC46E3">
            <w:rPr>
              <w:rStyle w:val="commiChar"/>
              <w:rFonts w:eastAsiaTheme="minorHAnsi"/>
            </w:rPr>
            <w:t>Industry</w:t>
          </w:r>
        </w:sdtContent>
      </w:sdt>
    </w:p>
    <w:p w14:paraId="684CC456" w14:textId="2487FC85" w:rsidR="000E59CD" w:rsidRPr="00B3099B" w:rsidRDefault="00375DEA" w:rsidP="00B3099B">
      <w:pPr>
        <w:jc w:val="right"/>
        <w:rPr>
          <w:rFonts w:ascii="Times New Roman" w:hAnsi="Times New Roman" w:cs="Times New Roman"/>
          <w:sz w:val="28"/>
          <w:szCs w:val="28"/>
        </w:rPr>
      </w:pPr>
      <w:r w:rsidRPr="00264A88">
        <w:rPr>
          <w:rFonts w:ascii="Times New Roman" w:hAnsi="Times New Roman" w:cs="Times New Roman"/>
          <w:b/>
          <w:bCs/>
          <w:sz w:val="28"/>
          <w:szCs w:val="28"/>
        </w:rPr>
        <w:t xml:space="preserve"> </w:t>
      </w:r>
      <w:r w:rsidR="00264A88" w:rsidRPr="00237392">
        <w:rPr>
          <w:rFonts w:ascii="Times New Roman" w:hAnsi="Times New Roman" w:cs="Times New Roman"/>
          <w:sz w:val="28"/>
          <w:szCs w:val="28"/>
        </w:rPr>
        <w:t>February</w:t>
      </w:r>
      <w:r w:rsidRPr="00237392">
        <w:rPr>
          <w:rFonts w:ascii="Times New Roman" w:hAnsi="Times New Roman" w:cs="Times New Roman"/>
          <w:sz w:val="28"/>
          <w:szCs w:val="28"/>
        </w:rPr>
        <w:t xml:space="preserve"> 202</w:t>
      </w:r>
      <w:r w:rsidR="00264A88" w:rsidRPr="00237392">
        <w:rPr>
          <w:rFonts w:ascii="Times New Roman" w:hAnsi="Times New Roman" w:cs="Times New Roman"/>
          <w:sz w:val="28"/>
          <w:szCs w:val="28"/>
        </w:rPr>
        <w:t>6</w:t>
      </w:r>
      <w:r w:rsidR="000E59CD">
        <w:rPr>
          <w:rFonts w:ascii="Times New Roman" w:hAnsi="Times New Roman" w:cs="Times New Roman"/>
          <w:b/>
          <w:bCs/>
          <w:sz w:val="24"/>
          <w:szCs w:val="24"/>
        </w:rPr>
        <w:br w:type="page"/>
      </w:r>
    </w:p>
    <w:p w14:paraId="63B3145D" w14:textId="3542BA08" w:rsidR="009C5F73" w:rsidRDefault="009C5F73" w:rsidP="00264A88">
      <w:pPr>
        <w:spacing w:before="240" w:after="240"/>
        <w:jc w:val="center"/>
        <w:rPr>
          <w:rFonts w:ascii="Times New Roman" w:hAnsi="Times New Roman" w:cs="Times New Roman"/>
          <w:b/>
          <w:bCs/>
          <w:sz w:val="24"/>
          <w:szCs w:val="24"/>
        </w:rPr>
      </w:pPr>
      <w:r w:rsidRPr="00B33745">
        <w:rPr>
          <w:rFonts w:ascii="Times New Roman" w:hAnsi="Times New Roman" w:cs="Times New Roman"/>
          <w:b/>
          <w:bCs/>
          <w:sz w:val="24"/>
          <w:szCs w:val="24"/>
        </w:rPr>
        <w:lastRenderedPageBreak/>
        <w:t xml:space="preserve">Australian Government </w:t>
      </w:r>
      <w:r w:rsidR="003226D1">
        <w:rPr>
          <w:rFonts w:ascii="Times New Roman" w:hAnsi="Times New Roman" w:cs="Times New Roman"/>
          <w:b/>
          <w:bCs/>
          <w:sz w:val="24"/>
          <w:szCs w:val="24"/>
        </w:rPr>
        <w:t>r</w:t>
      </w:r>
      <w:r w:rsidRPr="00B33745">
        <w:rPr>
          <w:rFonts w:ascii="Times New Roman" w:hAnsi="Times New Roman" w:cs="Times New Roman"/>
          <w:b/>
          <w:bCs/>
          <w:sz w:val="24"/>
          <w:szCs w:val="24"/>
        </w:rPr>
        <w:t>esponse to the Parliamentary Joint Committee on</w:t>
      </w:r>
      <w:r w:rsidR="00605AEC">
        <w:rPr>
          <w:rFonts w:ascii="Times New Roman" w:hAnsi="Times New Roman" w:cs="Times New Roman"/>
          <w:b/>
          <w:bCs/>
          <w:sz w:val="24"/>
          <w:szCs w:val="24"/>
        </w:rPr>
        <w:t xml:space="preserve"> </w:t>
      </w:r>
      <w:r w:rsidRPr="00B33745">
        <w:rPr>
          <w:rFonts w:ascii="Times New Roman" w:hAnsi="Times New Roman" w:cs="Times New Roman"/>
          <w:b/>
          <w:bCs/>
          <w:sz w:val="24"/>
          <w:szCs w:val="24"/>
        </w:rPr>
        <w:t>Corporations and Financial Services report: Ethics and Professional Accountability:</w:t>
      </w:r>
      <w:r w:rsidR="00605AEC">
        <w:rPr>
          <w:rFonts w:ascii="Times New Roman" w:hAnsi="Times New Roman" w:cs="Times New Roman"/>
          <w:b/>
          <w:bCs/>
          <w:sz w:val="24"/>
          <w:szCs w:val="24"/>
        </w:rPr>
        <w:t xml:space="preserve"> </w:t>
      </w:r>
      <w:r w:rsidRPr="00B33745">
        <w:rPr>
          <w:rFonts w:ascii="Times New Roman" w:hAnsi="Times New Roman" w:cs="Times New Roman"/>
          <w:b/>
          <w:bCs/>
          <w:sz w:val="24"/>
          <w:szCs w:val="24"/>
        </w:rPr>
        <w:t>Structural Challenges in the Audit, Assurance and Consultancy Industry</w:t>
      </w:r>
    </w:p>
    <w:p w14:paraId="125A4300" w14:textId="77777777" w:rsidR="00264A88" w:rsidRPr="00264A88" w:rsidRDefault="00264A88" w:rsidP="00264A88">
      <w:pPr>
        <w:spacing w:after="0"/>
        <w:jc w:val="center"/>
        <w:rPr>
          <w:rFonts w:ascii="Times New Roman" w:hAnsi="Times New Roman" w:cs="Times New Roman"/>
          <w:b/>
          <w:bCs/>
          <w:sz w:val="11"/>
          <w:szCs w:val="11"/>
        </w:rPr>
      </w:pPr>
    </w:p>
    <w:p w14:paraId="57E37B7C" w14:textId="77777777" w:rsidR="009C5F73" w:rsidRPr="00B338D3" w:rsidRDefault="009C5F73" w:rsidP="00264A88">
      <w:pPr>
        <w:keepNext/>
        <w:spacing w:after="240"/>
        <w:rPr>
          <w:rFonts w:ascii="Times New Roman" w:hAnsi="Times New Roman" w:cs="Times New Roman"/>
          <w:b/>
          <w:bCs/>
          <w:u w:val="single"/>
        </w:rPr>
      </w:pPr>
      <w:r w:rsidRPr="00B338D3">
        <w:rPr>
          <w:rFonts w:ascii="Times New Roman" w:hAnsi="Times New Roman" w:cs="Times New Roman"/>
          <w:b/>
          <w:bCs/>
          <w:u w:val="single"/>
        </w:rPr>
        <w:t>Government engagement with consultancy firms</w:t>
      </w:r>
    </w:p>
    <w:p w14:paraId="4D0527A0" w14:textId="77777777" w:rsidR="009C5F73" w:rsidRDefault="009C5F73" w:rsidP="00264A88">
      <w:pPr>
        <w:keepNext/>
        <w:spacing w:before="240" w:after="240"/>
        <w:rPr>
          <w:rFonts w:ascii="Times New Roman" w:hAnsi="Times New Roman" w:cs="Times New Roman"/>
        </w:rPr>
      </w:pPr>
      <w:r w:rsidRPr="00271B0E">
        <w:rPr>
          <w:rFonts w:ascii="Times New Roman" w:hAnsi="Times New Roman" w:cs="Times New Roman"/>
        </w:rPr>
        <w:t xml:space="preserve">The Government </w:t>
      </w:r>
      <w:r w:rsidRPr="00271B0E">
        <w:rPr>
          <w:rFonts w:ascii="Times New Roman" w:hAnsi="Times New Roman" w:cs="Times New Roman"/>
          <w:b/>
          <w:bCs/>
        </w:rPr>
        <w:t>notes</w:t>
      </w:r>
      <w:r w:rsidRPr="00271B0E">
        <w:rPr>
          <w:rFonts w:ascii="Times New Roman" w:hAnsi="Times New Roman" w:cs="Times New Roman"/>
        </w:rPr>
        <w:t xml:space="preserve"> </w:t>
      </w:r>
      <w:r>
        <w:rPr>
          <w:rFonts w:ascii="Times New Roman" w:hAnsi="Times New Roman" w:cs="Times New Roman"/>
        </w:rPr>
        <w:t>R</w:t>
      </w:r>
      <w:r w:rsidRPr="00271B0E">
        <w:rPr>
          <w:rFonts w:ascii="Times New Roman" w:hAnsi="Times New Roman" w:cs="Times New Roman"/>
        </w:rPr>
        <w:t>ecommendation</w:t>
      </w:r>
      <w:r>
        <w:rPr>
          <w:rFonts w:ascii="Times New Roman" w:hAnsi="Times New Roman" w:cs="Times New Roman"/>
        </w:rPr>
        <w:t>s 1, 29, 30, 31 and 34.</w:t>
      </w:r>
    </w:p>
    <w:tbl>
      <w:tblPr>
        <w:tblStyle w:val="TableGrid"/>
        <w:tblW w:w="0" w:type="auto"/>
        <w:tblLook w:val="04A0" w:firstRow="1" w:lastRow="0" w:firstColumn="1" w:lastColumn="0" w:noHBand="0" w:noVBand="1"/>
      </w:tblPr>
      <w:tblGrid>
        <w:gridCol w:w="9016"/>
      </w:tblGrid>
      <w:tr w:rsidR="009C5F73" w14:paraId="7368F016" w14:textId="77777777" w:rsidTr="004A30EA">
        <w:tc>
          <w:tcPr>
            <w:tcW w:w="9016" w:type="dxa"/>
          </w:tcPr>
          <w:p w14:paraId="59CE0E53" w14:textId="77777777" w:rsidR="009C5F73" w:rsidRPr="00271B0E" w:rsidRDefault="009C5F73" w:rsidP="00264A88">
            <w:pPr>
              <w:spacing w:before="240" w:after="240"/>
              <w:rPr>
                <w:rFonts w:ascii="Times New Roman" w:hAnsi="Times New Roman" w:cs="Times New Roman"/>
                <w:b/>
                <w:bCs/>
              </w:rPr>
            </w:pPr>
            <w:r w:rsidRPr="00271B0E">
              <w:rPr>
                <w:rFonts w:ascii="Times New Roman" w:hAnsi="Times New Roman" w:cs="Times New Roman"/>
                <w:b/>
                <w:bCs/>
              </w:rPr>
              <w:t>Government Response</w:t>
            </w:r>
          </w:p>
          <w:p w14:paraId="510860E4" w14:textId="77777777" w:rsidR="009C5F73" w:rsidRDefault="009C5F73" w:rsidP="00264A88">
            <w:pPr>
              <w:spacing w:before="240" w:after="240"/>
              <w:rPr>
                <w:rFonts w:ascii="Times New Roman" w:hAnsi="Times New Roman" w:cs="Times New Roman"/>
                <w:i/>
                <w:iCs/>
              </w:rPr>
            </w:pPr>
            <w:r w:rsidRPr="00EB26CF">
              <w:rPr>
                <w:rFonts w:ascii="Times New Roman" w:hAnsi="Times New Roman" w:cs="Times New Roman"/>
                <w:i/>
                <w:iCs/>
              </w:rPr>
              <w:t xml:space="preserve">Ethical Suppliers </w:t>
            </w:r>
          </w:p>
          <w:p w14:paraId="4979E365" w14:textId="77777777" w:rsidR="009C5F73" w:rsidRPr="00EB26CF" w:rsidRDefault="009C5F73" w:rsidP="00264A88">
            <w:pPr>
              <w:spacing w:before="240" w:after="240"/>
              <w:rPr>
                <w:rFonts w:ascii="Times New Roman" w:hAnsi="Times New Roman" w:cs="Times New Roman"/>
              </w:rPr>
            </w:pPr>
            <w:r w:rsidRPr="00EB26CF">
              <w:rPr>
                <w:rFonts w:ascii="Times New Roman" w:hAnsi="Times New Roman" w:cs="Times New Roman"/>
              </w:rPr>
              <w:t>The Government expects its suppliers to conduct themselves with high standards of ethics such that they consistently act with integrity and accountability. The Australian Government has undertaken a range of actions to strengthen supplier integrity and contract transparency.</w:t>
            </w:r>
          </w:p>
          <w:p w14:paraId="641567FD" w14:textId="77777777" w:rsidR="009C5F73" w:rsidRPr="00EB26CF" w:rsidRDefault="009C5F73" w:rsidP="00264A88">
            <w:pPr>
              <w:spacing w:before="240" w:after="240"/>
              <w:rPr>
                <w:rFonts w:ascii="Times New Roman" w:hAnsi="Times New Roman" w:cs="Times New Roman"/>
              </w:rPr>
            </w:pPr>
            <w:r w:rsidRPr="00EB26CF">
              <w:rPr>
                <w:rFonts w:ascii="Times New Roman" w:hAnsi="Times New Roman" w:cs="Times New Roman"/>
              </w:rPr>
              <w:t xml:space="preserve">The Australian Government has developed the </w:t>
            </w:r>
            <w:hyperlink r:id="rId8" w:history="1">
              <w:r w:rsidRPr="00EB26CF">
                <w:rPr>
                  <w:rStyle w:val="Hyperlink"/>
                  <w:rFonts w:ascii="Times New Roman" w:hAnsi="Times New Roman" w:cs="Times New Roman"/>
                </w:rPr>
                <w:t>Commonwealth Supplier Code of Conduct</w:t>
              </w:r>
            </w:hyperlink>
            <w:r w:rsidRPr="00EB26CF">
              <w:rPr>
                <w:rFonts w:ascii="Times New Roman" w:hAnsi="Times New Roman" w:cs="Times New Roman"/>
              </w:rPr>
              <w:t xml:space="preserve"> (Code) as a key measure to strengthen supplier behaviour. The Code sets out the Government’s expectation for suppliers to uphold similar values and behaviours to those expected of public officials in the APS Values. The Code notes that the standards and values expected of public servants are not expressed in terms of public interest. </w:t>
            </w:r>
          </w:p>
          <w:p w14:paraId="24434DFF" w14:textId="77777777" w:rsidR="009C5F73" w:rsidRPr="00EB26CF" w:rsidRDefault="009C5F73" w:rsidP="00264A88">
            <w:pPr>
              <w:spacing w:before="240" w:after="240"/>
              <w:rPr>
                <w:rFonts w:ascii="Times New Roman" w:hAnsi="Times New Roman" w:cs="Times New Roman"/>
              </w:rPr>
            </w:pPr>
            <w:r w:rsidRPr="00EB26CF">
              <w:rPr>
                <w:rFonts w:ascii="Times New Roman" w:hAnsi="Times New Roman" w:cs="Times New Roman"/>
              </w:rPr>
              <w:t xml:space="preserve">The Code, which came into effect on 1 July 2024, places obligations on suppliers and their subcontractors to act ethically while under contract with the Commonwealth. In particular, </w:t>
            </w:r>
            <w:hyperlink r:id="rId9" w:history="1">
              <w:r w:rsidRPr="00EB26CF">
                <w:rPr>
                  <w:rStyle w:val="Hyperlink"/>
                  <w:rFonts w:ascii="Times New Roman" w:hAnsi="Times New Roman" w:cs="Times New Roman"/>
                </w:rPr>
                <w:t>Expectation 1.4 – Emulate the Australian Public Service (APS) Values</w:t>
              </w:r>
            </w:hyperlink>
            <w:r w:rsidRPr="00EB26CF">
              <w:rPr>
                <w:rFonts w:ascii="Times New Roman" w:hAnsi="Times New Roman" w:cs="Times New Roman"/>
              </w:rPr>
              <w:t>, states</w:t>
            </w:r>
            <w:r>
              <w:rPr>
                <w:rFonts w:ascii="Times New Roman" w:hAnsi="Times New Roman" w:cs="Times New Roman"/>
              </w:rPr>
              <w:t xml:space="preserve"> that</w:t>
            </w:r>
            <w:r w:rsidRPr="00EB26CF">
              <w:rPr>
                <w:rFonts w:ascii="Times New Roman" w:hAnsi="Times New Roman" w:cs="Times New Roman"/>
              </w:rPr>
              <w:t>: “</w:t>
            </w:r>
            <w:r w:rsidRPr="00EB26CF">
              <w:rPr>
                <w:rFonts w:ascii="Times New Roman" w:hAnsi="Times New Roman" w:cs="Times New Roman"/>
                <w:i/>
                <w:iCs/>
              </w:rPr>
              <w:t>When a supplier is undertaking work on behalf of the Commonwealth, they must uphold similar values and behaviours to those expected of public officials in the APS Values. This is always important, but particularly relevant where a supplier interacts with, or provides services to, the Australian Public</w:t>
            </w:r>
            <w:r w:rsidRPr="00EB26CF">
              <w:rPr>
                <w:rFonts w:ascii="Times New Roman" w:hAnsi="Times New Roman" w:cs="Times New Roman"/>
              </w:rPr>
              <w:t xml:space="preserve">”. </w:t>
            </w:r>
          </w:p>
          <w:p w14:paraId="4513F77E" w14:textId="77777777" w:rsidR="009C5F73" w:rsidRPr="00EB26CF" w:rsidRDefault="009C5F73" w:rsidP="00264A88">
            <w:pPr>
              <w:spacing w:before="240" w:after="240"/>
              <w:rPr>
                <w:rFonts w:ascii="Times New Roman" w:hAnsi="Times New Roman" w:cs="Times New Roman"/>
              </w:rPr>
            </w:pPr>
            <w:r w:rsidRPr="00EB26CF">
              <w:rPr>
                <w:rFonts w:ascii="Times New Roman" w:hAnsi="Times New Roman" w:cs="Times New Roman"/>
              </w:rPr>
              <w:t xml:space="preserve">The Commonwealth Contracting Suite and </w:t>
            </w:r>
            <w:proofErr w:type="spellStart"/>
            <w:r w:rsidRPr="00EB26CF">
              <w:rPr>
                <w:rFonts w:ascii="Times New Roman" w:hAnsi="Times New Roman" w:cs="Times New Roman"/>
              </w:rPr>
              <w:t>ClauseBank</w:t>
            </w:r>
            <w:proofErr w:type="spellEnd"/>
            <w:r w:rsidRPr="00EB26CF">
              <w:rPr>
                <w:rFonts w:ascii="Times New Roman" w:hAnsi="Times New Roman" w:cs="Times New Roman"/>
              </w:rPr>
              <w:t xml:space="preserve"> include standard clauses for inclusion in Commonwealth contracts, placing contractual obligations on suppliers to meet the expectations set out by the Code. Failure to adhere to the Code may result in remedial action and/or termination in accordance with contractual provisions. </w:t>
            </w:r>
            <w:hyperlink r:id="rId10" w:history="1">
              <w:r w:rsidRPr="00EB26CF">
                <w:rPr>
                  <w:rStyle w:val="Hyperlink"/>
                  <w:rFonts w:ascii="Times New Roman" w:hAnsi="Times New Roman" w:cs="Times New Roman"/>
                </w:rPr>
                <w:t>Guidance for Commonwealth entities</w:t>
              </w:r>
            </w:hyperlink>
            <w:r w:rsidRPr="00EB26CF">
              <w:rPr>
                <w:rFonts w:ascii="Times New Roman" w:hAnsi="Times New Roman" w:cs="Times New Roman"/>
              </w:rPr>
              <w:t xml:space="preserve"> is available on the Department of Finance (Finance) website to assist officials </w:t>
            </w:r>
            <w:r>
              <w:rPr>
                <w:rFonts w:ascii="Times New Roman" w:hAnsi="Times New Roman" w:cs="Times New Roman"/>
              </w:rPr>
              <w:t xml:space="preserve">in </w:t>
            </w:r>
            <w:r w:rsidRPr="00EB26CF">
              <w:rPr>
                <w:rFonts w:ascii="Times New Roman" w:hAnsi="Times New Roman" w:cs="Times New Roman"/>
              </w:rPr>
              <w:t>manag</w:t>
            </w:r>
            <w:r>
              <w:rPr>
                <w:rFonts w:ascii="Times New Roman" w:hAnsi="Times New Roman" w:cs="Times New Roman"/>
              </w:rPr>
              <w:t>ing</w:t>
            </w:r>
            <w:r w:rsidRPr="00EB26CF">
              <w:rPr>
                <w:rFonts w:ascii="Times New Roman" w:hAnsi="Times New Roman" w:cs="Times New Roman"/>
              </w:rPr>
              <w:t xml:space="preserve"> these contractual obligations. </w:t>
            </w:r>
          </w:p>
          <w:p w14:paraId="2A0A7E08" w14:textId="77777777" w:rsidR="009C5F73" w:rsidRPr="00EB26CF" w:rsidRDefault="009C5F73" w:rsidP="00264A88">
            <w:pPr>
              <w:spacing w:before="240" w:after="240"/>
              <w:rPr>
                <w:rFonts w:ascii="Times New Roman" w:hAnsi="Times New Roman" w:cs="Times New Roman"/>
              </w:rPr>
            </w:pPr>
            <w:r w:rsidRPr="00EB26CF">
              <w:rPr>
                <w:rFonts w:ascii="Times New Roman" w:hAnsi="Times New Roman" w:cs="Times New Roman"/>
              </w:rPr>
              <w:t>Additionally, the Contract Management Guide, updated in August 2025, reinforces the importance of managing the ethical conduct of suppliers</w:t>
            </w:r>
            <w:r>
              <w:rPr>
                <w:rFonts w:ascii="Times New Roman" w:hAnsi="Times New Roman" w:cs="Times New Roman"/>
              </w:rPr>
              <w:t>,</w:t>
            </w:r>
            <w:r w:rsidRPr="00EB26CF">
              <w:rPr>
                <w:rFonts w:ascii="Times New Roman" w:hAnsi="Times New Roman" w:cs="Times New Roman"/>
              </w:rPr>
              <w:t xml:space="preserve"> and ensures officials responsible for managing Commonwealth contracts are aware of the obligations of all parties under the Code. </w:t>
            </w:r>
          </w:p>
          <w:p w14:paraId="46FB8A52" w14:textId="7A5085AA" w:rsidR="009C5F73" w:rsidRPr="00264A88" w:rsidRDefault="009C5F73" w:rsidP="00264A88">
            <w:pPr>
              <w:spacing w:before="240" w:after="240"/>
              <w:rPr>
                <w:rFonts w:ascii="Times New Roman" w:hAnsi="Times New Roman" w:cs="Times New Roman"/>
              </w:rPr>
            </w:pPr>
            <w:r w:rsidRPr="00EB26CF">
              <w:rPr>
                <w:rFonts w:ascii="Times New Roman" w:hAnsi="Times New Roman" w:cs="Times New Roman"/>
              </w:rPr>
              <w:t>In relation to PricewaterhouseCoopers Australia (PwC Australia), in mid</w:t>
            </w:r>
            <w:r>
              <w:rPr>
                <w:rFonts w:ascii="Times New Roman" w:hAnsi="Times New Roman" w:cs="Times New Roman"/>
              </w:rPr>
              <w:t>-</w:t>
            </w:r>
            <w:r w:rsidRPr="00EB26CF">
              <w:rPr>
                <w:rFonts w:ascii="Times New Roman" w:hAnsi="Times New Roman" w:cs="Times New Roman"/>
              </w:rPr>
              <w:t>2025</w:t>
            </w:r>
            <w:r>
              <w:rPr>
                <w:rFonts w:ascii="Times New Roman" w:hAnsi="Times New Roman" w:cs="Times New Roman"/>
              </w:rPr>
              <w:t>,</w:t>
            </w:r>
            <w:r w:rsidRPr="00EB26CF">
              <w:rPr>
                <w:rFonts w:ascii="Times New Roman" w:hAnsi="Times New Roman" w:cs="Times New Roman"/>
              </w:rPr>
              <w:t xml:space="preserve"> Finance completed its review of the ethical soundness of PwC Australia. </w:t>
            </w:r>
            <w:hyperlink r:id="rId11" w:history="1">
              <w:r w:rsidRPr="00EB26CF">
                <w:rPr>
                  <w:rStyle w:val="Hyperlink"/>
                  <w:rFonts w:ascii="Times New Roman" w:hAnsi="Times New Roman" w:cs="Times New Roman"/>
                </w:rPr>
                <w:t>The final report</w:t>
              </w:r>
            </w:hyperlink>
            <w:r w:rsidRPr="00EB26CF">
              <w:rPr>
                <w:rFonts w:ascii="Times New Roman" w:hAnsi="Times New Roman" w:cs="Times New Roman"/>
              </w:rPr>
              <w:t xml:space="preserve"> is available on the </w:t>
            </w:r>
            <w:hyperlink r:id="rId12" w:history="1">
              <w:r w:rsidRPr="00EB26CF">
                <w:rPr>
                  <w:rStyle w:val="Hyperlink"/>
                  <w:rFonts w:ascii="Times New Roman" w:hAnsi="Times New Roman" w:cs="Times New Roman"/>
                </w:rPr>
                <w:t>Finance website</w:t>
              </w:r>
            </w:hyperlink>
            <w:r w:rsidRPr="00D23AB4">
              <w:rPr>
                <w:rFonts w:ascii="Times New Roman" w:hAnsi="Times New Roman" w:cs="Times New Roman"/>
              </w:rPr>
              <w:t>.</w:t>
            </w:r>
            <w:r w:rsidRPr="00EB26CF">
              <w:rPr>
                <w:rFonts w:ascii="Times New Roman" w:hAnsi="Times New Roman" w:cs="Times New Roman"/>
                <w:vertAlign w:val="superscript"/>
              </w:rPr>
              <w:footnoteReference w:id="1"/>
            </w:r>
            <w:r w:rsidRPr="00EB26CF">
              <w:rPr>
                <w:rFonts w:ascii="Times New Roman" w:hAnsi="Times New Roman" w:cs="Times New Roman"/>
              </w:rPr>
              <w:t xml:space="preserve"> </w:t>
            </w:r>
          </w:p>
          <w:p w14:paraId="3AF638BE" w14:textId="77777777" w:rsidR="009C5F73" w:rsidRPr="00EB26CF" w:rsidRDefault="009C5F73" w:rsidP="00264A88">
            <w:pPr>
              <w:spacing w:before="240" w:after="240"/>
              <w:rPr>
                <w:rFonts w:ascii="Times New Roman" w:hAnsi="Times New Roman" w:cs="Times New Roman"/>
                <w:i/>
                <w:iCs/>
              </w:rPr>
            </w:pPr>
            <w:r w:rsidRPr="00EB26CF">
              <w:rPr>
                <w:rFonts w:ascii="Times New Roman" w:hAnsi="Times New Roman" w:cs="Times New Roman"/>
                <w:i/>
                <w:iCs/>
              </w:rPr>
              <w:t>Encouraging SMEs</w:t>
            </w:r>
          </w:p>
          <w:p w14:paraId="12EB9968" w14:textId="77777777" w:rsidR="009C5F73" w:rsidRPr="0095222C" w:rsidRDefault="009C5F73" w:rsidP="00264A88">
            <w:pPr>
              <w:spacing w:before="240" w:after="240"/>
              <w:rPr>
                <w:rFonts w:ascii="Times New Roman" w:hAnsi="Times New Roman" w:cs="Times New Roman"/>
              </w:rPr>
            </w:pPr>
            <w:r w:rsidRPr="00EB26CF">
              <w:rPr>
                <w:rFonts w:ascii="Times New Roman" w:hAnsi="Times New Roman" w:cs="Times New Roman"/>
              </w:rPr>
              <w:t xml:space="preserve">In October 2025, the Government announced amendments to the Commonwealth Procurement Rules to require that Australian suppliers were first approached for certain procurements, including </w:t>
            </w:r>
            <w:r w:rsidRPr="00EB26CF">
              <w:rPr>
                <w:rFonts w:ascii="Times New Roman" w:hAnsi="Times New Roman" w:cs="Times New Roman"/>
              </w:rPr>
              <w:lastRenderedPageBreak/>
              <w:t xml:space="preserve">that Small and Medim Enterprises were first approached for any procurement below $125,000 from the Management Advisory Services Panel, People Panel, or any standing offer managed by the Digital Transformation Agency. </w:t>
            </w:r>
          </w:p>
        </w:tc>
      </w:tr>
    </w:tbl>
    <w:p w14:paraId="2E0D80FD" w14:textId="77777777" w:rsidR="009C5F73" w:rsidRDefault="009C5F73">
      <w:pPr>
        <w:spacing w:line="278" w:lineRule="auto"/>
        <w:rPr>
          <w:rFonts w:ascii="Times New Roman" w:hAnsi="Times New Roman" w:cs="Times New Roman"/>
          <w:b/>
          <w:bCs/>
          <w:u w:val="single"/>
        </w:rPr>
      </w:pPr>
      <w:r>
        <w:rPr>
          <w:rFonts w:ascii="Times New Roman" w:hAnsi="Times New Roman" w:cs="Times New Roman"/>
          <w:b/>
          <w:bCs/>
          <w:u w:val="single"/>
        </w:rPr>
        <w:lastRenderedPageBreak/>
        <w:br w:type="page"/>
      </w:r>
    </w:p>
    <w:p w14:paraId="01F63AAD" w14:textId="15425D99" w:rsidR="009C5F73" w:rsidRPr="00B338D3" w:rsidRDefault="009C5F73" w:rsidP="00FA4484">
      <w:pPr>
        <w:keepNext/>
        <w:spacing w:before="240" w:after="240"/>
        <w:rPr>
          <w:rFonts w:ascii="Times New Roman" w:hAnsi="Times New Roman" w:cs="Times New Roman"/>
          <w:b/>
          <w:bCs/>
          <w:u w:val="single"/>
        </w:rPr>
      </w:pPr>
      <w:r w:rsidRPr="00B338D3">
        <w:rPr>
          <w:rFonts w:ascii="Times New Roman" w:hAnsi="Times New Roman" w:cs="Times New Roman"/>
          <w:b/>
          <w:bCs/>
          <w:u w:val="single"/>
        </w:rPr>
        <w:lastRenderedPageBreak/>
        <w:t xml:space="preserve">Government </w:t>
      </w:r>
      <w:r>
        <w:rPr>
          <w:rFonts w:ascii="Times New Roman" w:hAnsi="Times New Roman" w:cs="Times New Roman"/>
          <w:b/>
          <w:bCs/>
          <w:u w:val="single"/>
        </w:rPr>
        <w:t>consultation</w:t>
      </w:r>
      <w:r w:rsidRPr="00B338D3">
        <w:rPr>
          <w:rFonts w:ascii="Times New Roman" w:hAnsi="Times New Roman" w:cs="Times New Roman"/>
          <w:b/>
          <w:bCs/>
          <w:u w:val="single"/>
        </w:rPr>
        <w:t xml:space="preserve"> on the regulation of accounting, auditing and consulting firms in Australia</w:t>
      </w:r>
    </w:p>
    <w:p w14:paraId="5E35B325" w14:textId="77777777" w:rsidR="009C5F73" w:rsidRPr="0095222C" w:rsidRDefault="009C5F73" w:rsidP="00FA4484">
      <w:pPr>
        <w:keepNext/>
        <w:spacing w:before="240" w:after="240"/>
        <w:rPr>
          <w:rFonts w:ascii="Times New Roman" w:hAnsi="Times New Roman" w:cs="Times New Roman"/>
        </w:rPr>
      </w:pPr>
      <w:r>
        <w:rPr>
          <w:rFonts w:ascii="Times New Roman" w:hAnsi="Times New Roman" w:cs="Times New Roman"/>
        </w:rPr>
        <w:t xml:space="preserve">The Government </w:t>
      </w:r>
      <w:r w:rsidRPr="00A0332B">
        <w:rPr>
          <w:rFonts w:ascii="Times New Roman" w:hAnsi="Times New Roman" w:cs="Times New Roman"/>
          <w:b/>
          <w:bCs/>
        </w:rPr>
        <w:t>notes</w:t>
      </w:r>
      <w:r>
        <w:rPr>
          <w:rFonts w:ascii="Times New Roman" w:hAnsi="Times New Roman" w:cs="Times New Roman"/>
        </w:rPr>
        <w:t xml:space="preserve"> Recommendations 2, 3, 4, 5, 6, 7, 8, 9, 10, 11, 12, 13, 14, 15, 16, 17, 18, 19, 21, 25, 26, 27, 32, 33, 35, 36, 37, 38, 39 and 40.</w:t>
      </w:r>
    </w:p>
    <w:tbl>
      <w:tblPr>
        <w:tblStyle w:val="TableGrid"/>
        <w:tblW w:w="0" w:type="auto"/>
        <w:tblLook w:val="04A0" w:firstRow="1" w:lastRow="0" w:firstColumn="1" w:lastColumn="0" w:noHBand="0" w:noVBand="1"/>
      </w:tblPr>
      <w:tblGrid>
        <w:gridCol w:w="9016"/>
      </w:tblGrid>
      <w:tr w:rsidR="009C5F73" w14:paraId="602E3951" w14:textId="77777777" w:rsidTr="004A30EA">
        <w:tc>
          <w:tcPr>
            <w:tcW w:w="9016" w:type="dxa"/>
          </w:tcPr>
          <w:p w14:paraId="4D268A67" w14:textId="77777777" w:rsidR="009C5F73" w:rsidRPr="009C5F73" w:rsidRDefault="009C5F73" w:rsidP="00264A88">
            <w:pPr>
              <w:spacing w:before="240" w:after="240"/>
              <w:rPr>
                <w:rFonts w:ascii="Times New Roman" w:hAnsi="Times New Roman" w:cs="Times New Roman"/>
                <w:b/>
                <w:bCs/>
              </w:rPr>
            </w:pPr>
            <w:r w:rsidRPr="009C5F73">
              <w:rPr>
                <w:rFonts w:ascii="Times New Roman" w:hAnsi="Times New Roman" w:cs="Times New Roman"/>
                <w:b/>
                <w:bCs/>
              </w:rPr>
              <w:t>Government Response</w:t>
            </w:r>
          </w:p>
          <w:p w14:paraId="5A987AD7" w14:textId="77777777" w:rsidR="009C5F73" w:rsidRPr="009C5F73" w:rsidRDefault="009C5F73" w:rsidP="00264A88">
            <w:pPr>
              <w:spacing w:before="240" w:after="240"/>
              <w:rPr>
                <w:rFonts w:ascii="Times New Roman" w:hAnsi="Times New Roman" w:cs="Times New Roman"/>
                <w:b/>
                <w:bCs/>
              </w:rPr>
            </w:pPr>
            <w:r w:rsidRPr="009C5F73">
              <w:rPr>
                <w:rFonts w:ascii="Times New Roman" w:hAnsi="Times New Roman" w:cs="Times New Roman"/>
              </w:rPr>
              <w:t>The Government has taken decisive action to strengthen the regulation of accounting, auditing and consulting firms in Australia. This includes legislative changes:</w:t>
            </w:r>
          </w:p>
          <w:p w14:paraId="26AD79C0" w14:textId="51D517BB" w:rsidR="009C5F73" w:rsidRDefault="009C5F73" w:rsidP="00264A88">
            <w:pPr>
              <w:numPr>
                <w:ilvl w:val="0"/>
                <w:numId w:val="8"/>
              </w:numPr>
              <w:spacing w:before="240" w:after="240"/>
              <w:rPr>
                <w:rFonts w:ascii="Times New Roman" w:hAnsi="Times New Roman" w:cs="Times New Roman"/>
              </w:rPr>
            </w:pPr>
            <w:r w:rsidRPr="009C5F73">
              <w:rPr>
                <w:rFonts w:ascii="Times New Roman" w:hAnsi="Times New Roman" w:cs="Times New Roman"/>
              </w:rPr>
              <w:t>to strengthen the powers of the Tax Practitioners</w:t>
            </w:r>
            <w:r>
              <w:rPr>
                <w:rFonts w:ascii="Times New Roman" w:hAnsi="Times New Roman" w:cs="Times New Roman"/>
              </w:rPr>
              <w:t xml:space="preserve"> </w:t>
            </w:r>
            <w:r w:rsidRPr="00F968AC">
              <w:rPr>
                <w:rFonts w:ascii="Times New Roman" w:hAnsi="Times New Roman" w:cs="Times New Roman"/>
              </w:rPr>
              <w:t>B</w:t>
            </w:r>
            <w:r>
              <w:rPr>
                <w:rFonts w:ascii="Times New Roman" w:hAnsi="Times New Roman" w:cs="Times New Roman"/>
              </w:rPr>
              <w:t>oard (TPB)</w:t>
            </w:r>
            <w:r w:rsidRPr="00F968AC">
              <w:rPr>
                <w:rFonts w:ascii="Times New Roman" w:hAnsi="Times New Roman" w:cs="Times New Roman"/>
              </w:rPr>
              <w:t xml:space="preserve"> to improve regulation and transparency within the tax profession</w:t>
            </w:r>
            <w:r>
              <w:rPr>
                <w:rFonts w:ascii="Times New Roman" w:hAnsi="Times New Roman" w:cs="Times New Roman"/>
              </w:rPr>
              <w:t xml:space="preserve"> in</w:t>
            </w:r>
            <w:r w:rsidR="00B530B0">
              <w:rPr>
                <w:rFonts w:ascii="Times New Roman" w:hAnsi="Times New Roman" w:cs="Times New Roman"/>
              </w:rPr>
              <w:t xml:space="preserve"> the</w:t>
            </w:r>
            <w:r>
              <w:rPr>
                <w:rFonts w:ascii="Times New Roman" w:hAnsi="Times New Roman" w:cs="Times New Roman"/>
              </w:rPr>
              <w:t xml:space="preserve"> </w:t>
            </w:r>
            <w:r w:rsidRPr="009D5A01">
              <w:rPr>
                <w:rFonts w:ascii="Times New Roman" w:hAnsi="Times New Roman" w:cs="Times New Roman"/>
                <w:i/>
                <w:iCs/>
              </w:rPr>
              <w:t>Treasury Laws Amendment (2023 Measures No. 1) Act 2023 (</w:t>
            </w:r>
            <w:proofErr w:type="spellStart"/>
            <w:r w:rsidRPr="009D5A01">
              <w:rPr>
                <w:rFonts w:ascii="Times New Roman" w:hAnsi="Times New Roman" w:cs="Times New Roman"/>
                <w:i/>
                <w:iCs/>
              </w:rPr>
              <w:t>Cth</w:t>
            </w:r>
            <w:proofErr w:type="spellEnd"/>
            <w:r w:rsidRPr="009D5A01">
              <w:rPr>
                <w:rFonts w:ascii="Times New Roman" w:hAnsi="Times New Roman" w:cs="Times New Roman"/>
                <w:i/>
                <w:iCs/>
              </w:rPr>
              <w:t>)</w:t>
            </w:r>
            <w:r w:rsidRPr="00F968AC">
              <w:rPr>
                <w:rFonts w:ascii="Times New Roman" w:hAnsi="Times New Roman" w:cs="Times New Roman"/>
              </w:rPr>
              <w:t> </w:t>
            </w:r>
          </w:p>
          <w:p w14:paraId="682486F3" w14:textId="5E7898C1" w:rsidR="009C5F73" w:rsidRPr="0082315E" w:rsidRDefault="009C5F73" w:rsidP="00264A88">
            <w:pPr>
              <w:numPr>
                <w:ilvl w:val="0"/>
                <w:numId w:val="8"/>
              </w:numPr>
              <w:spacing w:before="240" w:after="240"/>
              <w:rPr>
                <w:rFonts w:ascii="Times New Roman" w:hAnsi="Times New Roman" w:cs="Times New Roman"/>
              </w:rPr>
            </w:pPr>
            <w:r>
              <w:rPr>
                <w:rFonts w:ascii="Times New Roman" w:hAnsi="Times New Roman" w:cs="Times New Roman"/>
              </w:rPr>
              <w:t>to e</w:t>
            </w:r>
            <w:r w:rsidRPr="0082315E">
              <w:rPr>
                <w:rFonts w:ascii="Times New Roman" w:hAnsi="Times New Roman" w:cs="Times New Roman"/>
              </w:rPr>
              <w:t xml:space="preserve">nhance obligations for tax practitioners </w:t>
            </w:r>
            <w:r>
              <w:rPr>
                <w:rFonts w:ascii="Times New Roman" w:hAnsi="Times New Roman" w:cs="Times New Roman"/>
              </w:rPr>
              <w:t>through the</w:t>
            </w:r>
            <w:r w:rsidRPr="0082315E">
              <w:rPr>
                <w:rFonts w:ascii="Times New Roman" w:hAnsi="Times New Roman" w:cs="Times New Roman"/>
              </w:rPr>
              <w:t xml:space="preserve"> </w:t>
            </w:r>
            <w:r w:rsidRPr="00A21372">
              <w:rPr>
                <w:rFonts w:ascii="Times New Roman" w:hAnsi="Times New Roman" w:cs="Times New Roman"/>
              </w:rPr>
              <w:t>Tax Agent Services (Code of Professional Conduct) Determination 2024</w:t>
            </w:r>
          </w:p>
          <w:p w14:paraId="5C5A0E10" w14:textId="77777777" w:rsidR="009C5F73" w:rsidRPr="00A21372" w:rsidRDefault="009C5F73" w:rsidP="00264A88">
            <w:pPr>
              <w:numPr>
                <w:ilvl w:val="0"/>
                <w:numId w:val="8"/>
              </w:numPr>
              <w:spacing w:before="240" w:after="240"/>
              <w:rPr>
                <w:rFonts w:ascii="Times New Roman" w:hAnsi="Times New Roman" w:cs="Times New Roman"/>
              </w:rPr>
            </w:pPr>
            <w:r>
              <w:rPr>
                <w:rFonts w:ascii="Times New Roman" w:hAnsi="Times New Roman" w:cs="Times New Roman"/>
              </w:rPr>
              <w:t xml:space="preserve">through the </w:t>
            </w:r>
            <w:r w:rsidRPr="009D5A01">
              <w:rPr>
                <w:rFonts w:ascii="Times New Roman" w:hAnsi="Times New Roman" w:cs="Times New Roman"/>
                <w:i/>
                <w:iCs/>
              </w:rPr>
              <w:t>Treasury Laws Amendment (Tax Accountability and Fairness) Act 2024 (</w:t>
            </w:r>
            <w:proofErr w:type="spellStart"/>
            <w:r w:rsidRPr="009D5A01">
              <w:rPr>
                <w:rFonts w:ascii="Times New Roman" w:hAnsi="Times New Roman" w:cs="Times New Roman"/>
                <w:i/>
                <w:iCs/>
              </w:rPr>
              <w:t>Cth</w:t>
            </w:r>
            <w:proofErr w:type="spellEnd"/>
            <w:r w:rsidRPr="009D5A01">
              <w:rPr>
                <w:rFonts w:ascii="Times New Roman" w:hAnsi="Times New Roman" w:cs="Times New Roman"/>
                <w:i/>
                <w:iCs/>
              </w:rPr>
              <w:t>)</w:t>
            </w:r>
            <w:r>
              <w:rPr>
                <w:rFonts w:ascii="Times New Roman" w:hAnsi="Times New Roman" w:cs="Times New Roman"/>
                <w:i/>
                <w:iCs/>
              </w:rPr>
              <w:t xml:space="preserve"> </w:t>
            </w:r>
            <w:r w:rsidRPr="00A21372">
              <w:rPr>
                <w:rFonts w:ascii="Times New Roman" w:hAnsi="Times New Roman" w:cs="Times New Roman"/>
              </w:rPr>
              <w:t>to</w:t>
            </w:r>
            <w:r>
              <w:rPr>
                <w:rFonts w:ascii="Times New Roman" w:hAnsi="Times New Roman" w:cs="Times New Roman"/>
                <w:i/>
                <w:iCs/>
              </w:rPr>
              <w:t>:</w:t>
            </w:r>
          </w:p>
          <w:p w14:paraId="05DA6A56" w14:textId="03AD434B" w:rsidR="009C5F73" w:rsidRPr="00A21372" w:rsidRDefault="009C5F73" w:rsidP="00264A88">
            <w:pPr>
              <w:numPr>
                <w:ilvl w:val="1"/>
                <w:numId w:val="8"/>
              </w:numPr>
              <w:spacing w:before="240" w:after="240"/>
              <w:rPr>
                <w:rFonts w:ascii="Times New Roman" w:hAnsi="Times New Roman" w:cs="Times New Roman"/>
              </w:rPr>
            </w:pPr>
            <w:r>
              <w:rPr>
                <w:rFonts w:ascii="Times New Roman" w:hAnsi="Times New Roman" w:cs="Times New Roman"/>
              </w:rPr>
              <w:t>a</w:t>
            </w:r>
            <w:r w:rsidRPr="00F968AC">
              <w:rPr>
                <w:rFonts w:ascii="Times New Roman" w:hAnsi="Times New Roman" w:cs="Times New Roman"/>
              </w:rPr>
              <w:t xml:space="preserve">mend the promoter penalty laws to strengthen the </w:t>
            </w:r>
            <w:r w:rsidR="002773D5" w:rsidRPr="002773D5">
              <w:rPr>
                <w:rFonts w:ascii="Times New Roman" w:hAnsi="Times New Roman" w:cs="Times New Roman"/>
              </w:rPr>
              <w:t>Australian Taxation Office</w:t>
            </w:r>
            <w:r w:rsidR="002773D5">
              <w:rPr>
                <w:rFonts w:ascii="Times New Roman" w:hAnsi="Times New Roman" w:cs="Times New Roman"/>
              </w:rPr>
              <w:t>’s</w:t>
            </w:r>
            <w:r w:rsidR="002773D5" w:rsidRPr="002773D5">
              <w:rPr>
                <w:rFonts w:ascii="Times New Roman" w:hAnsi="Times New Roman" w:cs="Times New Roman"/>
              </w:rPr>
              <w:t xml:space="preserve"> </w:t>
            </w:r>
            <w:r w:rsidR="002773D5">
              <w:rPr>
                <w:rFonts w:ascii="Times New Roman" w:hAnsi="Times New Roman" w:cs="Times New Roman"/>
              </w:rPr>
              <w:t>(</w:t>
            </w:r>
            <w:r w:rsidRPr="00F968AC">
              <w:rPr>
                <w:rFonts w:ascii="Times New Roman" w:hAnsi="Times New Roman" w:cs="Times New Roman"/>
              </w:rPr>
              <w:t>ATO</w:t>
            </w:r>
            <w:r w:rsidR="002773D5">
              <w:rPr>
                <w:rFonts w:ascii="Times New Roman" w:hAnsi="Times New Roman" w:cs="Times New Roman"/>
              </w:rPr>
              <w:t>)</w:t>
            </w:r>
            <w:r w:rsidRPr="00F968AC">
              <w:rPr>
                <w:rFonts w:ascii="Times New Roman" w:hAnsi="Times New Roman" w:cs="Times New Roman"/>
              </w:rPr>
              <w:t xml:space="preserve"> enforcement powers</w:t>
            </w:r>
            <w:r>
              <w:rPr>
                <w:rFonts w:ascii="Times New Roman" w:hAnsi="Times New Roman" w:cs="Times New Roman"/>
              </w:rPr>
              <w:t xml:space="preserve"> and</w:t>
            </w:r>
            <w:r w:rsidRPr="0082315E">
              <w:rPr>
                <w:rFonts w:ascii="Times New Roman" w:hAnsi="Times New Roman" w:cs="Times New Roman"/>
              </w:rPr>
              <w:t xml:space="preserve"> provide </w:t>
            </w:r>
            <w:r w:rsidR="0006512F">
              <w:rPr>
                <w:rFonts w:ascii="Times New Roman" w:hAnsi="Times New Roman" w:cs="Times New Roman"/>
              </w:rPr>
              <w:t xml:space="preserve">a </w:t>
            </w:r>
            <w:r w:rsidRPr="0082315E">
              <w:rPr>
                <w:rFonts w:ascii="Times New Roman" w:hAnsi="Times New Roman" w:cs="Times New Roman"/>
              </w:rPr>
              <w:t>broader range of tools to regulators to identify and discipline those who break the law</w:t>
            </w:r>
          </w:p>
          <w:p w14:paraId="272E15A6" w14:textId="1538DA72" w:rsidR="009C5F73" w:rsidRPr="00A21372" w:rsidRDefault="009C5F73" w:rsidP="00264A88">
            <w:pPr>
              <w:numPr>
                <w:ilvl w:val="1"/>
                <w:numId w:val="8"/>
              </w:numPr>
              <w:spacing w:before="240" w:after="240"/>
              <w:rPr>
                <w:rFonts w:ascii="Times New Roman" w:hAnsi="Times New Roman" w:cs="Times New Roman"/>
              </w:rPr>
            </w:pPr>
            <w:r>
              <w:rPr>
                <w:rFonts w:ascii="Times New Roman" w:hAnsi="Times New Roman" w:cs="Times New Roman"/>
              </w:rPr>
              <w:t>e</w:t>
            </w:r>
            <w:r w:rsidRPr="00A21372">
              <w:rPr>
                <w:rFonts w:ascii="Times New Roman" w:hAnsi="Times New Roman" w:cs="Times New Roman"/>
              </w:rPr>
              <w:t>xtend whistleblower protections to eligible whistleblowers who make disclosures to the TPB or the ATO</w:t>
            </w:r>
            <w:r w:rsidR="005B7C9E">
              <w:rPr>
                <w:rFonts w:ascii="Times New Roman" w:hAnsi="Times New Roman" w:cs="Times New Roman"/>
              </w:rPr>
              <w:t>,</w:t>
            </w:r>
            <w:r w:rsidRPr="00A21372">
              <w:rPr>
                <w:rFonts w:ascii="Times New Roman" w:hAnsi="Times New Roman" w:cs="Times New Roman"/>
              </w:rPr>
              <w:t xml:space="preserve"> where the whistleblower considers that the information may assist the TPB in performing its functions or duties.   </w:t>
            </w:r>
          </w:p>
          <w:p w14:paraId="2E0141D2" w14:textId="41210993" w:rsidR="009C5F73" w:rsidRDefault="009C5F73" w:rsidP="00264A88">
            <w:pPr>
              <w:spacing w:before="240" w:after="240"/>
              <w:rPr>
                <w:rFonts w:ascii="Times New Roman" w:hAnsi="Times New Roman" w:cs="Times New Roman"/>
              </w:rPr>
            </w:pPr>
            <w:r>
              <w:rPr>
                <w:rFonts w:ascii="Times New Roman" w:hAnsi="Times New Roman" w:cs="Times New Roman"/>
              </w:rPr>
              <w:t xml:space="preserve">The </w:t>
            </w:r>
            <w:r w:rsidRPr="00F968AC">
              <w:rPr>
                <w:rFonts w:ascii="Times New Roman" w:hAnsi="Times New Roman" w:cs="Times New Roman"/>
                <w:i/>
                <w:iCs/>
              </w:rPr>
              <w:t>Treasury Laws Amendment (Tax Accountability and Fairness) Act 2024 (</w:t>
            </w:r>
            <w:proofErr w:type="spellStart"/>
            <w:r w:rsidRPr="00F968AC">
              <w:rPr>
                <w:rFonts w:ascii="Times New Roman" w:hAnsi="Times New Roman" w:cs="Times New Roman"/>
                <w:i/>
                <w:iCs/>
              </w:rPr>
              <w:t>Cth</w:t>
            </w:r>
            <w:proofErr w:type="spellEnd"/>
            <w:r>
              <w:rPr>
                <w:rFonts w:ascii="Times New Roman" w:hAnsi="Times New Roman" w:cs="Times New Roman"/>
                <w:i/>
                <w:iCs/>
              </w:rPr>
              <w:t>)</w:t>
            </w:r>
            <w:r w:rsidRPr="005B7C9E">
              <w:rPr>
                <w:rFonts w:ascii="Times New Roman" w:hAnsi="Times New Roman" w:cs="Times New Roman"/>
              </w:rPr>
              <w:t xml:space="preserve"> </w:t>
            </w:r>
            <w:r>
              <w:rPr>
                <w:rFonts w:ascii="Times New Roman" w:hAnsi="Times New Roman" w:cs="Times New Roman"/>
              </w:rPr>
              <w:t>broadened the</w:t>
            </w:r>
            <w:r>
              <w:rPr>
                <w:rFonts w:ascii="Times New Roman" w:hAnsi="Times New Roman" w:cs="Times New Roman"/>
                <w:i/>
                <w:iCs/>
              </w:rPr>
              <w:t xml:space="preserve"> </w:t>
            </w:r>
            <w:r>
              <w:rPr>
                <w:rFonts w:ascii="Times New Roman" w:hAnsi="Times New Roman" w:cs="Times New Roman"/>
              </w:rPr>
              <w:t>ATO’s enforcement powers by:</w:t>
            </w:r>
          </w:p>
          <w:p w14:paraId="0146D7D4" w14:textId="2701AAC9" w:rsidR="009C5F73" w:rsidRPr="00F968AC" w:rsidRDefault="009C5F73" w:rsidP="00264A88">
            <w:pPr>
              <w:numPr>
                <w:ilvl w:val="0"/>
                <w:numId w:val="8"/>
              </w:numPr>
              <w:spacing w:before="240" w:after="240"/>
              <w:rPr>
                <w:rFonts w:ascii="Times New Roman" w:hAnsi="Times New Roman" w:cs="Times New Roman"/>
              </w:rPr>
            </w:pPr>
            <w:r>
              <w:rPr>
                <w:rFonts w:ascii="Times New Roman" w:hAnsi="Times New Roman" w:cs="Times New Roman"/>
              </w:rPr>
              <w:t>i</w:t>
            </w:r>
            <w:r w:rsidRPr="00F968AC">
              <w:rPr>
                <w:rFonts w:ascii="Times New Roman" w:hAnsi="Times New Roman" w:cs="Times New Roman"/>
              </w:rPr>
              <w:t>ncreas</w:t>
            </w:r>
            <w:r>
              <w:rPr>
                <w:rFonts w:ascii="Times New Roman" w:hAnsi="Times New Roman" w:cs="Times New Roman"/>
              </w:rPr>
              <w:t>ing</w:t>
            </w:r>
            <w:r w:rsidRPr="00F968AC">
              <w:rPr>
                <w:rFonts w:ascii="Times New Roman" w:hAnsi="Times New Roman" w:cs="Times New Roman"/>
              </w:rPr>
              <w:t xml:space="preserve"> the time the ATO </w:t>
            </w:r>
            <w:proofErr w:type="gramStart"/>
            <w:r w:rsidR="00835DCB">
              <w:rPr>
                <w:rFonts w:ascii="Times New Roman" w:hAnsi="Times New Roman" w:cs="Times New Roman"/>
              </w:rPr>
              <w:t>has to</w:t>
            </w:r>
            <w:proofErr w:type="gramEnd"/>
            <w:r w:rsidR="00835DCB" w:rsidRPr="00F968AC">
              <w:rPr>
                <w:rFonts w:ascii="Times New Roman" w:hAnsi="Times New Roman" w:cs="Times New Roman"/>
              </w:rPr>
              <w:t xml:space="preserve"> </w:t>
            </w:r>
            <w:r w:rsidRPr="00F968AC">
              <w:rPr>
                <w:rFonts w:ascii="Times New Roman" w:hAnsi="Times New Roman" w:cs="Times New Roman"/>
              </w:rPr>
              <w:t>bring an application for civil penalty proceedings (to 6</w:t>
            </w:r>
            <w:r w:rsidR="00264A88">
              <w:rPr>
                <w:rFonts w:ascii="Times New Roman" w:hAnsi="Times New Roman" w:cs="Times New Roman"/>
              </w:rPr>
              <w:t> </w:t>
            </w:r>
            <w:r w:rsidRPr="00F968AC">
              <w:rPr>
                <w:rFonts w:ascii="Times New Roman" w:hAnsi="Times New Roman" w:cs="Times New Roman"/>
              </w:rPr>
              <w:t>years)</w:t>
            </w:r>
          </w:p>
          <w:p w14:paraId="15D29EE2" w14:textId="13A855FB" w:rsidR="009C5F73" w:rsidRPr="00F968AC" w:rsidRDefault="009C5F73" w:rsidP="00264A88">
            <w:pPr>
              <w:numPr>
                <w:ilvl w:val="0"/>
                <w:numId w:val="8"/>
              </w:numPr>
              <w:spacing w:before="240" w:after="240"/>
              <w:rPr>
                <w:rFonts w:ascii="Times New Roman" w:hAnsi="Times New Roman" w:cs="Times New Roman"/>
              </w:rPr>
            </w:pPr>
            <w:r>
              <w:rPr>
                <w:rFonts w:ascii="Times New Roman" w:hAnsi="Times New Roman" w:cs="Times New Roman"/>
              </w:rPr>
              <w:t>r</w:t>
            </w:r>
            <w:r w:rsidRPr="00F968AC">
              <w:rPr>
                <w:rFonts w:ascii="Times New Roman" w:hAnsi="Times New Roman" w:cs="Times New Roman"/>
              </w:rPr>
              <w:t>ais</w:t>
            </w:r>
            <w:r>
              <w:rPr>
                <w:rFonts w:ascii="Times New Roman" w:hAnsi="Times New Roman" w:cs="Times New Roman"/>
              </w:rPr>
              <w:t>ing</w:t>
            </w:r>
            <w:r w:rsidRPr="00F968AC">
              <w:rPr>
                <w:rFonts w:ascii="Times New Roman" w:hAnsi="Times New Roman" w:cs="Times New Roman"/>
              </w:rPr>
              <w:t xml:space="preserve"> the maximum penalty applicable for firms which promote tax exploitation schemes from $7.8 million to over $780 million</w:t>
            </w:r>
          </w:p>
          <w:p w14:paraId="4C2606CA" w14:textId="77777777" w:rsidR="009C5F73" w:rsidRDefault="009C5F73" w:rsidP="00264A88">
            <w:pPr>
              <w:numPr>
                <w:ilvl w:val="0"/>
                <w:numId w:val="8"/>
              </w:numPr>
              <w:spacing w:before="240" w:after="240"/>
              <w:rPr>
                <w:rFonts w:ascii="Times New Roman" w:hAnsi="Times New Roman" w:cs="Times New Roman"/>
              </w:rPr>
            </w:pPr>
            <w:r>
              <w:rPr>
                <w:rFonts w:ascii="Times New Roman" w:hAnsi="Times New Roman" w:cs="Times New Roman"/>
              </w:rPr>
              <w:t>b</w:t>
            </w:r>
            <w:r w:rsidRPr="00F968AC">
              <w:rPr>
                <w:rFonts w:ascii="Times New Roman" w:hAnsi="Times New Roman" w:cs="Times New Roman"/>
              </w:rPr>
              <w:t>roaden</w:t>
            </w:r>
            <w:r>
              <w:rPr>
                <w:rFonts w:ascii="Times New Roman" w:hAnsi="Times New Roman" w:cs="Times New Roman"/>
              </w:rPr>
              <w:t>ing</w:t>
            </w:r>
            <w:r w:rsidRPr="00F968AC">
              <w:rPr>
                <w:rFonts w:ascii="Times New Roman" w:hAnsi="Times New Roman" w:cs="Times New Roman"/>
              </w:rPr>
              <w:t xml:space="preserve"> the scope of key definitions in the law to extend the scope of the promoter penalty laws to all ATO rulings, ensuring that the laws prohibit the promotion of a scheme </w:t>
            </w:r>
            <w:proofErr w:type="gramStart"/>
            <w:r w:rsidRPr="00F968AC">
              <w:rPr>
                <w:rFonts w:ascii="Times New Roman" w:hAnsi="Times New Roman" w:cs="Times New Roman"/>
              </w:rPr>
              <w:t>on the basis of</w:t>
            </w:r>
            <w:proofErr w:type="gramEnd"/>
            <w:r w:rsidRPr="00F968AC">
              <w:rPr>
                <w:rFonts w:ascii="Times New Roman" w:hAnsi="Times New Roman" w:cs="Times New Roman"/>
              </w:rPr>
              <w:t xml:space="preserve"> a false assertion that it has ATO endorsement.  </w:t>
            </w:r>
          </w:p>
          <w:p w14:paraId="69DF4BAF" w14:textId="2E2B8F2B" w:rsidR="009C5F73" w:rsidRPr="009C5F73" w:rsidRDefault="009C5F73" w:rsidP="00264A88">
            <w:pPr>
              <w:spacing w:before="240" w:after="240"/>
              <w:rPr>
                <w:rFonts w:ascii="Times New Roman" w:hAnsi="Times New Roman" w:cs="Times New Roman"/>
              </w:rPr>
            </w:pPr>
            <w:r w:rsidRPr="0082315E">
              <w:rPr>
                <w:rFonts w:ascii="Times New Roman" w:hAnsi="Times New Roman" w:cs="Times New Roman"/>
              </w:rPr>
              <w:t>Treasury coordinat</w:t>
            </w:r>
            <w:r>
              <w:rPr>
                <w:rFonts w:ascii="Times New Roman" w:hAnsi="Times New Roman" w:cs="Times New Roman"/>
              </w:rPr>
              <w:t>ed</w:t>
            </w:r>
            <w:r w:rsidRPr="0082315E">
              <w:rPr>
                <w:rFonts w:ascii="Times New Roman" w:hAnsi="Times New Roman" w:cs="Times New Roman"/>
              </w:rPr>
              <w:t xml:space="preserve"> a whole-of-</w:t>
            </w:r>
            <w:r w:rsidR="00B548B0">
              <w:rPr>
                <w:rFonts w:ascii="Times New Roman" w:hAnsi="Times New Roman" w:cs="Times New Roman"/>
              </w:rPr>
              <w:t>g</w:t>
            </w:r>
            <w:r w:rsidRPr="0082315E">
              <w:rPr>
                <w:rFonts w:ascii="Times New Roman" w:hAnsi="Times New Roman" w:cs="Times New Roman"/>
              </w:rPr>
              <w:t xml:space="preserve">overnment response to systemic issues in the regulatory and tax </w:t>
            </w:r>
            <w:r w:rsidRPr="009C5F73">
              <w:rPr>
                <w:rFonts w:ascii="Times New Roman" w:hAnsi="Times New Roman" w:cs="Times New Roman"/>
              </w:rPr>
              <w:t>environment. This work considered options to strengthen regulatory frameworks, improve transparency and accountability, as well as incentivise good behaviour and deal with misconduct. To date, the Government has consulted on:</w:t>
            </w:r>
          </w:p>
          <w:p w14:paraId="36676812" w14:textId="3BF7442B" w:rsidR="009C5F73" w:rsidRPr="009C5F73" w:rsidRDefault="009C5F73" w:rsidP="00264A88">
            <w:pPr>
              <w:numPr>
                <w:ilvl w:val="0"/>
                <w:numId w:val="8"/>
              </w:numPr>
              <w:spacing w:before="240" w:after="240"/>
              <w:rPr>
                <w:rFonts w:ascii="Times New Roman" w:hAnsi="Times New Roman" w:cs="Times New Roman"/>
              </w:rPr>
            </w:pPr>
            <w:r w:rsidRPr="009C5F73">
              <w:rPr>
                <w:rFonts w:ascii="Times New Roman" w:hAnsi="Times New Roman" w:cs="Times New Roman"/>
              </w:rPr>
              <w:t>a review of the sanctions regime that the TPB administers, released on 10 December 2023</w:t>
            </w:r>
          </w:p>
          <w:p w14:paraId="381038CE" w14:textId="4307DC91" w:rsidR="009C5F73" w:rsidRPr="009C5F73" w:rsidRDefault="009C5F73" w:rsidP="00264A88">
            <w:pPr>
              <w:numPr>
                <w:ilvl w:val="0"/>
                <w:numId w:val="8"/>
              </w:numPr>
              <w:spacing w:before="240" w:after="240"/>
              <w:rPr>
                <w:rFonts w:ascii="Times New Roman" w:hAnsi="Times New Roman" w:cs="Times New Roman"/>
              </w:rPr>
            </w:pPr>
            <w:r w:rsidRPr="009C5F73">
              <w:rPr>
                <w:rFonts w:ascii="Times New Roman" w:hAnsi="Times New Roman" w:cs="Times New Roman"/>
              </w:rPr>
              <w:lastRenderedPageBreak/>
              <w:t xml:space="preserve">a review of the ATO and </w:t>
            </w:r>
            <w:r w:rsidR="00B548B0">
              <w:rPr>
                <w:rFonts w:ascii="Times New Roman" w:hAnsi="Times New Roman" w:cs="Times New Roman"/>
              </w:rPr>
              <w:t xml:space="preserve">the </w:t>
            </w:r>
            <w:r w:rsidRPr="009C5F73">
              <w:rPr>
                <w:rFonts w:ascii="Times New Roman" w:hAnsi="Times New Roman" w:cs="Times New Roman"/>
              </w:rPr>
              <w:t>TPB’s respective investigation and information gathering powers, released on 3 May 2024</w:t>
            </w:r>
          </w:p>
          <w:p w14:paraId="61600E80" w14:textId="2C54B6BF" w:rsidR="009C5F73" w:rsidRPr="009C5F73" w:rsidRDefault="009C5F73" w:rsidP="00264A88">
            <w:pPr>
              <w:numPr>
                <w:ilvl w:val="0"/>
                <w:numId w:val="8"/>
              </w:numPr>
              <w:spacing w:before="240" w:after="240"/>
              <w:rPr>
                <w:rFonts w:ascii="Times New Roman" w:hAnsi="Times New Roman" w:cs="Times New Roman"/>
              </w:rPr>
            </w:pPr>
            <w:r w:rsidRPr="009C5F73">
              <w:rPr>
                <w:rFonts w:ascii="Times New Roman" w:hAnsi="Times New Roman" w:cs="Times New Roman"/>
              </w:rPr>
              <w:t>a review of the tax practitioner registration requirements, released on 17 July 2024</w:t>
            </w:r>
          </w:p>
          <w:p w14:paraId="3D193245" w14:textId="48F38C23" w:rsidR="009C5F73" w:rsidRPr="009C5F73" w:rsidRDefault="009C5F73" w:rsidP="00264A88">
            <w:pPr>
              <w:numPr>
                <w:ilvl w:val="0"/>
                <w:numId w:val="8"/>
              </w:numPr>
              <w:spacing w:before="240" w:after="240"/>
              <w:rPr>
                <w:rFonts w:ascii="Times New Roman" w:hAnsi="Times New Roman" w:cs="Times New Roman"/>
              </w:rPr>
            </w:pPr>
            <w:r w:rsidRPr="009C5F73">
              <w:rPr>
                <w:rFonts w:ascii="Times New Roman" w:hAnsi="Times New Roman" w:cs="Times New Roman"/>
              </w:rPr>
              <w:t>a review of the penalty regime that applies to promoters of tax exploitation schemes, released on 4 October 2024</w:t>
            </w:r>
          </w:p>
          <w:p w14:paraId="0AAA5EE1" w14:textId="4253F0E2" w:rsidR="009C5F73" w:rsidRPr="009C5F73" w:rsidRDefault="009C5F73" w:rsidP="00264A88">
            <w:pPr>
              <w:numPr>
                <w:ilvl w:val="0"/>
                <w:numId w:val="8"/>
              </w:numPr>
              <w:spacing w:before="240" w:after="240"/>
              <w:rPr>
                <w:rFonts w:ascii="Times New Roman" w:hAnsi="Times New Roman" w:cs="Times New Roman"/>
              </w:rPr>
            </w:pPr>
            <w:r w:rsidRPr="009C5F73">
              <w:rPr>
                <w:rFonts w:ascii="Times New Roman" w:hAnsi="Times New Roman" w:cs="Times New Roman"/>
              </w:rPr>
              <w:t>a review of the secrecy provisions that restrict information sharing by government tax regulators, released on 20 December 2024</w:t>
            </w:r>
          </w:p>
          <w:p w14:paraId="4506A119" w14:textId="294CE399" w:rsidR="009C5F73" w:rsidRPr="009C5F73" w:rsidRDefault="009C5F73" w:rsidP="00264A88">
            <w:pPr>
              <w:numPr>
                <w:ilvl w:val="0"/>
                <w:numId w:val="8"/>
              </w:numPr>
              <w:spacing w:before="240" w:after="240"/>
              <w:rPr>
                <w:rFonts w:ascii="Times New Roman" w:hAnsi="Times New Roman" w:cs="Times New Roman"/>
              </w:rPr>
            </w:pPr>
            <w:r w:rsidRPr="009C5F73">
              <w:rPr>
                <w:rFonts w:ascii="Times New Roman" w:hAnsi="Times New Roman" w:cs="Times New Roman"/>
              </w:rPr>
              <w:t>a joint review with the Attorney-General’s Department of the use of legal professional privilege in Commonwealth investigations, released on 23 December 2024</w:t>
            </w:r>
          </w:p>
          <w:p w14:paraId="2A5F213D" w14:textId="77777777" w:rsidR="009C5F73" w:rsidRPr="009C5F73" w:rsidRDefault="009C5F73" w:rsidP="00264A88">
            <w:pPr>
              <w:numPr>
                <w:ilvl w:val="0"/>
                <w:numId w:val="8"/>
              </w:numPr>
              <w:spacing w:before="240" w:after="240"/>
              <w:rPr>
                <w:rFonts w:ascii="Times New Roman" w:hAnsi="Times New Roman" w:cs="Times New Roman"/>
              </w:rPr>
            </w:pPr>
            <w:r w:rsidRPr="009C5F73">
              <w:rPr>
                <w:rFonts w:ascii="Times New Roman" w:hAnsi="Times New Roman" w:cs="Times New Roman"/>
              </w:rPr>
              <w:t>the regulation of accounting, auditing and consulting firms in Australia in May 2024, which considered the issues outlined in these recommendations, including:</w:t>
            </w:r>
          </w:p>
          <w:p w14:paraId="1E8ADCE1" w14:textId="77777777" w:rsidR="009C5F73" w:rsidRPr="009C5F73" w:rsidRDefault="009C5F73" w:rsidP="00264A88">
            <w:pPr>
              <w:numPr>
                <w:ilvl w:val="1"/>
                <w:numId w:val="8"/>
              </w:numPr>
              <w:spacing w:before="240" w:after="240"/>
              <w:rPr>
                <w:rFonts w:ascii="Times New Roman" w:hAnsi="Times New Roman" w:cs="Times New Roman"/>
              </w:rPr>
            </w:pPr>
            <w:r w:rsidRPr="009C5F73">
              <w:rPr>
                <w:rFonts w:ascii="Times New Roman" w:hAnsi="Times New Roman" w:cs="Times New Roman"/>
              </w:rPr>
              <w:t>the governance and regulation of partnerships, and audit and multidisciplinary firms</w:t>
            </w:r>
          </w:p>
          <w:p w14:paraId="504874A9" w14:textId="77777777" w:rsidR="009C5F73" w:rsidRPr="009C5F73" w:rsidRDefault="009C5F73" w:rsidP="00264A88">
            <w:pPr>
              <w:numPr>
                <w:ilvl w:val="1"/>
                <w:numId w:val="8"/>
              </w:numPr>
              <w:spacing w:before="240" w:after="240"/>
              <w:rPr>
                <w:rFonts w:ascii="Times New Roman" w:hAnsi="Times New Roman" w:cs="Times New Roman"/>
              </w:rPr>
            </w:pPr>
            <w:r w:rsidRPr="009C5F73">
              <w:rPr>
                <w:rFonts w:ascii="Times New Roman" w:hAnsi="Times New Roman" w:cs="Times New Roman"/>
              </w:rPr>
              <w:t>the provision of non-audit services and potential conflicts of interest</w:t>
            </w:r>
          </w:p>
          <w:p w14:paraId="06B057D5" w14:textId="77777777" w:rsidR="009C5F73" w:rsidRPr="009C5F73" w:rsidRDefault="009C5F73" w:rsidP="00264A88">
            <w:pPr>
              <w:numPr>
                <w:ilvl w:val="1"/>
                <w:numId w:val="8"/>
              </w:numPr>
              <w:spacing w:before="240" w:after="240"/>
              <w:rPr>
                <w:rFonts w:ascii="Times New Roman" w:hAnsi="Times New Roman" w:cs="Times New Roman"/>
              </w:rPr>
            </w:pPr>
            <w:r w:rsidRPr="009C5F73">
              <w:rPr>
                <w:rFonts w:ascii="Times New Roman" w:hAnsi="Times New Roman" w:cs="Times New Roman"/>
              </w:rPr>
              <w:t>the role and enforcement powers of key regulators</w:t>
            </w:r>
          </w:p>
          <w:p w14:paraId="36263117" w14:textId="77777777" w:rsidR="009C5F73" w:rsidRPr="009C5F73" w:rsidRDefault="009C5F73" w:rsidP="00264A88">
            <w:pPr>
              <w:numPr>
                <w:ilvl w:val="1"/>
                <w:numId w:val="8"/>
              </w:numPr>
              <w:spacing w:before="240" w:after="240"/>
              <w:rPr>
                <w:rFonts w:ascii="Times New Roman" w:hAnsi="Times New Roman" w:cs="Times New Roman"/>
              </w:rPr>
            </w:pPr>
            <w:r w:rsidRPr="009C5F73">
              <w:rPr>
                <w:rFonts w:ascii="Times New Roman" w:hAnsi="Times New Roman" w:cs="Times New Roman"/>
              </w:rPr>
              <w:t>transparency, public information and reporting issues</w:t>
            </w:r>
          </w:p>
          <w:p w14:paraId="7236075C" w14:textId="77777777" w:rsidR="009C5F73" w:rsidRPr="009C5F73" w:rsidRDefault="009C5F73" w:rsidP="00264A88">
            <w:pPr>
              <w:numPr>
                <w:ilvl w:val="1"/>
                <w:numId w:val="8"/>
              </w:numPr>
              <w:spacing w:before="240" w:after="240"/>
              <w:rPr>
                <w:rFonts w:ascii="Times New Roman" w:hAnsi="Times New Roman" w:cs="Times New Roman"/>
              </w:rPr>
            </w:pPr>
            <w:r w:rsidRPr="009C5F73">
              <w:rPr>
                <w:rFonts w:ascii="Times New Roman" w:hAnsi="Times New Roman" w:cs="Times New Roman"/>
              </w:rPr>
              <w:t>competition and resilience of the audit sector</w:t>
            </w:r>
          </w:p>
          <w:p w14:paraId="1DC5439E" w14:textId="77777777" w:rsidR="009C5F73" w:rsidRPr="009C5F73" w:rsidRDefault="009C5F73" w:rsidP="00264A88">
            <w:pPr>
              <w:numPr>
                <w:ilvl w:val="1"/>
                <w:numId w:val="8"/>
              </w:numPr>
              <w:spacing w:before="240" w:after="240"/>
              <w:rPr>
                <w:rFonts w:ascii="Times New Roman" w:hAnsi="Times New Roman" w:cs="Times New Roman"/>
              </w:rPr>
            </w:pPr>
            <w:r w:rsidRPr="009C5F73">
              <w:rPr>
                <w:rFonts w:ascii="Times New Roman" w:hAnsi="Times New Roman" w:cs="Times New Roman"/>
              </w:rPr>
              <w:t>protections available to whistleblowers.</w:t>
            </w:r>
          </w:p>
          <w:p w14:paraId="33BFCD28" w14:textId="77777777" w:rsidR="009C5F73" w:rsidRPr="0095222C" w:rsidRDefault="009C5F73" w:rsidP="00264A88">
            <w:pPr>
              <w:spacing w:before="240" w:after="240"/>
              <w:rPr>
                <w:rFonts w:ascii="Times New Roman" w:hAnsi="Times New Roman" w:cs="Times New Roman"/>
              </w:rPr>
            </w:pPr>
            <w:r w:rsidRPr="009C5F73">
              <w:rPr>
                <w:rFonts w:ascii="Times New Roman" w:hAnsi="Times New Roman" w:cs="Times New Roman"/>
              </w:rPr>
              <w:t>The Government will continue to consider these matters as part of ongoing policy work. Treasury will also consult publicly on whether the tax and corporate whistleblowing frameworks are working as intended as part of its statutory review of those frameworks.</w:t>
            </w:r>
            <w:r>
              <w:rPr>
                <w:rFonts w:ascii="Times New Roman" w:hAnsi="Times New Roman" w:cs="Times New Roman"/>
              </w:rPr>
              <w:t xml:space="preserve"> </w:t>
            </w:r>
          </w:p>
        </w:tc>
      </w:tr>
    </w:tbl>
    <w:p w14:paraId="56DBCC8F" w14:textId="77777777" w:rsidR="009C5F73" w:rsidRDefault="009C5F73" w:rsidP="009C5F73">
      <w:pPr>
        <w:spacing w:line="278" w:lineRule="auto"/>
        <w:rPr>
          <w:rFonts w:ascii="Times New Roman" w:hAnsi="Times New Roman" w:cs="Times New Roman"/>
        </w:rPr>
      </w:pPr>
      <w:r>
        <w:rPr>
          <w:rFonts w:ascii="Times New Roman" w:hAnsi="Times New Roman" w:cs="Times New Roman"/>
        </w:rPr>
        <w:lastRenderedPageBreak/>
        <w:br w:type="page"/>
      </w:r>
    </w:p>
    <w:p w14:paraId="4943795E" w14:textId="3549962B" w:rsidR="009C5F73" w:rsidRPr="00B338D3" w:rsidRDefault="009C5F73" w:rsidP="00FA4484">
      <w:pPr>
        <w:keepNext/>
        <w:spacing w:before="240" w:after="240"/>
        <w:rPr>
          <w:rFonts w:ascii="Times New Roman" w:hAnsi="Times New Roman" w:cs="Times New Roman"/>
          <w:b/>
          <w:bCs/>
          <w:u w:val="single"/>
        </w:rPr>
      </w:pPr>
      <w:r w:rsidRPr="00B338D3">
        <w:rPr>
          <w:rFonts w:ascii="Times New Roman" w:hAnsi="Times New Roman" w:cs="Times New Roman"/>
          <w:b/>
          <w:bCs/>
          <w:u w:val="single"/>
        </w:rPr>
        <w:lastRenderedPageBreak/>
        <w:t xml:space="preserve">Government consultation on the merging of the Australian Accounting Standards Board, </w:t>
      </w:r>
      <w:r w:rsidR="003914A4">
        <w:rPr>
          <w:rFonts w:ascii="Times New Roman" w:hAnsi="Times New Roman" w:cs="Times New Roman"/>
          <w:b/>
          <w:bCs/>
          <w:u w:val="single"/>
        </w:rPr>
        <w:t xml:space="preserve">the </w:t>
      </w:r>
      <w:r w:rsidRPr="00B338D3">
        <w:rPr>
          <w:rFonts w:ascii="Times New Roman" w:hAnsi="Times New Roman" w:cs="Times New Roman"/>
          <w:b/>
          <w:bCs/>
          <w:u w:val="single"/>
        </w:rPr>
        <w:t xml:space="preserve">Auditing and Assurance Standards Board and </w:t>
      </w:r>
      <w:r w:rsidR="003914A4">
        <w:rPr>
          <w:rFonts w:ascii="Times New Roman" w:hAnsi="Times New Roman" w:cs="Times New Roman"/>
          <w:b/>
          <w:bCs/>
          <w:u w:val="single"/>
        </w:rPr>
        <w:t xml:space="preserve">the </w:t>
      </w:r>
      <w:r w:rsidRPr="00B338D3">
        <w:rPr>
          <w:rFonts w:ascii="Times New Roman" w:hAnsi="Times New Roman" w:cs="Times New Roman"/>
          <w:b/>
          <w:bCs/>
          <w:u w:val="single"/>
        </w:rPr>
        <w:t>Financial Reporting Council</w:t>
      </w:r>
    </w:p>
    <w:p w14:paraId="3C93E8CF" w14:textId="77777777" w:rsidR="009C5F73" w:rsidRDefault="009C5F73" w:rsidP="00FA4484">
      <w:pPr>
        <w:keepNext/>
        <w:spacing w:before="240" w:after="240"/>
        <w:rPr>
          <w:rFonts w:ascii="Times New Roman" w:hAnsi="Times New Roman" w:cs="Times New Roman"/>
        </w:rPr>
      </w:pPr>
      <w:r>
        <w:rPr>
          <w:rFonts w:ascii="Times New Roman" w:hAnsi="Times New Roman" w:cs="Times New Roman"/>
        </w:rPr>
        <w:t xml:space="preserve">The Government </w:t>
      </w:r>
      <w:r w:rsidRPr="00390035">
        <w:rPr>
          <w:rFonts w:ascii="Times New Roman" w:hAnsi="Times New Roman" w:cs="Times New Roman"/>
          <w:b/>
          <w:bCs/>
        </w:rPr>
        <w:t>notes</w:t>
      </w:r>
      <w:r>
        <w:rPr>
          <w:rFonts w:ascii="Times New Roman" w:hAnsi="Times New Roman" w:cs="Times New Roman"/>
        </w:rPr>
        <w:t xml:space="preserve"> Recommendations 20, 22, 23, 24 and 28. </w:t>
      </w:r>
    </w:p>
    <w:tbl>
      <w:tblPr>
        <w:tblStyle w:val="TableGrid"/>
        <w:tblW w:w="0" w:type="auto"/>
        <w:tblLook w:val="04A0" w:firstRow="1" w:lastRow="0" w:firstColumn="1" w:lastColumn="0" w:noHBand="0" w:noVBand="1"/>
      </w:tblPr>
      <w:tblGrid>
        <w:gridCol w:w="9016"/>
      </w:tblGrid>
      <w:tr w:rsidR="009C5F73" w14:paraId="3820D8A9" w14:textId="77777777" w:rsidTr="004A30EA">
        <w:tc>
          <w:tcPr>
            <w:tcW w:w="9016" w:type="dxa"/>
          </w:tcPr>
          <w:p w14:paraId="115728FD" w14:textId="77777777" w:rsidR="009C5F73" w:rsidRPr="00271B0E" w:rsidRDefault="009C5F73" w:rsidP="00264A88">
            <w:pPr>
              <w:spacing w:before="240" w:after="240"/>
              <w:rPr>
                <w:rFonts w:ascii="Times New Roman" w:hAnsi="Times New Roman" w:cs="Times New Roman"/>
                <w:b/>
                <w:bCs/>
              </w:rPr>
            </w:pPr>
            <w:r w:rsidRPr="00271B0E">
              <w:rPr>
                <w:rFonts w:ascii="Times New Roman" w:hAnsi="Times New Roman" w:cs="Times New Roman"/>
                <w:b/>
                <w:bCs/>
              </w:rPr>
              <w:t>Government Response</w:t>
            </w:r>
          </w:p>
          <w:p w14:paraId="57CC38F1" w14:textId="60862713" w:rsidR="009C5F73" w:rsidRPr="0013633F" w:rsidRDefault="009C5F73" w:rsidP="00264A88">
            <w:pPr>
              <w:spacing w:before="240" w:after="240"/>
              <w:rPr>
                <w:rFonts w:ascii="Times New Roman" w:hAnsi="Times New Roman" w:cs="Times New Roman"/>
              </w:rPr>
            </w:pPr>
            <w:r w:rsidRPr="0013633F">
              <w:rPr>
                <w:rFonts w:ascii="Times New Roman" w:hAnsi="Times New Roman" w:cs="Times New Roman"/>
              </w:rPr>
              <w:t xml:space="preserve">In October 2025, the Government released for consultation exposure draft legislation to combine the Australian Accounting Standards Board, </w:t>
            </w:r>
            <w:r w:rsidR="008C6AC1">
              <w:rPr>
                <w:rFonts w:ascii="Times New Roman" w:hAnsi="Times New Roman" w:cs="Times New Roman"/>
              </w:rPr>
              <w:t xml:space="preserve">the </w:t>
            </w:r>
            <w:r w:rsidRPr="0013633F">
              <w:rPr>
                <w:rFonts w:ascii="Times New Roman" w:hAnsi="Times New Roman" w:cs="Times New Roman"/>
              </w:rPr>
              <w:t>Auditing and Assurance Standards Board and</w:t>
            </w:r>
            <w:r w:rsidR="008C6AC1">
              <w:rPr>
                <w:rFonts w:ascii="Times New Roman" w:hAnsi="Times New Roman" w:cs="Times New Roman"/>
              </w:rPr>
              <w:t xml:space="preserve"> the </w:t>
            </w:r>
            <w:r w:rsidRPr="0013633F">
              <w:rPr>
                <w:rFonts w:ascii="Times New Roman" w:hAnsi="Times New Roman" w:cs="Times New Roman"/>
              </w:rPr>
              <w:t xml:space="preserve">Financial Reporting Council into a single body. </w:t>
            </w:r>
          </w:p>
          <w:p w14:paraId="50B156E2" w14:textId="25340EBD" w:rsidR="009C5F73" w:rsidRPr="0013633F" w:rsidRDefault="003D5867" w:rsidP="00264A88">
            <w:pPr>
              <w:spacing w:before="240" w:after="240"/>
              <w:rPr>
                <w:rFonts w:ascii="Times New Roman" w:hAnsi="Times New Roman" w:cs="Times New Roman"/>
              </w:rPr>
            </w:pPr>
            <w:r>
              <w:rPr>
                <w:rFonts w:ascii="Times New Roman" w:hAnsi="Times New Roman" w:cs="Times New Roman"/>
              </w:rPr>
              <w:t>T</w:t>
            </w:r>
            <w:r w:rsidR="009C5F73" w:rsidRPr="0013633F">
              <w:rPr>
                <w:rFonts w:ascii="Times New Roman" w:hAnsi="Times New Roman" w:cs="Times New Roman"/>
              </w:rPr>
              <w:t xml:space="preserve">here are </w:t>
            </w:r>
            <w:proofErr w:type="gramStart"/>
            <w:r w:rsidR="009C5F73" w:rsidRPr="0013633F">
              <w:rPr>
                <w:rFonts w:ascii="Times New Roman" w:hAnsi="Times New Roman" w:cs="Times New Roman"/>
              </w:rPr>
              <w:t>a number of</w:t>
            </w:r>
            <w:proofErr w:type="gramEnd"/>
            <w:r w:rsidR="009C5F73" w:rsidRPr="0013633F">
              <w:rPr>
                <w:rFonts w:ascii="Times New Roman" w:hAnsi="Times New Roman" w:cs="Times New Roman"/>
              </w:rPr>
              <w:t xml:space="preserve"> recommendations </w:t>
            </w:r>
            <w:r w:rsidR="00532959">
              <w:rPr>
                <w:rFonts w:ascii="Times New Roman" w:hAnsi="Times New Roman" w:cs="Times New Roman"/>
              </w:rPr>
              <w:t xml:space="preserve">from the </w:t>
            </w:r>
            <w:r w:rsidR="00532959" w:rsidRPr="00532959">
              <w:rPr>
                <w:rFonts w:ascii="Times New Roman" w:hAnsi="Times New Roman" w:cs="Times New Roman"/>
              </w:rPr>
              <w:t>Parliamentary Joint Committee on Corporations and Financial Services</w:t>
            </w:r>
            <w:r w:rsidR="00D20FDA">
              <w:rPr>
                <w:rFonts w:ascii="Times New Roman" w:hAnsi="Times New Roman" w:cs="Times New Roman"/>
              </w:rPr>
              <w:t>’ report</w:t>
            </w:r>
            <w:r w:rsidR="00532959" w:rsidRPr="00532959">
              <w:rPr>
                <w:rFonts w:ascii="Times New Roman" w:hAnsi="Times New Roman" w:cs="Times New Roman"/>
              </w:rPr>
              <w:t xml:space="preserve"> </w:t>
            </w:r>
            <w:r w:rsidR="009C5F73" w:rsidRPr="0013633F">
              <w:rPr>
                <w:rFonts w:ascii="Times New Roman" w:hAnsi="Times New Roman" w:cs="Times New Roman"/>
              </w:rPr>
              <w:t>that the exposure draft legislation respond</w:t>
            </w:r>
            <w:r>
              <w:rPr>
                <w:rFonts w:ascii="Times New Roman" w:hAnsi="Times New Roman" w:cs="Times New Roman"/>
              </w:rPr>
              <w:t>ed</w:t>
            </w:r>
            <w:r w:rsidR="009C5F73" w:rsidRPr="0013633F">
              <w:rPr>
                <w:rFonts w:ascii="Times New Roman" w:hAnsi="Times New Roman" w:cs="Times New Roman"/>
              </w:rPr>
              <w:t xml:space="preserve"> to:</w:t>
            </w:r>
          </w:p>
          <w:p w14:paraId="3E5EF411" w14:textId="77777777" w:rsidR="009C5F73" w:rsidRPr="0013633F" w:rsidRDefault="009C5F73" w:rsidP="00264A88">
            <w:pPr>
              <w:numPr>
                <w:ilvl w:val="0"/>
                <w:numId w:val="8"/>
              </w:numPr>
              <w:spacing w:before="240" w:after="240"/>
              <w:rPr>
                <w:rFonts w:ascii="Times New Roman" w:hAnsi="Times New Roman" w:cs="Times New Roman"/>
              </w:rPr>
            </w:pPr>
            <w:r w:rsidRPr="0013633F">
              <w:rPr>
                <w:rFonts w:ascii="Times New Roman" w:hAnsi="Times New Roman" w:cs="Times New Roman"/>
              </w:rPr>
              <w:t>Treasury will no longer provide a Secretariat function to the standard setting body once it is established.</w:t>
            </w:r>
          </w:p>
          <w:p w14:paraId="5BC61374" w14:textId="77777777" w:rsidR="009C5F73" w:rsidRPr="0013633F" w:rsidRDefault="009C5F73" w:rsidP="00264A88">
            <w:pPr>
              <w:numPr>
                <w:ilvl w:val="0"/>
                <w:numId w:val="8"/>
              </w:numPr>
              <w:spacing w:before="240" w:after="240"/>
              <w:rPr>
                <w:rFonts w:ascii="Times New Roman" w:hAnsi="Times New Roman" w:cs="Times New Roman"/>
              </w:rPr>
            </w:pPr>
            <w:r w:rsidRPr="0013633F">
              <w:rPr>
                <w:rFonts w:ascii="Times New Roman" w:hAnsi="Times New Roman" w:cs="Times New Roman"/>
              </w:rPr>
              <w:t xml:space="preserve">The exposure draft legislation would require the Minister, in making appointments to the new combined body’s Governing Council, to have regard to the principle that the Governing Council as a whole, and as an entity that engages in collective decision-making, should contain an appropriate level of representation of persons who are, and are seen to be, independent from Australian auditors. This balanced approach ensures that the new standard setting body can continue to access appropriate expert representation as appropriate at the Governing Council level without enabling strategic decision-making to be controlled or overly influenced by representatives from a particular industry or with a particular financial incentive. </w:t>
            </w:r>
          </w:p>
          <w:p w14:paraId="58E53CD4" w14:textId="77777777" w:rsidR="009C5F73" w:rsidRPr="0013633F" w:rsidRDefault="009C5F73" w:rsidP="00264A88">
            <w:pPr>
              <w:numPr>
                <w:ilvl w:val="0"/>
                <w:numId w:val="8"/>
              </w:numPr>
              <w:spacing w:before="240" w:after="240"/>
              <w:rPr>
                <w:rFonts w:ascii="Times New Roman" w:hAnsi="Times New Roman" w:cs="Times New Roman"/>
              </w:rPr>
            </w:pPr>
            <w:r w:rsidRPr="0013633F">
              <w:rPr>
                <w:rFonts w:ascii="Times New Roman" w:hAnsi="Times New Roman" w:cs="Times New Roman"/>
              </w:rPr>
              <w:t xml:space="preserve">The exposure draft legislation would supplement the disclosure of interests requirements applying to statutory officeholders under the </w:t>
            </w:r>
            <w:r w:rsidRPr="0013633F">
              <w:rPr>
                <w:rFonts w:ascii="Times New Roman" w:hAnsi="Times New Roman" w:cs="Times New Roman"/>
                <w:i/>
                <w:iCs/>
              </w:rPr>
              <w:t>Public Governance, Performance and Accountability Act 2013</w:t>
            </w:r>
            <w:r w:rsidRPr="0013633F">
              <w:rPr>
                <w:rFonts w:ascii="Times New Roman" w:hAnsi="Times New Roman" w:cs="Times New Roman"/>
              </w:rPr>
              <w:t xml:space="preserve"> by requiring members to disclose interests as soon as practicable after they become known, to strengthen the Governing Council’s ongoing oversight and management of conflicts of interest.</w:t>
            </w:r>
          </w:p>
          <w:p w14:paraId="6D5B7C3C" w14:textId="77777777" w:rsidR="009C5F73" w:rsidRPr="0013633F" w:rsidRDefault="009C5F73" w:rsidP="00264A88">
            <w:pPr>
              <w:numPr>
                <w:ilvl w:val="0"/>
                <w:numId w:val="8"/>
              </w:numPr>
              <w:spacing w:before="240" w:after="240"/>
              <w:rPr>
                <w:rFonts w:ascii="Times New Roman" w:hAnsi="Times New Roman" w:cs="Times New Roman"/>
              </w:rPr>
            </w:pPr>
            <w:r w:rsidRPr="0013633F">
              <w:rPr>
                <w:rFonts w:ascii="Times New Roman" w:hAnsi="Times New Roman" w:cs="Times New Roman"/>
              </w:rPr>
              <w:t>The exposure draft legislation would require the Chair of the Governing Council to determine a code of conduct for the new body that applies to members of the Governing Council and standard setting boards (among others).</w:t>
            </w:r>
          </w:p>
          <w:p w14:paraId="20B4189C" w14:textId="1BD88E8D" w:rsidR="009C5F73" w:rsidRPr="00264A88" w:rsidRDefault="009C5F73" w:rsidP="00264A88">
            <w:pPr>
              <w:numPr>
                <w:ilvl w:val="0"/>
                <w:numId w:val="8"/>
              </w:numPr>
              <w:spacing w:before="240" w:after="240"/>
              <w:rPr>
                <w:rFonts w:ascii="Times New Roman" w:hAnsi="Times New Roman" w:cs="Times New Roman"/>
              </w:rPr>
            </w:pPr>
            <w:r w:rsidRPr="0013633F">
              <w:rPr>
                <w:rFonts w:ascii="Times New Roman" w:hAnsi="Times New Roman" w:cs="Times New Roman"/>
              </w:rPr>
              <w:t>The exposure draft legislation would empower the Minister, by legislative instrument, to specify additional functions to be performed by the new body. This will add flexibility to the new institutional arrangements and better position the body to respond to future standard setting needs.</w:t>
            </w:r>
          </w:p>
        </w:tc>
      </w:tr>
    </w:tbl>
    <w:p w14:paraId="4EAFE702" w14:textId="77777777" w:rsidR="009C5F73" w:rsidRDefault="009C5F73" w:rsidP="00375DEA">
      <w:pPr>
        <w:jc w:val="right"/>
        <w:rPr>
          <w:rFonts w:ascii="Times New Roman" w:hAnsi="Times New Roman" w:cs="Times New Roman"/>
          <w:b/>
          <w:bCs/>
          <w:sz w:val="28"/>
          <w:szCs w:val="28"/>
        </w:rPr>
      </w:pPr>
    </w:p>
    <w:sectPr w:rsidR="009C5F73" w:rsidSect="00F374CF">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69F9" w14:textId="77777777" w:rsidR="00463247" w:rsidRDefault="00463247" w:rsidP="002E03FB">
      <w:pPr>
        <w:spacing w:after="0" w:line="240" w:lineRule="auto"/>
      </w:pPr>
      <w:r>
        <w:separator/>
      </w:r>
    </w:p>
  </w:endnote>
  <w:endnote w:type="continuationSeparator" w:id="0">
    <w:p w14:paraId="3C7489E8" w14:textId="77777777" w:rsidR="00463247" w:rsidRDefault="00463247" w:rsidP="002E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44804287"/>
      <w:docPartObj>
        <w:docPartGallery w:val="Page Numbers (Bottom of Page)"/>
        <w:docPartUnique/>
      </w:docPartObj>
    </w:sdtPr>
    <w:sdtEndPr>
      <w:rPr>
        <w:noProof/>
      </w:rPr>
    </w:sdtEndPr>
    <w:sdtContent>
      <w:p w14:paraId="66D45DC6" w14:textId="3510A717" w:rsidR="002F529E" w:rsidRPr="00264A88" w:rsidRDefault="002F529E">
        <w:pPr>
          <w:pStyle w:val="Footer"/>
          <w:jc w:val="right"/>
          <w:rPr>
            <w:rFonts w:ascii="Times New Roman" w:hAnsi="Times New Roman" w:cs="Times New Roman"/>
          </w:rPr>
        </w:pPr>
        <w:r w:rsidRPr="00264A88">
          <w:rPr>
            <w:rFonts w:ascii="Times New Roman" w:hAnsi="Times New Roman" w:cs="Times New Roman"/>
          </w:rPr>
          <w:fldChar w:fldCharType="begin"/>
        </w:r>
        <w:r w:rsidRPr="00264A88">
          <w:rPr>
            <w:rFonts w:ascii="Times New Roman" w:hAnsi="Times New Roman" w:cs="Times New Roman"/>
          </w:rPr>
          <w:instrText xml:space="preserve"> PAGE   \* MERGEFORMAT </w:instrText>
        </w:r>
        <w:r w:rsidRPr="00264A88">
          <w:rPr>
            <w:rFonts w:ascii="Times New Roman" w:hAnsi="Times New Roman" w:cs="Times New Roman"/>
          </w:rPr>
          <w:fldChar w:fldCharType="separate"/>
        </w:r>
        <w:r w:rsidRPr="00264A88">
          <w:rPr>
            <w:rFonts w:ascii="Times New Roman" w:hAnsi="Times New Roman" w:cs="Times New Roman"/>
            <w:noProof/>
          </w:rPr>
          <w:t>2</w:t>
        </w:r>
        <w:r w:rsidRPr="00264A88">
          <w:rPr>
            <w:rFonts w:ascii="Times New Roman" w:hAnsi="Times New Roman" w:cs="Times New Roman"/>
            <w:noProof/>
          </w:rPr>
          <w:fldChar w:fldCharType="end"/>
        </w:r>
      </w:p>
    </w:sdtContent>
  </w:sdt>
  <w:p w14:paraId="5EDD394E" w14:textId="3315CFDF" w:rsidR="002E03FB" w:rsidRPr="00264A88" w:rsidRDefault="002E03F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5EB1" w14:textId="77777777" w:rsidR="00463247" w:rsidRDefault="00463247" w:rsidP="002E03FB">
      <w:pPr>
        <w:spacing w:after="0" w:line="240" w:lineRule="auto"/>
      </w:pPr>
      <w:r>
        <w:separator/>
      </w:r>
    </w:p>
  </w:footnote>
  <w:footnote w:type="continuationSeparator" w:id="0">
    <w:p w14:paraId="66876C65" w14:textId="77777777" w:rsidR="00463247" w:rsidRDefault="00463247" w:rsidP="002E03FB">
      <w:pPr>
        <w:spacing w:after="0" w:line="240" w:lineRule="auto"/>
      </w:pPr>
      <w:r>
        <w:continuationSeparator/>
      </w:r>
    </w:p>
  </w:footnote>
  <w:footnote w:id="1">
    <w:p w14:paraId="2CDEE308" w14:textId="77777777" w:rsidR="009C5F73" w:rsidRPr="00264A88" w:rsidRDefault="009C5F73" w:rsidP="009C5F73">
      <w:pPr>
        <w:pStyle w:val="FootnoteText"/>
        <w:rPr>
          <w:rFonts w:ascii="Times New Roman" w:hAnsi="Times New Roman" w:cs="Times New Roman"/>
        </w:rPr>
      </w:pPr>
      <w:r w:rsidRPr="00264A88">
        <w:rPr>
          <w:rStyle w:val="FootnoteReference"/>
          <w:rFonts w:ascii="Times New Roman" w:hAnsi="Times New Roman" w:cs="Times New Roman"/>
        </w:rPr>
        <w:footnoteRef/>
      </w:r>
      <w:r w:rsidRPr="00264A88">
        <w:rPr>
          <w:rFonts w:ascii="Times New Roman" w:hAnsi="Times New Roman" w:cs="Times New Roman"/>
        </w:rPr>
        <w:t xml:space="preserve"> </w:t>
      </w:r>
      <w:hyperlink r:id="rId1" w:history="1">
        <w:r w:rsidRPr="00264A88">
          <w:rPr>
            <w:rStyle w:val="Hyperlink"/>
            <w:rFonts w:ascii="Times New Roman" w:hAnsi="Times New Roman" w:cs="Times New Roman"/>
          </w:rPr>
          <w:t>https://www.finance.gov.au/sites/default/files/2025-08/examination-of-pwc-australias-ethical-soundness.pdf</w:t>
        </w:r>
      </w:hyperlink>
      <w:r w:rsidRPr="00264A88">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151"/>
    <w:multiLevelType w:val="hybridMultilevel"/>
    <w:tmpl w:val="D256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267E"/>
    <w:multiLevelType w:val="hybridMultilevel"/>
    <w:tmpl w:val="8BCEC862"/>
    <w:lvl w:ilvl="0" w:tplc="B8341442">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A84430"/>
    <w:multiLevelType w:val="hybridMultilevel"/>
    <w:tmpl w:val="3A7AD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225A7E"/>
    <w:multiLevelType w:val="hybridMultilevel"/>
    <w:tmpl w:val="C9544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026399"/>
    <w:multiLevelType w:val="hybridMultilevel"/>
    <w:tmpl w:val="BBD45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8E60D48"/>
    <w:multiLevelType w:val="hybridMultilevel"/>
    <w:tmpl w:val="47B68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C46619"/>
    <w:multiLevelType w:val="hybridMultilevel"/>
    <w:tmpl w:val="1C903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064F9D"/>
    <w:multiLevelType w:val="hybridMultilevel"/>
    <w:tmpl w:val="01C09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0816678">
    <w:abstractNumId w:val="3"/>
  </w:num>
  <w:num w:numId="2" w16cid:durableId="1923098851">
    <w:abstractNumId w:val="7"/>
  </w:num>
  <w:num w:numId="3" w16cid:durableId="1083338924">
    <w:abstractNumId w:val="6"/>
  </w:num>
  <w:num w:numId="4" w16cid:durableId="715931142">
    <w:abstractNumId w:val="5"/>
  </w:num>
  <w:num w:numId="5" w16cid:durableId="1717074812">
    <w:abstractNumId w:val="0"/>
  </w:num>
  <w:num w:numId="6" w16cid:durableId="1312716154">
    <w:abstractNumId w:val="2"/>
  </w:num>
  <w:num w:numId="7" w16cid:durableId="443042309">
    <w:abstractNumId w:val="1"/>
  </w:num>
  <w:num w:numId="8" w16cid:durableId="1892035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1F"/>
    <w:rsid w:val="00002DC8"/>
    <w:rsid w:val="00006015"/>
    <w:rsid w:val="00021314"/>
    <w:rsid w:val="000428E4"/>
    <w:rsid w:val="00055B6A"/>
    <w:rsid w:val="0006512F"/>
    <w:rsid w:val="0008620C"/>
    <w:rsid w:val="000D27B7"/>
    <w:rsid w:val="000D5CAA"/>
    <w:rsid w:val="000E59CD"/>
    <w:rsid w:val="000E5B75"/>
    <w:rsid w:val="00126AF1"/>
    <w:rsid w:val="00130D72"/>
    <w:rsid w:val="0013156C"/>
    <w:rsid w:val="0015705C"/>
    <w:rsid w:val="00185AF9"/>
    <w:rsid w:val="001D03A2"/>
    <w:rsid w:val="00202670"/>
    <w:rsid w:val="00213EF0"/>
    <w:rsid w:val="00214ABD"/>
    <w:rsid w:val="00221ED1"/>
    <w:rsid w:val="002227B9"/>
    <w:rsid w:val="002261A6"/>
    <w:rsid w:val="00237392"/>
    <w:rsid w:val="00253910"/>
    <w:rsid w:val="00264A88"/>
    <w:rsid w:val="002769B5"/>
    <w:rsid w:val="002773D5"/>
    <w:rsid w:val="0029305A"/>
    <w:rsid w:val="00295413"/>
    <w:rsid w:val="002D29EB"/>
    <w:rsid w:val="002E03FB"/>
    <w:rsid w:val="002F529E"/>
    <w:rsid w:val="00300D9A"/>
    <w:rsid w:val="00307299"/>
    <w:rsid w:val="003226D1"/>
    <w:rsid w:val="003563FA"/>
    <w:rsid w:val="00375DEA"/>
    <w:rsid w:val="003914A4"/>
    <w:rsid w:val="003B5618"/>
    <w:rsid w:val="003D1D6B"/>
    <w:rsid w:val="003D5867"/>
    <w:rsid w:val="003E794E"/>
    <w:rsid w:val="003F7D22"/>
    <w:rsid w:val="00400442"/>
    <w:rsid w:val="00414F2D"/>
    <w:rsid w:val="004375A9"/>
    <w:rsid w:val="004522F9"/>
    <w:rsid w:val="00463247"/>
    <w:rsid w:val="004645BD"/>
    <w:rsid w:val="004872A8"/>
    <w:rsid w:val="00496E90"/>
    <w:rsid w:val="004A0B47"/>
    <w:rsid w:val="004A57BA"/>
    <w:rsid w:val="004C6544"/>
    <w:rsid w:val="004E48DD"/>
    <w:rsid w:val="00521118"/>
    <w:rsid w:val="00532959"/>
    <w:rsid w:val="005332CE"/>
    <w:rsid w:val="00537027"/>
    <w:rsid w:val="00582B74"/>
    <w:rsid w:val="005845E5"/>
    <w:rsid w:val="00593497"/>
    <w:rsid w:val="005B152B"/>
    <w:rsid w:val="005B7C9E"/>
    <w:rsid w:val="005D5673"/>
    <w:rsid w:val="00605AEC"/>
    <w:rsid w:val="006076FD"/>
    <w:rsid w:val="00614BA3"/>
    <w:rsid w:val="00615166"/>
    <w:rsid w:val="0062054F"/>
    <w:rsid w:val="00621B2A"/>
    <w:rsid w:val="006924AA"/>
    <w:rsid w:val="00697536"/>
    <w:rsid w:val="006D7516"/>
    <w:rsid w:val="006E71E3"/>
    <w:rsid w:val="006F49F9"/>
    <w:rsid w:val="006F61DF"/>
    <w:rsid w:val="00716860"/>
    <w:rsid w:val="00720274"/>
    <w:rsid w:val="00732CC7"/>
    <w:rsid w:val="007807AC"/>
    <w:rsid w:val="007903BD"/>
    <w:rsid w:val="007B5BB8"/>
    <w:rsid w:val="007B676D"/>
    <w:rsid w:val="007C486B"/>
    <w:rsid w:val="007C714D"/>
    <w:rsid w:val="007D061F"/>
    <w:rsid w:val="00817E14"/>
    <w:rsid w:val="008303CE"/>
    <w:rsid w:val="00835DCB"/>
    <w:rsid w:val="008955A0"/>
    <w:rsid w:val="008C127A"/>
    <w:rsid w:val="008C3D9E"/>
    <w:rsid w:val="008C6AC1"/>
    <w:rsid w:val="008C7BFE"/>
    <w:rsid w:val="008E14C2"/>
    <w:rsid w:val="008F103B"/>
    <w:rsid w:val="0090312F"/>
    <w:rsid w:val="009076BE"/>
    <w:rsid w:val="00907D2E"/>
    <w:rsid w:val="00915CC5"/>
    <w:rsid w:val="009A7F6A"/>
    <w:rsid w:val="009C4F5D"/>
    <w:rsid w:val="009C5F73"/>
    <w:rsid w:val="009E1975"/>
    <w:rsid w:val="00A3661F"/>
    <w:rsid w:val="00A52288"/>
    <w:rsid w:val="00A7049A"/>
    <w:rsid w:val="00A92104"/>
    <w:rsid w:val="00AB7F21"/>
    <w:rsid w:val="00AC55AD"/>
    <w:rsid w:val="00AD75B7"/>
    <w:rsid w:val="00AE11AE"/>
    <w:rsid w:val="00AF3A79"/>
    <w:rsid w:val="00B3099B"/>
    <w:rsid w:val="00B4454E"/>
    <w:rsid w:val="00B530B0"/>
    <w:rsid w:val="00B548B0"/>
    <w:rsid w:val="00B93E7A"/>
    <w:rsid w:val="00BB2DD0"/>
    <w:rsid w:val="00BB3D1F"/>
    <w:rsid w:val="00BB6A47"/>
    <w:rsid w:val="00BC501E"/>
    <w:rsid w:val="00BD4752"/>
    <w:rsid w:val="00BF7586"/>
    <w:rsid w:val="00C1220A"/>
    <w:rsid w:val="00C16458"/>
    <w:rsid w:val="00C21D40"/>
    <w:rsid w:val="00C23A39"/>
    <w:rsid w:val="00C26852"/>
    <w:rsid w:val="00C31045"/>
    <w:rsid w:val="00C477D5"/>
    <w:rsid w:val="00C575D3"/>
    <w:rsid w:val="00C6701B"/>
    <w:rsid w:val="00C67976"/>
    <w:rsid w:val="00C71587"/>
    <w:rsid w:val="00CC2E1F"/>
    <w:rsid w:val="00CD0451"/>
    <w:rsid w:val="00CE543C"/>
    <w:rsid w:val="00CF2654"/>
    <w:rsid w:val="00D20FDA"/>
    <w:rsid w:val="00D21E37"/>
    <w:rsid w:val="00D73614"/>
    <w:rsid w:val="00D74B94"/>
    <w:rsid w:val="00D851A4"/>
    <w:rsid w:val="00D8588C"/>
    <w:rsid w:val="00D93AAD"/>
    <w:rsid w:val="00D95A7F"/>
    <w:rsid w:val="00DA610A"/>
    <w:rsid w:val="00DC2AFD"/>
    <w:rsid w:val="00DC46E3"/>
    <w:rsid w:val="00DC62E7"/>
    <w:rsid w:val="00DE3E67"/>
    <w:rsid w:val="00E037C9"/>
    <w:rsid w:val="00E12935"/>
    <w:rsid w:val="00E25AF3"/>
    <w:rsid w:val="00E30C98"/>
    <w:rsid w:val="00E679F3"/>
    <w:rsid w:val="00E83E6E"/>
    <w:rsid w:val="00E93278"/>
    <w:rsid w:val="00EB0A39"/>
    <w:rsid w:val="00EC0A4F"/>
    <w:rsid w:val="00ED6FA2"/>
    <w:rsid w:val="00EF252B"/>
    <w:rsid w:val="00EF435B"/>
    <w:rsid w:val="00EF4F5F"/>
    <w:rsid w:val="00F12C94"/>
    <w:rsid w:val="00F21967"/>
    <w:rsid w:val="00F327BC"/>
    <w:rsid w:val="00F3291D"/>
    <w:rsid w:val="00F374CF"/>
    <w:rsid w:val="00F563EF"/>
    <w:rsid w:val="00F64BDD"/>
    <w:rsid w:val="00FA4484"/>
    <w:rsid w:val="00FA5E6C"/>
    <w:rsid w:val="00FB397D"/>
    <w:rsid w:val="00FB7CC3"/>
    <w:rsid w:val="00FD089B"/>
    <w:rsid w:val="00FD6541"/>
    <w:rsid w:val="00FE4C5D"/>
    <w:rsid w:val="00FF18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5252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DEA"/>
    <w:pPr>
      <w:spacing w:line="259" w:lineRule="auto"/>
    </w:pPr>
    <w:rPr>
      <w:sz w:val="22"/>
      <w:szCs w:val="22"/>
    </w:rPr>
  </w:style>
  <w:style w:type="paragraph" w:styleId="Heading1">
    <w:name w:val="heading 1"/>
    <w:basedOn w:val="Normal"/>
    <w:next w:val="Normal"/>
    <w:link w:val="Heading1Char"/>
    <w:uiPriority w:val="9"/>
    <w:qFormat/>
    <w:rsid w:val="00CC2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E1F"/>
    <w:rPr>
      <w:rFonts w:eastAsiaTheme="majorEastAsia" w:cstheme="majorBidi"/>
      <w:color w:val="272727" w:themeColor="text1" w:themeTint="D8"/>
    </w:rPr>
  </w:style>
  <w:style w:type="paragraph" w:styleId="Title">
    <w:name w:val="Title"/>
    <w:basedOn w:val="Normal"/>
    <w:next w:val="Normal"/>
    <w:link w:val="TitleChar"/>
    <w:uiPriority w:val="10"/>
    <w:qFormat/>
    <w:rsid w:val="00CC2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E1F"/>
    <w:pPr>
      <w:spacing w:before="160"/>
      <w:jc w:val="center"/>
    </w:pPr>
    <w:rPr>
      <w:i/>
      <w:iCs/>
      <w:color w:val="404040" w:themeColor="text1" w:themeTint="BF"/>
    </w:rPr>
  </w:style>
  <w:style w:type="character" w:customStyle="1" w:styleId="QuoteChar">
    <w:name w:val="Quote Char"/>
    <w:basedOn w:val="DefaultParagraphFont"/>
    <w:link w:val="Quote"/>
    <w:uiPriority w:val="29"/>
    <w:rsid w:val="00CC2E1F"/>
    <w:rPr>
      <w:i/>
      <w:iCs/>
      <w:color w:val="404040" w:themeColor="text1" w:themeTint="BF"/>
    </w:rPr>
  </w:style>
  <w:style w:type="paragraph" w:styleId="ListParagraph">
    <w:name w:val="List Paragraph"/>
    <w:basedOn w:val="Normal"/>
    <w:uiPriority w:val="34"/>
    <w:qFormat/>
    <w:rsid w:val="00CC2E1F"/>
    <w:pPr>
      <w:ind w:left="720"/>
      <w:contextualSpacing/>
    </w:pPr>
  </w:style>
  <w:style w:type="character" w:styleId="IntenseEmphasis">
    <w:name w:val="Intense Emphasis"/>
    <w:basedOn w:val="DefaultParagraphFont"/>
    <w:uiPriority w:val="21"/>
    <w:qFormat/>
    <w:rsid w:val="00CC2E1F"/>
    <w:rPr>
      <w:i/>
      <w:iCs/>
      <w:color w:val="0F4761" w:themeColor="accent1" w:themeShade="BF"/>
    </w:rPr>
  </w:style>
  <w:style w:type="paragraph" w:styleId="IntenseQuote">
    <w:name w:val="Intense Quote"/>
    <w:basedOn w:val="Normal"/>
    <w:next w:val="Normal"/>
    <w:link w:val="IntenseQuoteChar"/>
    <w:uiPriority w:val="30"/>
    <w:qFormat/>
    <w:rsid w:val="00CC2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E1F"/>
    <w:rPr>
      <w:i/>
      <w:iCs/>
      <w:color w:val="0F4761" w:themeColor="accent1" w:themeShade="BF"/>
    </w:rPr>
  </w:style>
  <w:style w:type="character" w:styleId="IntenseReference">
    <w:name w:val="Intense Reference"/>
    <w:basedOn w:val="DefaultParagraphFont"/>
    <w:uiPriority w:val="32"/>
    <w:qFormat/>
    <w:rsid w:val="00CC2E1F"/>
    <w:rPr>
      <w:b/>
      <w:bCs/>
      <w:smallCaps/>
      <w:color w:val="0F4761" w:themeColor="accent1" w:themeShade="BF"/>
      <w:spacing w:val="5"/>
    </w:rPr>
  </w:style>
  <w:style w:type="paragraph" w:styleId="Header">
    <w:name w:val="header"/>
    <w:basedOn w:val="Normal"/>
    <w:link w:val="HeaderChar"/>
    <w:uiPriority w:val="99"/>
    <w:unhideWhenUsed/>
    <w:rsid w:val="002E0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3FB"/>
  </w:style>
  <w:style w:type="paragraph" w:styleId="Footer">
    <w:name w:val="footer"/>
    <w:basedOn w:val="Normal"/>
    <w:link w:val="FooterChar"/>
    <w:uiPriority w:val="99"/>
    <w:unhideWhenUsed/>
    <w:rsid w:val="002E0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3FB"/>
  </w:style>
  <w:style w:type="table" w:styleId="TableGrid">
    <w:name w:val="Table Grid"/>
    <w:basedOn w:val="TableNormal"/>
    <w:uiPriority w:val="39"/>
    <w:rsid w:val="00AF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35B"/>
    <w:rPr>
      <w:color w:val="467886" w:themeColor="hyperlink"/>
      <w:u w:val="single"/>
    </w:rPr>
  </w:style>
  <w:style w:type="paragraph" w:styleId="FootnoteText">
    <w:name w:val="footnote text"/>
    <w:basedOn w:val="Normal"/>
    <w:link w:val="FootnoteTextChar"/>
    <w:uiPriority w:val="99"/>
    <w:semiHidden/>
    <w:unhideWhenUsed/>
    <w:rsid w:val="00EF43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35B"/>
    <w:rPr>
      <w:sz w:val="20"/>
      <w:szCs w:val="20"/>
    </w:rPr>
  </w:style>
  <w:style w:type="character" w:styleId="FootnoteReference">
    <w:name w:val="footnote reference"/>
    <w:basedOn w:val="DefaultParagraphFont"/>
    <w:uiPriority w:val="99"/>
    <w:semiHidden/>
    <w:unhideWhenUsed/>
    <w:rsid w:val="00EF435B"/>
    <w:rPr>
      <w:vertAlign w:val="superscript"/>
    </w:rPr>
  </w:style>
  <w:style w:type="character" w:styleId="UnresolvedMention">
    <w:name w:val="Unresolved Mention"/>
    <w:basedOn w:val="DefaultParagraphFont"/>
    <w:uiPriority w:val="99"/>
    <w:semiHidden/>
    <w:unhideWhenUsed/>
    <w:rsid w:val="00EF435B"/>
    <w:rPr>
      <w:color w:val="605E5C"/>
      <w:shd w:val="clear" w:color="auto" w:fill="E1DFDD"/>
    </w:rPr>
  </w:style>
  <w:style w:type="character" w:styleId="CommentReference">
    <w:name w:val="annotation reference"/>
    <w:basedOn w:val="DefaultParagraphFont"/>
    <w:uiPriority w:val="99"/>
    <w:semiHidden/>
    <w:unhideWhenUsed/>
    <w:rsid w:val="00C23A39"/>
    <w:rPr>
      <w:sz w:val="16"/>
      <w:szCs w:val="16"/>
    </w:rPr>
  </w:style>
  <w:style w:type="paragraph" w:styleId="CommentText">
    <w:name w:val="annotation text"/>
    <w:basedOn w:val="Normal"/>
    <w:link w:val="CommentTextChar"/>
    <w:uiPriority w:val="99"/>
    <w:unhideWhenUsed/>
    <w:rsid w:val="00C23A39"/>
    <w:pPr>
      <w:spacing w:line="240" w:lineRule="auto"/>
    </w:pPr>
    <w:rPr>
      <w:sz w:val="20"/>
      <w:szCs w:val="20"/>
    </w:rPr>
  </w:style>
  <w:style w:type="character" w:customStyle="1" w:styleId="CommentTextChar">
    <w:name w:val="Comment Text Char"/>
    <w:basedOn w:val="DefaultParagraphFont"/>
    <w:link w:val="CommentText"/>
    <w:uiPriority w:val="99"/>
    <w:rsid w:val="00C23A39"/>
    <w:rPr>
      <w:sz w:val="20"/>
      <w:szCs w:val="20"/>
    </w:rPr>
  </w:style>
  <w:style w:type="paragraph" w:styleId="Revision">
    <w:name w:val="Revision"/>
    <w:hidden/>
    <w:uiPriority w:val="99"/>
    <w:semiHidden/>
    <w:rsid w:val="00D851A4"/>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835DCB"/>
    <w:rPr>
      <w:b/>
      <w:bCs/>
    </w:rPr>
  </w:style>
  <w:style w:type="character" w:customStyle="1" w:styleId="CommentSubjectChar">
    <w:name w:val="Comment Subject Char"/>
    <w:basedOn w:val="CommentTextChar"/>
    <w:link w:val="CommentSubject"/>
    <w:uiPriority w:val="99"/>
    <w:semiHidden/>
    <w:rsid w:val="00835DCB"/>
    <w:rPr>
      <w:b/>
      <w:bCs/>
      <w:sz w:val="20"/>
      <w:szCs w:val="20"/>
    </w:rPr>
  </w:style>
  <w:style w:type="paragraph" w:customStyle="1" w:styleId="commi">
    <w:name w:val="commi"/>
    <w:basedOn w:val="Normal"/>
    <w:link w:val="commiChar"/>
    <w:qFormat/>
    <w:rsid w:val="00DC46E3"/>
    <w:pPr>
      <w:tabs>
        <w:tab w:val="left" w:pos="1843"/>
      </w:tabs>
      <w:spacing w:before="120" w:after="120" w:line="240" w:lineRule="auto"/>
    </w:pPr>
    <w:rPr>
      <w:rFonts w:ascii="Montserrat Light" w:eastAsia="Times New Roman" w:hAnsi="Montserrat Light" w:cs="Times New Roman"/>
      <w:kern w:val="0"/>
      <w:sz w:val="32"/>
      <w:szCs w:val="32"/>
      <w:lang w:eastAsia="en-AU"/>
      <w14:ligatures w14:val="none"/>
    </w:rPr>
  </w:style>
  <w:style w:type="character" w:customStyle="1" w:styleId="commiChar">
    <w:name w:val="commi Char"/>
    <w:basedOn w:val="DefaultParagraphFont"/>
    <w:link w:val="commi"/>
    <w:rsid w:val="00DC46E3"/>
    <w:rPr>
      <w:rFonts w:ascii="Montserrat Light" w:eastAsia="Times New Roman" w:hAnsi="Montserrat Light" w:cs="Times New Roman"/>
      <w:kern w:val="0"/>
      <w:sz w:val="32"/>
      <w:szCs w:val="3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e.gov.au/sites/default/files/2024-06/commonwealth-supplier-code-of-conduct.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inance.gov.au/sites/default/files/2025-08/examination-of-pwc-australias-ethical-soundnes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ance.gov.au/sites/default/files/2025-08/examination-of-pwc-australias-ethical-soundness.pdf"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finance.gov.au/government/procurement/commonwealth-supplier-code-conduct/commonwealth-supplier-code-conduct-guidance-commonwealth-entities" TargetMode="External"/><Relationship Id="rId4" Type="http://schemas.openxmlformats.org/officeDocument/2006/relationships/webSettings" Target="webSettings.xml"/><Relationship Id="rId9" Type="http://schemas.openxmlformats.org/officeDocument/2006/relationships/hyperlink" Target="https://www.finance.gov.au/government/procurement/commonwealth-supplier-code-conduct/commonwealth-supplier-code-conduc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sites/default/files/2025-08/examination-of-pwc-australias-ethical-soundnes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CF0914E3A4BA2B7756B71CF189B06"/>
        <w:category>
          <w:name w:val="General"/>
          <w:gallery w:val="placeholder"/>
        </w:category>
        <w:types>
          <w:type w:val="bbPlcHdr"/>
        </w:types>
        <w:behaviors>
          <w:behavior w:val="content"/>
        </w:behaviors>
        <w:guid w:val="{1F60F737-6059-4D74-BABE-F1D25B798BDE}"/>
      </w:docPartPr>
      <w:docPartBody>
        <w:p w:rsidR="00B325AF" w:rsidRDefault="00B325AF" w:rsidP="00B325AF">
          <w:pPr>
            <w:pStyle w:val="797CF0914E3A4BA2B7756B71CF189B06"/>
          </w:pPr>
          <w:r>
            <w:rPr>
              <w:rFonts w:ascii="Montserrat Light" w:hAnsi="Montserrat Light"/>
              <w:sz w:val="32"/>
              <w:szCs w:val="32"/>
            </w:rPr>
            <w:t>Report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Light">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AF"/>
    <w:rsid w:val="006E71E3"/>
    <w:rsid w:val="008C3D9E"/>
    <w:rsid w:val="00B325AF"/>
    <w:rsid w:val="00DC62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CF0914E3A4BA2B7756B71CF189B06">
    <w:name w:val="797CF0914E3A4BA2B7756B71CF189B06"/>
    <w:rsid w:val="00B32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1359</Words>
  <Characters>7951</Characters>
  <Application>Microsoft Office Word</Application>
  <DocSecurity>0</DocSecurity>
  <Lines>138</Lines>
  <Paragraphs>54</Paragraphs>
  <ScaleCrop>false</ScaleCrop>
  <HeadingPairs>
    <vt:vector size="2" baseType="variant">
      <vt:variant>
        <vt:lpstr>Title</vt:lpstr>
      </vt:variant>
      <vt:variant>
        <vt:i4>1</vt:i4>
      </vt:variant>
    </vt:vector>
  </HeadingPairs>
  <TitlesOfParts>
    <vt:vector size="1" baseType="lpstr">
      <vt:lpstr>Australian Government response – Ethics and Professional Accountability: Structural Challenges in the Audit, Assurance and Consultancy Industry</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 Ethics and Professional Accountability: Structural Challenges in the Audit, Assurance and Consultancy Industry</dc:title>
  <dc:subject/>
  <dc:creator/>
  <cp:keywords/>
  <dc:description/>
  <cp:lastModifiedBy/>
  <cp:revision>1</cp:revision>
  <dcterms:created xsi:type="dcterms:W3CDTF">2026-02-02T03:36:00Z</dcterms:created>
  <dcterms:modified xsi:type="dcterms:W3CDTF">2026-02-02T03:36:00Z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2026-02-02T03:37:03Z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238ebd5e-01b3-41ba-98f5-f349abe268f0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