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2D6E" w14:textId="163F912C" w:rsidR="00986A46" w:rsidRPr="006E76BE" w:rsidRDefault="00402916" w:rsidP="00402916">
      <w:pPr>
        <w:pStyle w:val="Factsheettitle"/>
        <w:spacing w:before="1920" w:after="0"/>
      </w:pPr>
      <w:r w:rsidRPr="00402916">
        <w:t>Gender Pay Gap Employer</w:t>
      </w:r>
      <w:r>
        <w:t> </w:t>
      </w:r>
      <w:r w:rsidRPr="00402916">
        <w:t>Statement</w:t>
      </w:r>
    </w:p>
    <w:p w14:paraId="2F71F756" w14:textId="5FCC4B90" w:rsidR="00E813BB" w:rsidRPr="0049223D" w:rsidRDefault="00E813BB" w:rsidP="00351DC7">
      <w:pPr>
        <w:pStyle w:val="Line"/>
        <w:spacing w:before="260" w:after="700"/>
      </w:pPr>
    </w:p>
    <w:tbl>
      <w:tblPr>
        <w:tblStyle w:val="BlueBox"/>
        <w:tblW w:w="5000" w:type="pct"/>
        <w:tblCellMar>
          <w:left w:w="284" w:type="dxa"/>
        </w:tblCellMar>
        <w:tblLook w:val="01E0" w:firstRow="1" w:lastRow="1" w:firstColumn="1" w:lastColumn="1" w:noHBand="0" w:noVBand="0"/>
      </w:tblPr>
      <w:tblGrid>
        <w:gridCol w:w="8504"/>
      </w:tblGrid>
      <w:tr w:rsidR="007F53C0" w14:paraId="014BAB20" w14:textId="77777777" w:rsidTr="00402916">
        <w:tc>
          <w:tcPr>
            <w:tcW w:w="5000" w:type="pct"/>
          </w:tcPr>
          <w:p w14:paraId="0E6CDF1B" w14:textId="3CC194EB" w:rsidR="00402916" w:rsidRPr="00512DF1" w:rsidRDefault="00402916" w:rsidP="00402916">
            <w:r w:rsidRPr="00512DF1">
              <w:t xml:space="preserve">Treasury supports the Workplace Gender Equality Agency (WGEA) public sector reporting program in promoting transparency and accountability in workplace gender equality. </w:t>
            </w:r>
          </w:p>
          <w:p w14:paraId="01B7B57A" w14:textId="77777777" w:rsidR="00402916" w:rsidRPr="00512DF1" w:rsidRDefault="00402916" w:rsidP="00402916">
            <w:r w:rsidRPr="00512DF1">
              <w:t>The 2025 Gender Pay Gap Employer Statement (the Statement) was endorsed by Treasury’s</w:t>
            </w:r>
            <w:r>
              <w:t> </w:t>
            </w:r>
            <w:r w:rsidRPr="00512DF1">
              <w:t xml:space="preserve">Secretary, Jenny Wilkinson in February 2026. </w:t>
            </w:r>
          </w:p>
          <w:p w14:paraId="292EBE6A" w14:textId="0CB2C071" w:rsidR="007F53C0" w:rsidRPr="00BA123B" w:rsidRDefault="00402916" w:rsidP="00402916">
            <w:r w:rsidRPr="00512DF1">
              <w:t>This Statement reaffirms Treasury’s commitment to a fair, inclusive and respectful workplace</w:t>
            </w:r>
            <w:r>
              <w:t> </w:t>
            </w:r>
            <w:r w:rsidRPr="00512DF1">
              <w:t>where all employees have equitable access to opportunities and outcomes.</w:t>
            </w:r>
          </w:p>
        </w:tc>
      </w:tr>
    </w:tbl>
    <w:p w14:paraId="66AD03EB" w14:textId="77777777" w:rsidR="00402916" w:rsidRPr="00C02001" w:rsidRDefault="00F804E0" w:rsidP="00402916">
      <w:pPr>
        <w:pStyle w:val="Heading1"/>
        <w:spacing w:after="360"/>
      </w:pPr>
      <w:r>
        <w:br w:type="page"/>
      </w:r>
      <w:r w:rsidR="00402916">
        <w:lastRenderedPageBreak/>
        <w:t xml:space="preserve">2025 </w:t>
      </w:r>
      <w:r w:rsidR="00402916" w:rsidRPr="005C24B9">
        <w:t xml:space="preserve">Gender Pay Gap </w:t>
      </w:r>
      <w:r w:rsidR="00402916" w:rsidRPr="002A7097">
        <w:t>Employer</w:t>
      </w:r>
      <w:r w:rsidR="00402916" w:rsidRPr="005C24B9">
        <w:t xml:space="preserve"> </w:t>
      </w:r>
      <w:r w:rsidR="00402916" w:rsidRPr="0021443E">
        <w:t>Statement</w:t>
      </w:r>
    </w:p>
    <w:p w14:paraId="167C3A7F" w14:textId="41C6A768" w:rsidR="00402916" w:rsidRDefault="00402916" w:rsidP="00402916">
      <w:r w:rsidRPr="00061CB9">
        <w:t xml:space="preserve">Treasury </w:t>
      </w:r>
      <w:r w:rsidRPr="00061CB9" w:rsidDel="00024E5B">
        <w:t>is committed to</w:t>
      </w:r>
      <w:r w:rsidDel="00024E5B">
        <w:t xml:space="preserve"> </w:t>
      </w:r>
      <w:r>
        <w:t>fostering a</w:t>
      </w:r>
      <w:r w:rsidRPr="00061CB9">
        <w:t xml:space="preserve"> trusted, responsive</w:t>
      </w:r>
      <w:r>
        <w:t xml:space="preserve"> </w:t>
      </w:r>
      <w:r w:rsidRPr="00061CB9">
        <w:t>and ethical workforce</w:t>
      </w:r>
      <w:r>
        <w:t>. This commitment reflects Treasury’s ongoing dedication to ensuring employees are treated fairly, equitably and with respect.</w:t>
      </w:r>
    </w:p>
    <w:p w14:paraId="5066EA98" w14:textId="16F0078B" w:rsidR="00402916" w:rsidRDefault="00402916" w:rsidP="00402916">
      <w:r>
        <w:t>Our female representation has been sustained over time and this continued in 2025 at 54 per cent as outlined in Chart 1.</w:t>
      </w:r>
      <w:r w:rsidR="0099003B">
        <w:t xml:space="preserve"> </w:t>
      </w:r>
      <w:r>
        <w:t xml:space="preserve">At Treasury, we are also proud to have continued to achieve gender balance at the Senior Executive Service (SES) level, with women comprising </w:t>
      </w:r>
      <w:r w:rsidRPr="00474260">
        <w:t>53</w:t>
      </w:r>
      <w:r>
        <w:t> </w:t>
      </w:r>
      <w:r w:rsidRPr="00474260">
        <w:t>per</w:t>
      </w:r>
      <w:r>
        <w:t> </w:t>
      </w:r>
      <w:r w:rsidRPr="00474260">
        <w:t xml:space="preserve">cent </w:t>
      </w:r>
      <w:r>
        <w:t xml:space="preserve">of this cohort </w:t>
      </w:r>
      <w:r w:rsidRPr="00474260">
        <w:t>as of December</w:t>
      </w:r>
      <w:r>
        <w:t> 2025.</w:t>
      </w:r>
    </w:p>
    <w:p w14:paraId="2D0E78CC" w14:textId="77777777" w:rsidR="00402916" w:rsidRPr="00C23B3A" w:rsidRDefault="00402916" w:rsidP="00402916">
      <w:pPr>
        <w:pStyle w:val="ChartMainHeading"/>
        <w:spacing w:before="360"/>
      </w:pPr>
      <w:r>
        <w:t>Chart</w:t>
      </w:r>
      <w:r w:rsidRPr="00C23B3A">
        <w:t xml:space="preserve"> </w:t>
      </w:r>
      <w:r>
        <w:t>1</w:t>
      </w:r>
      <w:r w:rsidRPr="00C23B3A">
        <w:t xml:space="preserve">: Treasury’s </w:t>
      </w:r>
      <w:r w:rsidRPr="0082156E">
        <w:t>gender</w:t>
      </w:r>
      <w:r w:rsidRPr="00C23B3A">
        <w:t xml:space="preserve"> profile</w:t>
      </w:r>
    </w:p>
    <w:p w14:paraId="1F3CF424" w14:textId="77777777" w:rsidR="00402916" w:rsidRDefault="00402916" w:rsidP="00402916">
      <w:pPr>
        <w:pStyle w:val="ChartGraphic"/>
      </w:pPr>
      <w:r w:rsidRPr="00780205">
        <w:rPr>
          <w:noProof/>
        </w:rPr>
        <w:drawing>
          <wp:inline distT="0" distB="0" distL="0" distR="0" wp14:anchorId="7709D5B0" wp14:editId="7A65C03F">
            <wp:extent cx="5400000" cy="2520000"/>
            <wp:effectExtent l="0" t="0" r="10795" b="13970"/>
            <wp:docPr id="1506660740" name="Chart 2" descr="Grouped bar chart showing the percentage of female and male Treasury employees from 2021 to 2025. For females, the percentages are 53% in 2021, 52% in 2022, 53% in 2023, 53% in 2024, and 54% in 2025. For males, the percentages are 47% in 2021, 48% in 2022, 47% in 2023, 47% in 2024, and 46% in 2025. Female representation is consistently higher across all years, with a slight upward trend over tim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6ECE3E" w14:textId="77777777" w:rsidR="00402916" w:rsidRDefault="00402916" w:rsidP="00402916">
      <w:pPr>
        <w:pStyle w:val="SingleParagraph"/>
      </w:pPr>
    </w:p>
    <w:p w14:paraId="0AD70C91" w14:textId="0AD2B890" w:rsidR="00402916" w:rsidRDefault="00402916" w:rsidP="00402916">
      <w:r w:rsidRPr="00C23B3A">
        <w:t xml:space="preserve">As of 31 December 2024, </w:t>
      </w:r>
      <w:r>
        <w:t xml:space="preserve">the </w:t>
      </w:r>
      <w:r w:rsidRPr="00C23B3A">
        <w:t>W</w:t>
      </w:r>
      <w:r>
        <w:t>orkplace Gender Equality Agency (W</w:t>
      </w:r>
      <w:r w:rsidRPr="00C23B3A">
        <w:t>GEA</w:t>
      </w:r>
      <w:r>
        <w:t xml:space="preserve">) </w:t>
      </w:r>
      <w:r w:rsidRPr="00C23B3A">
        <w:t>calculat</w:t>
      </w:r>
      <w:r>
        <w:t xml:space="preserve">ed </w:t>
      </w:r>
      <w:r w:rsidRPr="00C23B3A">
        <w:t xml:space="preserve">Treasury’s average total remuneration gender pay gap </w:t>
      </w:r>
      <w:r>
        <w:t>at</w:t>
      </w:r>
      <w:r w:rsidRPr="00C23B3A">
        <w:t xml:space="preserve"> </w:t>
      </w:r>
      <w:r w:rsidRPr="00AF6D07">
        <w:rPr>
          <w:rStyle w:val="Strong"/>
        </w:rPr>
        <w:t>3.4 per cent</w:t>
      </w:r>
      <w:r>
        <w:rPr>
          <w:b/>
          <w:bCs/>
        </w:rPr>
        <w:t xml:space="preserve"> </w:t>
      </w:r>
      <w:r w:rsidRPr="00AF6D07">
        <w:t>–</w:t>
      </w:r>
      <w:r>
        <w:rPr>
          <w:b/>
          <w:bCs/>
        </w:rPr>
        <w:t xml:space="preserve"> </w:t>
      </w:r>
      <w:r w:rsidRPr="005A433B">
        <w:t>this is</w:t>
      </w:r>
      <w:r w:rsidRPr="00AF6D07">
        <w:t xml:space="preserve"> </w:t>
      </w:r>
      <w:r w:rsidRPr="00AF6D07">
        <w:rPr>
          <w:rStyle w:val="Strong"/>
        </w:rPr>
        <w:t>1.3 percentage points</w:t>
      </w:r>
      <w:r>
        <w:t xml:space="preserve"> better than </w:t>
      </w:r>
      <w:r w:rsidRPr="005C24B9">
        <w:t>comparable agencies</w:t>
      </w:r>
      <w:r>
        <w:t xml:space="preserve"> of similar size (1,000 to 4,999 employees)</w:t>
      </w:r>
      <w:r w:rsidRPr="005C24B9">
        <w:t xml:space="preserve">, </w:t>
      </w:r>
      <w:r>
        <w:t xml:space="preserve">reflecting Treasury’s strong performance, </w:t>
      </w:r>
      <w:r w:rsidRPr="00C23B3A">
        <w:t xml:space="preserve">represented in </w:t>
      </w:r>
      <w:r>
        <w:t>Chart 2.</w:t>
      </w:r>
      <w:r w:rsidR="008F4D8F">
        <w:t xml:space="preserve"> </w:t>
      </w:r>
      <w:r w:rsidR="001F2F7C">
        <w:t>The 2024 outcome</w:t>
      </w:r>
      <w:r w:rsidR="00FE33A8">
        <w:t xml:space="preserve"> </w:t>
      </w:r>
      <w:r w:rsidR="001F2F7C">
        <w:t xml:space="preserve">is </w:t>
      </w:r>
      <w:r w:rsidR="009510AB">
        <w:t xml:space="preserve">broadly similar </w:t>
      </w:r>
      <w:r w:rsidR="000A54C7">
        <w:t xml:space="preserve">to </w:t>
      </w:r>
      <w:r w:rsidR="00337E71">
        <w:t xml:space="preserve">the 2023 outcome, after </w:t>
      </w:r>
      <w:r w:rsidR="00B30F1D">
        <w:t>controlling</w:t>
      </w:r>
      <w:r w:rsidR="00337E71">
        <w:t xml:space="preserve"> for the</w:t>
      </w:r>
      <w:r w:rsidR="00B30F1D">
        <w:t xml:space="preserve"> </w:t>
      </w:r>
      <w:r>
        <w:t>change in the calculation methodology</w:t>
      </w:r>
      <w:r w:rsidR="000A54C7">
        <w:t xml:space="preserve">. </w:t>
      </w:r>
    </w:p>
    <w:p w14:paraId="5712F824" w14:textId="77777777" w:rsidR="00402916" w:rsidRPr="0082156E" w:rsidRDefault="00402916" w:rsidP="00402916">
      <w:pPr>
        <w:pStyle w:val="ChartMainHeading"/>
      </w:pPr>
      <w:r>
        <w:lastRenderedPageBreak/>
        <w:t>Chart</w:t>
      </w:r>
      <w:r w:rsidRPr="4E33F0C5">
        <w:t xml:space="preserve"> </w:t>
      </w:r>
      <w:r>
        <w:t>2</w:t>
      </w:r>
      <w:r w:rsidRPr="008D4AB2">
        <w:t>: Treasury compared to other agencies of similar size</w:t>
      </w:r>
      <w:r>
        <w:t xml:space="preserve"> (1,000 to 4,999 employees)</w:t>
      </w:r>
    </w:p>
    <w:p w14:paraId="0DC65F9D" w14:textId="77777777" w:rsidR="00402916" w:rsidRDefault="00402916" w:rsidP="00402916">
      <w:pPr>
        <w:pStyle w:val="ChartGraphic"/>
      </w:pPr>
      <w:r>
        <w:rPr>
          <w:noProof/>
        </w:rPr>
        <w:drawing>
          <wp:inline distT="0" distB="0" distL="0" distR="0" wp14:anchorId="3539DDB6" wp14:editId="203EA7E8">
            <wp:extent cx="5400000" cy="2520000"/>
            <wp:effectExtent l="0" t="0" r="10795" b="13970"/>
            <wp:docPr id="2135129971" name="Chart 1" descr="Bar chart comparing Treasury’s Gender Pay Gap figure to similar sized agencies. Treasury reports 3.4%, while similar agencies report 4.7%. The bar for similar agencies is higher, indicating a larger Gender Pay Gap percentage compared to Treasury.">
              <a:extLst xmlns:a="http://schemas.openxmlformats.org/drawingml/2006/main">
                <a:ext uri="{FF2B5EF4-FFF2-40B4-BE49-F238E27FC236}">
                  <a16:creationId xmlns:a16="http://schemas.microsoft.com/office/drawing/2014/main" id="{08C32FC5-C854-FB49-E70A-2B209E7B50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4EB80B" w14:textId="77777777" w:rsidR="00402916" w:rsidRPr="00C02001" w:rsidRDefault="00402916" w:rsidP="00402916">
      <w:pPr>
        <w:pStyle w:val="SingleParagraph"/>
      </w:pPr>
    </w:p>
    <w:p w14:paraId="7CEE9FA5" w14:textId="7D4F7754" w:rsidR="00F804E0" w:rsidRDefault="000F518A" w:rsidP="00402916">
      <w:r>
        <w:t xml:space="preserve">Through </w:t>
      </w:r>
      <w:r w:rsidR="00402916" w:rsidRPr="00D90ACB">
        <w:t>sustained action</w:t>
      </w:r>
      <w:r w:rsidR="009A13FA">
        <w:t>, we will</w:t>
      </w:r>
      <w:r w:rsidR="00AF4C9D">
        <w:t xml:space="preserve"> work</w:t>
      </w:r>
      <w:r w:rsidR="00402916" w:rsidRPr="00D90ACB">
        <w:t xml:space="preserve"> to improve our performance against the 6 gender equality indicators under the </w:t>
      </w:r>
      <w:hyperlink r:id="rId9" w:history="1">
        <w:r w:rsidR="00402916" w:rsidRPr="00D90ACB">
          <w:rPr>
            <w:rStyle w:val="Hyperlink"/>
            <w:i/>
            <w:iCs/>
          </w:rPr>
          <w:t>Workplace Gender Equality Act 2012</w:t>
        </w:r>
      </w:hyperlink>
      <w:r w:rsidR="00402916" w:rsidRPr="00D90ACB">
        <w:rPr>
          <w:i/>
          <w:iCs/>
        </w:rPr>
        <w:t>,</w:t>
      </w:r>
      <w:r w:rsidR="00402916">
        <w:rPr>
          <w:i/>
          <w:iCs/>
        </w:rPr>
        <w:t xml:space="preserve"> </w:t>
      </w:r>
      <w:r w:rsidR="00402916">
        <w:t>guided by</w:t>
      </w:r>
      <w:r w:rsidR="00402916" w:rsidRPr="00F156CC">
        <w:t xml:space="preserve"> </w:t>
      </w:r>
      <w:r w:rsidR="00402916">
        <w:t>Treasury’s</w:t>
      </w:r>
      <w:r w:rsidR="00402916" w:rsidRPr="00041D66">
        <w:t xml:space="preserve"> </w:t>
      </w:r>
      <w:r w:rsidR="00402916" w:rsidRPr="00EB4251">
        <w:rPr>
          <w:i/>
          <w:iCs/>
        </w:rPr>
        <w:t>Strategic Workforce Plan</w:t>
      </w:r>
      <w:r w:rsidR="009A13FA">
        <w:rPr>
          <w:i/>
          <w:iCs/>
        </w:rPr>
        <w:t>.</w:t>
      </w:r>
      <w:r w:rsidR="00402916">
        <w:t xml:space="preserve"> </w:t>
      </w:r>
      <w:r w:rsidR="006878CA">
        <w:t>G</w:t>
      </w:r>
      <w:r w:rsidR="00402916">
        <w:t xml:space="preserve">ender equity is embedded as business as usual into our policies, practices and culture, ultimately ensuring equal access to opportunities, leadership and career development. Our commitment to action continues to </w:t>
      </w:r>
      <w:r w:rsidR="00402916" w:rsidRPr="007B69C4">
        <w:t xml:space="preserve">build a </w:t>
      </w:r>
      <w:r w:rsidR="00402916">
        <w:t>diverse and inclusive workforce</w:t>
      </w:r>
      <w:r w:rsidR="00402916" w:rsidRPr="007B69C4">
        <w:t xml:space="preserve"> reflect</w:t>
      </w:r>
      <w:r w:rsidR="00402916">
        <w:t>ing</w:t>
      </w:r>
      <w:r w:rsidR="00402916" w:rsidRPr="007B69C4">
        <w:t xml:space="preserve"> the community we serve and empower</w:t>
      </w:r>
      <w:r w:rsidR="00402916">
        <w:t>ing</w:t>
      </w:r>
      <w:r w:rsidR="00402916" w:rsidRPr="007B69C4">
        <w:t xml:space="preserve"> all employees to reach their full potential.</w:t>
      </w:r>
    </w:p>
    <w:sectPr w:rsidR="00F804E0" w:rsidSect="00944D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021" w:left="1701" w:header="567" w:footer="24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6F26" w14:textId="77777777" w:rsidR="0024040C" w:rsidRDefault="0024040C" w:rsidP="00886BC4">
      <w:r>
        <w:separator/>
      </w:r>
    </w:p>
    <w:p w14:paraId="3AE0AE77" w14:textId="77777777" w:rsidR="0024040C" w:rsidRDefault="0024040C"/>
  </w:endnote>
  <w:endnote w:type="continuationSeparator" w:id="0">
    <w:p w14:paraId="70024131" w14:textId="77777777" w:rsidR="0024040C" w:rsidRDefault="0024040C" w:rsidP="00886BC4">
      <w:r>
        <w:continuationSeparator/>
      </w:r>
    </w:p>
    <w:p w14:paraId="218BD6A9" w14:textId="77777777" w:rsidR="0024040C" w:rsidRDefault="0024040C"/>
  </w:endnote>
  <w:endnote w:type="continuationNotice" w:id="1">
    <w:p w14:paraId="5BF8E1AE" w14:textId="77777777" w:rsidR="0024040C" w:rsidRDefault="00240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393" w14:textId="21F867A9" w:rsidR="00A15DB7" w:rsidRPr="00402916" w:rsidRDefault="00402916" w:rsidP="00402916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06A9379A" wp14:editId="24C6B2EA">
          <wp:extent cx="1324800" cy="201600"/>
          <wp:effectExtent l="0" t="0" r="0" b="8255"/>
          <wp:docPr id="1223626469" name="Picture 12236264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177FD8" w:rsidRPr="00177FD8">
        <w:rPr>
          <w:noProof/>
          <w:lang w:val="en-US"/>
        </w:rPr>
        <w:t>2025 Gender Pay Gap Employer Statement</w:t>
      </w:r>
    </w:fldSimple>
    <w:r w:rsidR="00E47ED6">
      <w:rPr>
        <w:noProof/>
        <w:lang w:val="en-US"/>
      </w:rPr>
      <w:t xml:space="preserve"> 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836D" w14:textId="5D9684FC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3470FEE2" wp14:editId="6DEEED74">
          <wp:extent cx="1324800" cy="201600"/>
          <wp:effectExtent l="0" t="0" r="0" b="8255"/>
          <wp:docPr id="62459406" name="Picture 624594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fldSimple w:instr=" STYLEREF  &quot;Heading 1&quot;  \* MERGEFORMAT ">
      <w:r w:rsidR="00177FD8" w:rsidRPr="00177FD8">
        <w:rPr>
          <w:noProof/>
          <w:lang w:val="en-US"/>
        </w:rPr>
        <w:t>2025 Gender Pay Gap Employer Statement</w:t>
      </w:r>
    </w:fldSimple>
    <w:r w:rsidR="00E47ED6">
      <w:rPr>
        <w:noProof/>
        <w:lang w:val="en-US"/>
      </w:rPr>
      <w:t xml:space="preserve"> </w:t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3F2E" w14:textId="77777777" w:rsidR="0024040C" w:rsidRDefault="0024040C" w:rsidP="00886BC4">
      <w:r>
        <w:separator/>
      </w:r>
    </w:p>
    <w:p w14:paraId="0BDFD315" w14:textId="77777777" w:rsidR="0024040C" w:rsidRDefault="0024040C"/>
  </w:footnote>
  <w:footnote w:type="continuationSeparator" w:id="0">
    <w:p w14:paraId="47B1E74F" w14:textId="77777777" w:rsidR="0024040C" w:rsidRDefault="0024040C" w:rsidP="00886BC4">
      <w:r>
        <w:continuationSeparator/>
      </w:r>
    </w:p>
    <w:p w14:paraId="0F03A163" w14:textId="77777777" w:rsidR="0024040C" w:rsidRDefault="0024040C"/>
  </w:footnote>
  <w:footnote w:type="continuationNotice" w:id="1">
    <w:p w14:paraId="20E8D1B3" w14:textId="77777777" w:rsidR="0024040C" w:rsidRDefault="00240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3109" w14:textId="7EA18AE1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2856E151" wp14:editId="280EB4B9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2947732" name="Picture 2029477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ED6" w:rsidRPr="007F53C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D0ED" w14:textId="77777777" w:rsidR="00436B1F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61F8CFEC" wp14:editId="214D7AE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1385249201" name="Picture 1385249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B55B3"/>
    <w:multiLevelType w:val="hybridMultilevel"/>
    <w:tmpl w:val="9E5CAD34"/>
    <w:lvl w:ilvl="0" w:tplc="73E21C8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8"/>
  </w:num>
  <w:num w:numId="3" w16cid:durableId="1889341095">
    <w:abstractNumId w:val="6"/>
  </w:num>
  <w:num w:numId="4" w16cid:durableId="216212289">
    <w:abstractNumId w:val="7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5"/>
  </w:num>
  <w:num w:numId="10" w16cid:durableId="74187826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402916"/>
    <w:rsid w:val="000065A7"/>
    <w:rsid w:val="00016670"/>
    <w:rsid w:val="00016B6C"/>
    <w:rsid w:val="0001775E"/>
    <w:rsid w:val="0002151A"/>
    <w:rsid w:val="00033942"/>
    <w:rsid w:val="000421F9"/>
    <w:rsid w:val="00045C24"/>
    <w:rsid w:val="00060C76"/>
    <w:rsid w:val="0006371E"/>
    <w:rsid w:val="00067E65"/>
    <w:rsid w:val="000753CE"/>
    <w:rsid w:val="000A4D2D"/>
    <w:rsid w:val="000A54C7"/>
    <w:rsid w:val="000A7054"/>
    <w:rsid w:val="000B1EC3"/>
    <w:rsid w:val="000B3C90"/>
    <w:rsid w:val="000C02C9"/>
    <w:rsid w:val="000C5278"/>
    <w:rsid w:val="000C7DEE"/>
    <w:rsid w:val="000D33F2"/>
    <w:rsid w:val="000D5B01"/>
    <w:rsid w:val="000D7D2F"/>
    <w:rsid w:val="000E324C"/>
    <w:rsid w:val="000F2493"/>
    <w:rsid w:val="000F2562"/>
    <w:rsid w:val="000F33C9"/>
    <w:rsid w:val="000F518A"/>
    <w:rsid w:val="00102238"/>
    <w:rsid w:val="00105EBE"/>
    <w:rsid w:val="001145FD"/>
    <w:rsid w:val="00115B2E"/>
    <w:rsid w:val="0011628E"/>
    <w:rsid w:val="00123537"/>
    <w:rsid w:val="001363E7"/>
    <w:rsid w:val="001376CC"/>
    <w:rsid w:val="00140697"/>
    <w:rsid w:val="0014178A"/>
    <w:rsid w:val="00144B84"/>
    <w:rsid w:val="00166A45"/>
    <w:rsid w:val="00174954"/>
    <w:rsid w:val="00177FD8"/>
    <w:rsid w:val="00182545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2C3B"/>
    <w:rsid w:val="001F2F7C"/>
    <w:rsid w:val="001F50DA"/>
    <w:rsid w:val="001F6886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040C"/>
    <w:rsid w:val="00241B9A"/>
    <w:rsid w:val="0024226F"/>
    <w:rsid w:val="00244966"/>
    <w:rsid w:val="00245342"/>
    <w:rsid w:val="002462BD"/>
    <w:rsid w:val="00260712"/>
    <w:rsid w:val="00263339"/>
    <w:rsid w:val="00264180"/>
    <w:rsid w:val="002809F6"/>
    <w:rsid w:val="00283303"/>
    <w:rsid w:val="00287F32"/>
    <w:rsid w:val="0029134D"/>
    <w:rsid w:val="002932BE"/>
    <w:rsid w:val="002978C8"/>
    <w:rsid w:val="002A0B32"/>
    <w:rsid w:val="002A4B83"/>
    <w:rsid w:val="002A6430"/>
    <w:rsid w:val="002A79C5"/>
    <w:rsid w:val="002B7DFA"/>
    <w:rsid w:val="002C26D9"/>
    <w:rsid w:val="002D49D1"/>
    <w:rsid w:val="002F417B"/>
    <w:rsid w:val="002F6ADC"/>
    <w:rsid w:val="00300C95"/>
    <w:rsid w:val="003054A8"/>
    <w:rsid w:val="00306770"/>
    <w:rsid w:val="00307DA3"/>
    <w:rsid w:val="00327D31"/>
    <w:rsid w:val="003305CA"/>
    <w:rsid w:val="00337E71"/>
    <w:rsid w:val="0034064A"/>
    <w:rsid w:val="0034564D"/>
    <w:rsid w:val="00351DC7"/>
    <w:rsid w:val="00353390"/>
    <w:rsid w:val="00357842"/>
    <w:rsid w:val="0036145D"/>
    <w:rsid w:val="00372AC1"/>
    <w:rsid w:val="003802F4"/>
    <w:rsid w:val="003831AB"/>
    <w:rsid w:val="00390C06"/>
    <w:rsid w:val="003A63D1"/>
    <w:rsid w:val="003B1315"/>
    <w:rsid w:val="003C047D"/>
    <w:rsid w:val="003C4F86"/>
    <w:rsid w:val="003C789B"/>
    <w:rsid w:val="003E26C5"/>
    <w:rsid w:val="003F2E2F"/>
    <w:rsid w:val="003F424B"/>
    <w:rsid w:val="00402916"/>
    <w:rsid w:val="00406518"/>
    <w:rsid w:val="00425E05"/>
    <w:rsid w:val="00436B1F"/>
    <w:rsid w:val="00442C7E"/>
    <w:rsid w:val="00450CCE"/>
    <w:rsid w:val="004542B7"/>
    <w:rsid w:val="004546DC"/>
    <w:rsid w:val="00463D4E"/>
    <w:rsid w:val="00470BA0"/>
    <w:rsid w:val="00473804"/>
    <w:rsid w:val="0047507F"/>
    <w:rsid w:val="00477439"/>
    <w:rsid w:val="00485A3D"/>
    <w:rsid w:val="00486B7C"/>
    <w:rsid w:val="00490C62"/>
    <w:rsid w:val="0049223D"/>
    <w:rsid w:val="00494A40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B6F1A"/>
    <w:rsid w:val="004C5917"/>
    <w:rsid w:val="004C5E48"/>
    <w:rsid w:val="004D0778"/>
    <w:rsid w:val="004D75F6"/>
    <w:rsid w:val="004E424B"/>
    <w:rsid w:val="004E71FE"/>
    <w:rsid w:val="004F24D0"/>
    <w:rsid w:val="00502A80"/>
    <w:rsid w:val="00502E10"/>
    <w:rsid w:val="00505009"/>
    <w:rsid w:val="00506BF4"/>
    <w:rsid w:val="00507097"/>
    <w:rsid w:val="0051600D"/>
    <w:rsid w:val="00516FB2"/>
    <w:rsid w:val="00523917"/>
    <w:rsid w:val="00524DCE"/>
    <w:rsid w:val="00525050"/>
    <w:rsid w:val="0053110F"/>
    <w:rsid w:val="00533FEF"/>
    <w:rsid w:val="00535C81"/>
    <w:rsid w:val="005375E4"/>
    <w:rsid w:val="00546D8E"/>
    <w:rsid w:val="00546FDD"/>
    <w:rsid w:val="00551340"/>
    <w:rsid w:val="00560106"/>
    <w:rsid w:val="005606FD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5D1"/>
    <w:rsid w:val="005B0968"/>
    <w:rsid w:val="005B207E"/>
    <w:rsid w:val="005B2484"/>
    <w:rsid w:val="005B3871"/>
    <w:rsid w:val="005B603C"/>
    <w:rsid w:val="005B659D"/>
    <w:rsid w:val="005B6B98"/>
    <w:rsid w:val="005C1326"/>
    <w:rsid w:val="005C3527"/>
    <w:rsid w:val="005C3A3E"/>
    <w:rsid w:val="005C4B02"/>
    <w:rsid w:val="005E62D6"/>
    <w:rsid w:val="005F0FBF"/>
    <w:rsid w:val="006014A0"/>
    <w:rsid w:val="00614971"/>
    <w:rsid w:val="00627218"/>
    <w:rsid w:val="006355D1"/>
    <w:rsid w:val="00635DD4"/>
    <w:rsid w:val="00637692"/>
    <w:rsid w:val="0064704A"/>
    <w:rsid w:val="00660695"/>
    <w:rsid w:val="006673C3"/>
    <w:rsid w:val="006878CA"/>
    <w:rsid w:val="006916AD"/>
    <w:rsid w:val="00693508"/>
    <w:rsid w:val="00694B4F"/>
    <w:rsid w:val="00695D45"/>
    <w:rsid w:val="006A118D"/>
    <w:rsid w:val="006A3972"/>
    <w:rsid w:val="006A3C17"/>
    <w:rsid w:val="006A712D"/>
    <w:rsid w:val="006B5949"/>
    <w:rsid w:val="006C12FC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08ED"/>
    <w:rsid w:val="0071651E"/>
    <w:rsid w:val="00717216"/>
    <w:rsid w:val="00722F56"/>
    <w:rsid w:val="007343B8"/>
    <w:rsid w:val="00736715"/>
    <w:rsid w:val="0074696C"/>
    <w:rsid w:val="007600FA"/>
    <w:rsid w:val="0076093D"/>
    <w:rsid w:val="00761DA0"/>
    <w:rsid w:val="007622D7"/>
    <w:rsid w:val="007825F2"/>
    <w:rsid w:val="00784A3C"/>
    <w:rsid w:val="00793BD7"/>
    <w:rsid w:val="0079466D"/>
    <w:rsid w:val="007A4195"/>
    <w:rsid w:val="007A6E4D"/>
    <w:rsid w:val="007B0678"/>
    <w:rsid w:val="007B6953"/>
    <w:rsid w:val="007B7784"/>
    <w:rsid w:val="007B78E5"/>
    <w:rsid w:val="007C1094"/>
    <w:rsid w:val="007C3CD0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03ACF"/>
    <w:rsid w:val="00812D67"/>
    <w:rsid w:val="008139FB"/>
    <w:rsid w:val="00816ED9"/>
    <w:rsid w:val="00831D8A"/>
    <w:rsid w:val="0083216A"/>
    <w:rsid w:val="0084311F"/>
    <w:rsid w:val="00847719"/>
    <w:rsid w:val="00852D0E"/>
    <w:rsid w:val="00854B37"/>
    <w:rsid w:val="008616B9"/>
    <w:rsid w:val="0088159C"/>
    <w:rsid w:val="0088211A"/>
    <w:rsid w:val="008824BE"/>
    <w:rsid w:val="00884F56"/>
    <w:rsid w:val="008854F6"/>
    <w:rsid w:val="00886667"/>
    <w:rsid w:val="00886BC4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E0180"/>
    <w:rsid w:val="008E04BD"/>
    <w:rsid w:val="008E0608"/>
    <w:rsid w:val="008E35A5"/>
    <w:rsid w:val="008F0B15"/>
    <w:rsid w:val="008F1AA6"/>
    <w:rsid w:val="008F2212"/>
    <w:rsid w:val="008F4D8F"/>
    <w:rsid w:val="008F73C8"/>
    <w:rsid w:val="008F7E69"/>
    <w:rsid w:val="00903786"/>
    <w:rsid w:val="00903AB2"/>
    <w:rsid w:val="00905F29"/>
    <w:rsid w:val="0090719E"/>
    <w:rsid w:val="009109AA"/>
    <w:rsid w:val="00915BDE"/>
    <w:rsid w:val="00926879"/>
    <w:rsid w:val="00926D99"/>
    <w:rsid w:val="00933C8C"/>
    <w:rsid w:val="009367F6"/>
    <w:rsid w:val="0093741D"/>
    <w:rsid w:val="00942CB3"/>
    <w:rsid w:val="00944174"/>
    <w:rsid w:val="00944DAD"/>
    <w:rsid w:val="00945735"/>
    <w:rsid w:val="009510AB"/>
    <w:rsid w:val="00951652"/>
    <w:rsid w:val="00952F2F"/>
    <w:rsid w:val="00962496"/>
    <w:rsid w:val="00965C4B"/>
    <w:rsid w:val="009757BB"/>
    <w:rsid w:val="0098151F"/>
    <w:rsid w:val="00986A46"/>
    <w:rsid w:val="0099003B"/>
    <w:rsid w:val="009906A6"/>
    <w:rsid w:val="00992ADC"/>
    <w:rsid w:val="009A13FA"/>
    <w:rsid w:val="009A6D32"/>
    <w:rsid w:val="009A71C4"/>
    <w:rsid w:val="009B15EC"/>
    <w:rsid w:val="009B1781"/>
    <w:rsid w:val="009B2546"/>
    <w:rsid w:val="009B464D"/>
    <w:rsid w:val="009C1F90"/>
    <w:rsid w:val="009C66A3"/>
    <w:rsid w:val="009D4396"/>
    <w:rsid w:val="009D616A"/>
    <w:rsid w:val="009E6061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50111"/>
    <w:rsid w:val="00A52C22"/>
    <w:rsid w:val="00A60022"/>
    <w:rsid w:val="00A615F2"/>
    <w:rsid w:val="00A6514E"/>
    <w:rsid w:val="00A66B77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3D33"/>
    <w:rsid w:val="00AC1B27"/>
    <w:rsid w:val="00AC4C62"/>
    <w:rsid w:val="00AC60D4"/>
    <w:rsid w:val="00AE39EE"/>
    <w:rsid w:val="00AE53E5"/>
    <w:rsid w:val="00AF4C9D"/>
    <w:rsid w:val="00B05D91"/>
    <w:rsid w:val="00B129C3"/>
    <w:rsid w:val="00B15B56"/>
    <w:rsid w:val="00B24C1C"/>
    <w:rsid w:val="00B30D3E"/>
    <w:rsid w:val="00B30F1D"/>
    <w:rsid w:val="00B32830"/>
    <w:rsid w:val="00B42FAF"/>
    <w:rsid w:val="00B50FEA"/>
    <w:rsid w:val="00B51175"/>
    <w:rsid w:val="00B5397C"/>
    <w:rsid w:val="00B54FA9"/>
    <w:rsid w:val="00B567E0"/>
    <w:rsid w:val="00B57B0B"/>
    <w:rsid w:val="00B64308"/>
    <w:rsid w:val="00B666A2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C6CAD"/>
    <w:rsid w:val="00BD3C26"/>
    <w:rsid w:val="00BD7EA0"/>
    <w:rsid w:val="00BE2210"/>
    <w:rsid w:val="00BE5AC7"/>
    <w:rsid w:val="00BF3E58"/>
    <w:rsid w:val="00BF4A8E"/>
    <w:rsid w:val="00BF73E4"/>
    <w:rsid w:val="00BF75D8"/>
    <w:rsid w:val="00C0304D"/>
    <w:rsid w:val="00C0628D"/>
    <w:rsid w:val="00C23C8C"/>
    <w:rsid w:val="00C3042D"/>
    <w:rsid w:val="00C362B7"/>
    <w:rsid w:val="00C3693F"/>
    <w:rsid w:val="00C37A6A"/>
    <w:rsid w:val="00C436B8"/>
    <w:rsid w:val="00C443D7"/>
    <w:rsid w:val="00C620FD"/>
    <w:rsid w:val="00C639E4"/>
    <w:rsid w:val="00C71BDC"/>
    <w:rsid w:val="00C71CED"/>
    <w:rsid w:val="00C778C6"/>
    <w:rsid w:val="00C80C62"/>
    <w:rsid w:val="00C82A8A"/>
    <w:rsid w:val="00C861DD"/>
    <w:rsid w:val="00C8634C"/>
    <w:rsid w:val="00CA168B"/>
    <w:rsid w:val="00CA4694"/>
    <w:rsid w:val="00CB032B"/>
    <w:rsid w:val="00CB0554"/>
    <w:rsid w:val="00CB4FA6"/>
    <w:rsid w:val="00CC1136"/>
    <w:rsid w:val="00CC5606"/>
    <w:rsid w:val="00CD02A5"/>
    <w:rsid w:val="00CD209D"/>
    <w:rsid w:val="00CD3CD9"/>
    <w:rsid w:val="00CD7F0B"/>
    <w:rsid w:val="00CE2FC8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21F5"/>
    <w:rsid w:val="00D81F86"/>
    <w:rsid w:val="00D856F0"/>
    <w:rsid w:val="00DB3089"/>
    <w:rsid w:val="00DC0743"/>
    <w:rsid w:val="00DC075C"/>
    <w:rsid w:val="00DC6FBB"/>
    <w:rsid w:val="00DD0595"/>
    <w:rsid w:val="00DD5D38"/>
    <w:rsid w:val="00DE05FE"/>
    <w:rsid w:val="00DE5EE8"/>
    <w:rsid w:val="00DE74EC"/>
    <w:rsid w:val="00DF0B01"/>
    <w:rsid w:val="00DF2CB2"/>
    <w:rsid w:val="00DF56B6"/>
    <w:rsid w:val="00DF5A46"/>
    <w:rsid w:val="00E10B5B"/>
    <w:rsid w:val="00E11105"/>
    <w:rsid w:val="00E16939"/>
    <w:rsid w:val="00E1766A"/>
    <w:rsid w:val="00E25C7B"/>
    <w:rsid w:val="00E267E6"/>
    <w:rsid w:val="00E34501"/>
    <w:rsid w:val="00E35B8F"/>
    <w:rsid w:val="00E40078"/>
    <w:rsid w:val="00E4461B"/>
    <w:rsid w:val="00E4520C"/>
    <w:rsid w:val="00E47ED6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E39"/>
    <w:rsid w:val="00E93C25"/>
    <w:rsid w:val="00E97071"/>
    <w:rsid w:val="00EA5D8D"/>
    <w:rsid w:val="00EA7A45"/>
    <w:rsid w:val="00EB1557"/>
    <w:rsid w:val="00EC2A56"/>
    <w:rsid w:val="00ED3522"/>
    <w:rsid w:val="00ED6179"/>
    <w:rsid w:val="00EE050B"/>
    <w:rsid w:val="00EE570F"/>
    <w:rsid w:val="00EE5F89"/>
    <w:rsid w:val="00EF1B2D"/>
    <w:rsid w:val="00F0036F"/>
    <w:rsid w:val="00F0196A"/>
    <w:rsid w:val="00F07B2D"/>
    <w:rsid w:val="00F1010B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7256C"/>
    <w:rsid w:val="00F75A59"/>
    <w:rsid w:val="00F7650A"/>
    <w:rsid w:val="00F804E0"/>
    <w:rsid w:val="00F90901"/>
    <w:rsid w:val="00F95DDF"/>
    <w:rsid w:val="00F96108"/>
    <w:rsid w:val="00FA70A7"/>
    <w:rsid w:val="00FB5337"/>
    <w:rsid w:val="00FB7AEB"/>
    <w:rsid w:val="00FC2874"/>
    <w:rsid w:val="00FC2E34"/>
    <w:rsid w:val="00FD06DF"/>
    <w:rsid w:val="00FD0B4D"/>
    <w:rsid w:val="00FE316C"/>
    <w:rsid w:val="00FE33A8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04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styleId="Subtitle">
    <w:name w:val="Subtitle"/>
    <w:basedOn w:val="Normal"/>
    <w:next w:val="Normal"/>
    <w:link w:val="SubtitleChar"/>
    <w:uiPriority w:val="11"/>
    <w:rsid w:val="00402916"/>
    <w:pPr>
      <w:numPr>
        <w:ilvl w:val="1"/>
      </w:numPr>
    </w:pPr>
    <w:rPr>
      <w:rFonts w:eastAsiaTheme="majorEastAsia" w:cstheme="majorBidi"/>
      <w:iCs/>
      <w:color w:val="EEEEEE"/>
      <w:sz w:val="2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2916"/>
    <w:rPr>
      <w:rFonts w:ascii="Calibri Light" w:eastAsiaTheme="majorEastAsia" w:hAnsi="Calibri Light" w:cstheme="majorBidi"/>
      <w:iCs/>
      <w:color w:val="EEEEEE"/>
      <w:sz w:val="24"/>
      <w:szCs w:val="44"/>
      <w:lang w:eastAsia="en-AU"/>
    </w:rPr>
  </w:style>
  <w:style w:type="paragraph" w:customStyle="1" w:styleId="SingleParagraph">
    <w:name w:val="Single Paragraph"/>
    <w:basedOn w:val="Normal"/>
    <w:link w:val="SingleParagraphChar"/>
    <w:rsid w:val="00402916"/>
    <w:pPr>
      <w:spacing w:before="0" w:after="0"/>
    </w:pPr>
  </w:style>
  <w:style w:type="paragraph" w:customStyle="1" w:styleId="ChartGraphic">
    <w:name w:val="Chart Graphic"/>
    <w:basedOn w:val="Normal"/>
    <w:next w:val="Normal"/>
    <w:rsid w:val="00402916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Normal"/>
    <w:next w:val="ChartGraphic"/>
    <w:rsid w:val="00402916"/>
    <w:pPr>
      <w:keepNext/>
      <w:spacing w:before="240" w:after="240" w:line="276" w:lineRule="auto"/>
      <w:jc w:val="center"/>
      <w:outlineLvl w:val="2"/>
    </w:pPr>
    <w:rPr>
      <w:rFonts w:ascii="Calibri" w:hAnsi="Calibri" w:cs="Arial"/>
      <w:color w:val="4D7861" w:themeColor="accent2"/>
      <w:kern w:val="32"/>
      <w:sz w:val="26"/>
      <w:szCs w:val="26"/>
    </w:rPr>
  </w:style>
  <w:style w:type="character" w:customStyle="1" w:styleId="SingleParagraphChar">
    <w:name w:val="Single Paragraph Char"/>
    <w:basedOn w:val="DefaultParagraphFont"/>
    <w:link w:val="SingleParagraph"/>
    <w:rsid w:val="00402916"/>
    <w:rPr>
      <w:rFonts w:ascii="Calibri Light" w:eastAsia="Times New Roman" w:hAnsi="Calibri Light"/>
      <w:sz w:val="22"/>
      <w:lang w:eastAsia="en-AU"/>
    </w:rPr>
  </w:style>
  <w:style w:type="character" w:styleId="Strong">
    <w:name w:val="Strong"/>
    <w:basedOn w:val="DefaultParagraphFont"/>
    <w:qFormat/>
    <w:rsid w:val="00402916"/>
    <w:rPr>
      <w:b/>
      <w:bCs/>
    </w:rPr>
  </w:style>
  <w:style w:type="paragraph" w:customStyle="1" w:styleId="Line">
    <w:name w:val="Line"/>
    <w:basedOn w:val="Normal"/>
    <w:qFormat/>
    <w:rsid w:val="00351DC7"/>
    <w:pPr>
      <w:pBdr>
        <w:bottom w:val="single" w:sz="12" w:space="1" w:color="2C384A" w:themeColor="accent1"/>
      </w:pBdr>
      <w:spacing w:before="300" w:after="720"/>
    </w:pPr>
  </w:style>
  <w:style w:type="character" w:styleId="CommentReference">
    <w:name w:val="annotation reference"/>
    <w:basedOn w:val="DefaultParagraphFont"/>
    <w:semiHidden/>
    <w:unhideWhenUsed/>
    <w:rsid w:val="002932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32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32BE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32BE"/>
    <w:rPr>
      <w:rFonts w:ascii="Calibri Light" w:eastAsia="Times New Roman" w:hAnsi="Calibri Light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ktt\AppData\Local\Microsoft\Windows\INetCache\Content.Outlook\KC4AGXFW\Workplace%20Gender%20Equality%20Act%20201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53</c:v>
                </c:pt>
                <c:pt idx="1">
                  <c:v>52</c:v>
                </c:pt>
                <c:pt idx="2">
                  <c:v>53</c:v>
                </c:pt>
                <c:pt idx="3">
                  <c:v>53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99-4E46-BD38-04C5178D81F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47</c:v>
                </c:pt>
                <c:pt idx="1">
                  <c:v>48</c:v>
                </c:pt>
                <c:pt idx="2">
                  <c:v>47</c:v>
                </c:pt>
                <c:pt idx="3">
                  <c:v>47</c:v>
                </c:pt>
                <c:pt idx="4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99-4E46-BD38-04C5178D81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09969119"/>
        <c:axId val="2009973439"/>
      </c:barChart>
      <c:catAx>
        <c:axId val="2009969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9973439"/>
        <c:crosses val="autoZero"/>
        <c:auto val="1"/>
        <c:lblAlgn val="ctr"/>
        <c:lblOffset val="100"/>
        <c:noMultiLvlLbl val="0"/>
      </c:catAx>
      <c:valAx>
        <c:axId val="2009973439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99691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06B-43B7-8AE7-70D912E3606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Sheet1!$D$2:$E$2</c:f>
              <c:strCache>
                <c:ptCount val="2"/>
                <c:pt idx="0">
                  <c:v>Treasury</c:v>
                </c:pt>
                <c:pt idx="1">
                  <c:v>Similar agencies </c:v>
                </c:pt>
              </c:strCache>
            </c:strRef>
          </c:cat>
          <c:val>
            <c:numRef>
              <c:f>Sheet1!$D$3:$E$3</c:f>
              <c:numCache>
                <c:formatCode>0.0%</c:formatCode>
                <c:ptCount val="2"/>
                <c:pt idx="0">
                  <c:v>3.4000000000000002E-2</c:v>
                </c:pt>
                <c:pt idx="1">
                  <c:v>4.7E-2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6B-43B7-8AE7-70D912E3606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2764416"/>
        <c:axId val="512762496"/>
      </c:barChart>
      <c:catAx>
        <c:axId val="51276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762496"/>
        <c:crosses val="autoZero"/>
        <c:auto val="1"/>
        <c:lblAlgn val="ctr"/>
        <c:lblOffset val="100"/>
        <c:noMultiLvlLbl val="0"/>
      </c:catAx>
      <c:valAx>
        <c:axId val="51276249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51276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Gender Pay Gap Employer Statement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Gender Pay Gap Employer Statement</dc:title>
  <dc:subject/>
  <dc:creator>Australian Government</dc:creator>
  <cp:keywords/>
  <dc:description/>
  <cp:lastModifiedBy/>
  <cp:revision>1</cp:revision>
  <dcterms:created xsi:type="dcterms:W3CDTF">2026-02-20T04:50:00Z</dcterms:created>
  <dcterms:modified xsi:type="dcterms:W3CDTF">2026-02-20T04:51:00Z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2026-02-20T04:51:45Z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7b2acbf7-eb4b-4241-b878-fb2e118c9484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