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B220" w14:textId="74CE1D60" w:rsidR="00986A46" w:rsidRDefault="00F34076" w:rsidP="00152525">
      <w:pPr>
        <w:pStyle w:val="Factsheettitle"/>
      </w:pPr>
      <w:r w:rsidRPr="00F34076">
        <w:t xml:space="preserve">Guidance on best practice principles for superannuation </w:t>
      </w:r>
      <w:r w:rsidRPr="00152525">
        <w:t>retirement</w:t>
      </w:r>
      <w:r w:rsidRPr="00F34076">
        <w:t xml:space="preserve"> income solutions</w:t>
      </w:r>
    </w:p>
    <w:tbl>
      <w:tblPr>
        <w:tblStyle w:val="TableGrid"/>
        <w:tblW w:w="5000" w:type="pct"/>
        <w:tblInd w:w="-5" w:type="dxa"/>
        <w:tblBorders>
          <w:top w:val="none" w:sz="0" w:space="0" w:color="auto"/>
          <w:left w:val="none" w:sz="0" w:space="0" w:color="auto"/>
          <w:bottom w:val="single" w:sz="8" w:space="0" w:color="2C384A" w:themeColor="accent1"/>
          <w:right w:val="none" w:sz="0" w:space="0" w:color="auto"/>
          <w:insideH w:val="none" w:sz="0" w:space="0" w:color="auto"/>
          <w:insideV w:val="none" w:sz="0" w:space="0" w:color="auto"/>
        </w:tblBorders>
        <w:tblLook w:val="04A0" w:firstRow="1" w:lastRow="0" w:firstColumn="1" w:lastColumn="0" w:noHBand="0" w:noVBand="1"/>
      </w:tblPr>
      <w:tblGrid>
        <w:gridCol w:w="8504"/>
      </w:tblGrid>
      <w:tr w:rsidR="00914B47" w14:paraId="52850966" w14:textId="77777777" w:rsidTr="00914B47">
        <w:tc>
          <w:tcPr>
            <w:tcW w:w="8494" w:type="dxa"/>
          </w:tcPr>
          <w:p w14:paraId="79B5E7A8" w14:textId="0F8E9ECB" w:rsidR="00914B47" w:rsidRPr="00E847A7" w:rsidRDefault="00914B47" w:rsidP="00914B47"/>
        </w:tc>
      </w:tr>
    </w:tbl>
    <w:p w14:paraId="3C2DA601" w14:textId="30471539" w:rsidR="00914B47" w:rsidRDefault="00914B47" w:rsidP="00152525">
      <w:pPr>
        <w:pStyle w:val="Introspacing"/>
      </w:pPr>
    </w:p>
    <w:p w14:paraId="53505312" w14:textId="31724485" w:rsidR="00F34076" w:rsidRDefault="00914B47" w:rsidP="00F34076">
      <w:r w:rsidRPr="00F34076">
        <w:t>The three pillars of the retirement income system – superannuation, the Age</w:t>
      </w:r>
      <w:r>
        <w:t> </w:t>
      </w:r>
      <w:r w:rsidRPr="00F34076">
        <w:t>Pension and private savings – work together to support Australians in</w:t>
      </w:r>
      <w:r>
        <w:t> </w:t>
      </w:r>
      <w:r w:rsidRPr="00F34076">
        <w:t>retirement. Superannuation is playing an increasingly important role in</w:t>
      </w:r>
      <w:r>
        <w:t> </w:t>
      </w:r>
      <w:r w:rsidRPr="00F34076">
        <w:t>providing income to Australians in retirement, consistent with</w:t>
      </w:r>
      <w:r>
        <w:t> </w:t>
      </w:r>
      <w:r w:rsidRPr="00F34076">
        <w:t>the</w:t>
      </w:r>
      <w:r>
        <w:t xml:space="preserve"> </w:t>
      </w:r>
      <w:r w:rsidRPr="00F34076">
        <w:t>objective of</w:t>
      </w:r>
      <w:r>
        <w:t xml:space="preserve"> </w:t>
      </w:r>
      <w:r w:rsidRPr="00F34076">
        <w:t>superannuation which has been enshrined in law: to</w:t>
      </w:r>
      <w:r>
        <w:t> </w:t>
      </w:r>
      <w:r w:rsidRPr="00F34076">
        <w:t>preserve savings to deliver income for a dignified retirement, alongside government support, in an</w:t>
      </w:r>
      <w:r>
        <w:t> </w:t>
      </w:r>
      <w:r w:rsidRPr="00F34076">
        <w:t>equitable and sustainable way.</w:t>
      </w:r>
    </w:p>
    <w:p w14:paraId="66D0B6FD" w14:textId="3A831F30" w:rsidR="00F34076" w:rsidRDefault="00F34076" w:rsidP="00F34076">
      <w:r w:rsidRPr="00054C9F">
        <w:t>Registrable</w:t>
      </w:r>
      <w:r w:rsidRPr="00054C9F" w:rsidDel="00316FE9">
        <w:t xml:space="preserve"> superannuation </w:t>
      </w:r>
      <w:r>
        <w:t>entities</w:t>
      </w:r>
      <w:r w:rsidRPr="00054C9F">
        <w:t xml:space="preserve"> (</w:t>
      </w:r>
      <w:r>
        <w:t>t</w:t>
      </w:r>
      <w:r w:rsidRPr="00054C9F" w:rsidDel="00674556">
        <w:t>rustees</w:t>
      </w:r>
      <w:r w:rsidRPr="00054C9F">
        <w:t>)</w:t>
      </w:r>
      <w:r w:rsidRPr="003C79CF" w:rsidDel="00674556">
        <w:t xml:space="preserve"> have </w:t>
      </w:r>
      <w:r>
        <w:t>a</w:t>
      </w:r>
      <w:r w:rsidRPr="003C79CF" w:rsidDel="00674556">
        <w:t xml:space="preserve"> </w:t>
      </w:r>
      <w:r>
        <w:t xml:space="preserve">legal </w:t>
      </w:r>
      <w:r w:rsidRPr="003C79CF" w:rsidDel="00674556">
        <w:t>obligation under the Retirement Income Covenant (Covenant) to have a retirement income strategy that assists members in and approaching retirement to maximise expected retirement income, manage expected risks, and have flexible access</w:t>
      </w:r>
      <w:r>
        <w:t> </w:t>
      </w:r>
      <w:r w:rsidRPr="003C79CF" w:rsidDel="00674556">
        <w:t xml:space="preserve">to expected funds. </w:t>
      </w:r>
    </w:p>
    <w:p w14:paraId="7008F77A" w14:textId="77777777" w:rsidR="00F34076" w:rsidRPr="003C79CF" w:rsidDel="00674556" w:rsidRDefault="00F34076" w:rsidP="00F34076">
      <w:r w:rsidRPr="003C79CF" w:rsidDel="00674556">
        <w:t xml:space="preserve">The Covenant operates alongside broader trustee obligations in the </w:t>
      </w:r>
      <w:r w:rsidRPr="003C79CF" w:rsidDel="00674556">
        <w:rPr>
          <w:i/>
          <w:iCs/>
        </w:rPr>
        <w:t>Superannuation Industry (Supervision) Act 1993</w:t>
      </w:r>
      <w:r w:rsidRPr="003C79CF" w:rsidDel="00674556">
        <w:t>, prudential standards and other relevant guidance</w:t>
      </w:r>
      <w:r w:rsidRPr="003C79CF" w:rsidDel="001223D3">
        <w:t>.</w:t>
      </w:r>
    </w:p>
    <w:p w14:paraId="230AEEEB" w14:textId="77777777" w:rsidR="00F34076" w:rsidRDefault="00F34076" w:rsidP="00F34076">
      <w:r w:rsidRPr="00857896">
        <w:t>These principles</w:t>
      </w:r>
      <w:r w:rsidRPr="00857896" w:rsidDel="00840FA6">
        <w:t xml:space="preserve"> </w:t>
      </w:r>
      <w:r w:rsidRPr="00857896">
        <w:t xml:space="preserve">give non-binding guidance to trustees about how they can better </w:t>
      </w:r>
      <w:r>
        <w:t>design and deliver </w:t>
      </w:r>
      <w:r w:rsidRPr="00857896">
        <w:t>fit</w:t>
      </w:r>
      <w:r w:rsidRPr="00857896">
        <w:noBreakHyphen/>
        <w:t>for</w:t>
      </w:r>
      <w:r w:rsidRPr="00857896">
        <w:noBreakHyphen/>
        <w:t>purpose retirement income solutions for their members under their retirement income</w:t>
      </w:r>
      <w:r>
        <w:t> </w:t>
      </w:r>
      <w:r w:rsidRPr="00857896">
        <w:t>strategy.</w:t>
      </w:r>
    </w:p>
    <w:p w14:paraId="757C80EA" w14:textId="77777777" w:rsidR="00F34076" w:rsidRDefault="00F34076" w:rsidP="00914B47">
      <w:pPr>
        <w:keepNext/>
        <w:keepLines/>
      </w:pPr>
      <w:r>
        <w:lastRenderedPageBreak/>
        <w:t>They are voluntary to adopt</w:t>
      </w:r>
      <w:r w:rsidDel="00604A85">
        <w:t xml:space="preserve"> and </w:t>
      </w:r>
      <w:r>
        <w:t>designed to be read holistically. They</w:t>
      </w:r>
      <w:r w:rsidDel="00840FA6">
        <w:t xml:space="preserve"> </w:t>
      </w:r>
      <w:r>
        <w:t xml:space="preserve">will support trustees in their considerations of how to: </w:t>
      </w:r>
    </w:p>
    <w:p w14:paraId="446A7F27" w14:textId="2BC2474B" w:rsidR="00F34076" w:rsidRPr="00F34076" w:rsidRDefault="00F34076" w:rsidP="00914B47">
      <w:pPr>
        <w:pStyle w:val="Bullet"/>
        <w:keepNext/>
        <w:keepLines/>
      </w:pPr>
      <w:r w:rsidRPr="00F34076">
        <w:t>Deepen understanding of their membership and their retirement income needs, to support</w:t>
      </w:r>
      <w:r w:rsidR="004E7E59">
        <w:t> </w:t>
      </w:r>
      <w:r w:rsidRPr="00F34076">
        <w:t xml:space="preserve">the design of quality retirement income solutions, guidance services and engagement strategies. </w:t>
      </w:r>
    </w:p>
    <w:p w14:paraId="449CD59B" w14:textId="0E6DAA28" w:rsidR="00F34076" w:rsidRPr="00F34076" w:rsidRDefault="00F34076" w:rsidP="00914B47">
      <w:pPr>
        <w:pStyle w:val="Bullet"/>
        <w:keepNext/>
        <w:keepLines/>
      </w:pPr>
      <w:r w:rsidRPr="00F34076">
        <w:t>Design a robust suite of products and product settings that allow trustees and members to</w:t>
      </w:r>
      <w:r w:rsidR="004E7E59">
        <w:t> </w:t>
      </w:r>
      <w:r w:rsidRPr="00F34076">
        <w:t xml:space="preserve">build quality retirement income solutions. </w:t>
      </w:r>
    </w:p>
    <w:p w14:paraId="4FBB7E5D" w14:textId="77777777" w:rsidR="00F34076" w:rsidRPr="00F34076" w:rsidRDefault="00F34076" w:rsidP="00914B47">
      <w:pPr>
        <w:pStyle w:val="Bullet"/>
        <w:keepNext/>
        <w:keepLines/>
      </w:pPr>
      <w:r w:rsidRPr="00F34076">
        <w:t xml:space="preserve">Combine products and product settings to construct retirement income solutions appropriate for identified cohorts.  </w:t>
      </w:r>
    </w:p>
    <w:p w14:paraId="66EB9491" w14:textId="77777777" w:rsidR="00F34076" w:rsidRPr="00F34076" w:rsidRDefault="00F34076" w:rsidP="00914B47">
      <w:pPr>
        <w:pStyle w:val="Bullet"/>
        <w:keepNext/>
        <w:keepLines/>
      </w:pPr>
      <w:r w:rsidRPr="00F34076">
        <w:t>Foster member engagement in retirement to support informed choice and improved retirement outcomes.</w:t>
      </w:r>
    </w:p>
    <w:p w14:paraId="76AF7642" w14:textId="77777777" w:rsidR="00F34076" w:rsidRPr="00F34076" w:rsidRDefault="00F34076" w:rsidP="00914B47">
      <w:pPr>
        <w:pStyle w:val="Bullet"/>
        <w:keepNext/>
        <w:keepLines/>
      </w:pPr>
      <w:r w:rsidRPr="00F34076">
        <w:t xml:space="preserve">Review and improve their trustee-designed retirement income solutions. </w:t>
      </w:r>
    </w:p>
    <w:p w14:paraId="4458BE48" w14:textId="06401D0B" w:rsidR="00F34076" w:rsidRDefault="00F34076" w:rsidP="00914B47">
      <w:pPr>
        <w:keepNext/>
        <w:keepLines/>
      </w:pPr>
      <w:r w:rsidRPr="00906277">
        <w:t>Each trustee serves a distinct membership with differ</w:t>
      </w:r>
      <w:r>
        <w:t>ent</w:t>
      </w:r>
      <w:r w:rsidRPr="00906277">
        <w:t xml:space="preserve"> retirement income needs</w:t>
      </w:r>
      <w:r>
        <w:t xml:space="preserve"> which will shape what members need from their retirement income solutions. A one-size-fits-all approach to retirement income will not work. </w:t>
      </w:r>
      <w:r w:rsidRPr="00906277">
        <w:t>While some members will require simple solutions that work alongside the Age Pension</w:t>
      </w:r>
      <w:r>
        <w:t xml:space="preserve">, </w:t>
      </w:r>
      <w:r w:rsidRPr="00906277">
        <w:t xml:space="preserve">others will need more sophisticated </w:t>
      </w:r>
      <w:r>
        <w:t>solutions</w:t>
      </w:r>
      <w:r w:rsidRPr="00906277">
        <w:t xml:space="preserve"> to manage more complex retirement objectives</w:t>
      </w:r>
      <w:r>
        <w:t xml:space="preserve">. </w:t>
      </w:r>
    </w:p>
    <w:p w14:paraId="1B88B72F" w14:textId="77777777" w:rsidR="00F34076" w:rsidRDefault="00F34076" w:rsidP="00914B47">
      <w:pPr>
        <w:keepNext/>
        <w:keepLines/>
      </w:pPr>
      <w:r w:rsidRPr="00DE68BF">
        <w:t xml:space="preserve">Trustees </w:t>
      </w:r>
      <w:r>
        <w:t xml:space="preserve">are </w:t>
      </w:r>
      <w:r w:rsidRPr="00DE68BF">
        <w:t xml:space="preserve">accountable to their members for the quality of their retirement income solutions, </w:t>
      </w:r>
      <w:r w:rsidRPr="00054C9F">
        <w:t>guidance services, and engagement strategies</w:t>
      </w:r>
      <w:r w:rsidRPr="00DE68BF">
        <w:t xml:space="preserve"> </w:t>
      </w:r>
      <w:r>
        <w:t>that</w:t>
      </w:r>
      <w:r w:rsidRPr="00DE68BF">
        <w:t xml:space="preserve"> support members </w:t>
      </w:r>
      <w:r>
        <w:t>to achieve</w:t>
      </w:r>
      <w:r w:rsidRPr="00DE68BF">
        <w:t xml:space="preserve"> quality retirement outcomes.</w:t>
      </w:r>
      <w:r>
        <w:t xml:space="preserve"> </w:t>
      </w:r>
      <w:r w:rsidRPr="003C79CF">
        <w:t>T</w:t>
      </w:r>
      <w:r w:rsidRPr="003C79CF" w:rsidDel="00FA2F30">
        <w:t>he principles</w:t>
      </w:r>
      <w:r w:rsidRPr="003C79CF" w:rsidDel="00C76514">
        <w:t xml:space="preserve"> </w:t>
      </w:r>
      <w:r w:rsidRPr="003C79CF" w:rsidDel="00FA2F30">
        <w:t xml:space="preserve">complement trustee obligations and articulate </w:t>
      </w:r>
      <w:r>
        <w:t xml:space="preserve">steps trustees can take to continuously improve the quality of their </w:t>
      </w:r>
      <w:r w:rsidRPr="001849C1">
        <w:t xml:space="preserve">retirement income solutions offerings. </w:t>
      </w:r>
      <w:r w:rsidRPr="00D952BE">
        <w:t xml:space="preserve">It is expected that each trustee will consider the appropriateness of individual principles for their membership and how </w:t>
      </w:r>
      <w:r>
        <w:t xml:space="preserve">application could foster better retirement outcomes for members. </w:t>
      </w:r>
    </w:p>
    <w:p w14:paraId="66E8568C" w14:textId="77777777" w:rsidR="00F34076" w:rsidRDefault="00F34076" w:rsidP="00914B47">
      <w:pPr>
        <w:keepNext/>
        <w:keepLines/>
      </w:pPr>
      <w:r w:rsidRPr="001849C1">
        <w:t>The</w:t>
      </w:r>
      <w:r>
        <w:t xml:space="preserve"> </w:t>
      </w:r>
      <w:r w:rsidRPr="00054C9F">
        <w:t>principles</w:t>
      </w:r>
      <w:r w:rsidRPr="001849C1">
        <w:t xml:space="preserve"> do not change the operation or interpretation of existing law, prudential standards, or fiduciary duties. </w:t>
      </w:r>
      <w:r>
        <w:t>N</w:t>
      </w:r>
      <w:r w:rsidRPr="00434756">
        <w:t xml:space="preserve">o </w:t>
      </w:r>
      <w:r>
        <w:t>enforcement</w:t>
      </w:r>
      <w:r w:rsidRPr="00434756">
        <w:t xml:space="preserve"> action </w:t>
      </w:r>
      <w:r>
        <w:t xml:space="preserve">will be </w:t>
      </w:r>
      <w:r w:rsidRPr="00434756">
        <w:t>associated with trustees’ adoption of these</w:t>
      </w:r>
      <w:r w:rsidRPr="003C79CF">
        <w:t xml:space="preserve"> principles</w:t>
      </w:r>
      <w:r w:rsidRPr="00D952BE">
        <w:t>.</w:t>
      </w:r>
      <w:r>
        <w:t xml:space="preserve"> </w:t>
      </w:r>
      <w:r w:rsidRPr="001849C1">
        <w:t>The Australian Prudential Regulation Authority (APRA) and Australian Securities and Investments Commission (ASIC) will continue to monitor compliance with existing</w:t>
      </w:r>
      <w:r w:rsidRPr="00434756">
        <w:t xml:space="preserve"> trustee obligations. </w:t>
      </w:r>
    </w:p>
    <w:p w14:paraId="03F1DB11" w14:textId="77777777" w:rsidR="004E7E59" w:rsidRPr="004E7E59" w:rsidRDefault="004E7E59" w:rsidP="004E7E59">
      <w:bookmarkStart w:id="0" w:name="_Toc222129892"/>
      <w:r w:rsidRPr="004E7E59">
        <w:br w:type="page"/>
      </w:r>
    </w:p>
    <w:p w14:paraId="4B24CB8B" w14:textId="1F6DFEA0" w:rsidR="00F34076" w:rsidRDefault="00391F19" w:rsidP="004E7E59">
      <w:pPr>
        <w:pStyle w:val="Heading1"/>
      </w:pPr>
      <w:r>
        <w:rPr>
          <w:noProof/>
        </w:rPr>
        <w:lastRenderedPageBreak/>
        <w:drawing>
          <wp:anchor distT="0" distB="0" distL="114300" distR="114300" simplePos="0" relativeHeight="251664384" behindDoc="0" locked="0" layoutInCell="1" allowOverlap="1" wp14:anchorId="6A7BA04E" wp14:editId="2D0981F5">
            <wp:simplePos x="0" y="0"/>
            <wp:positionH relativeFrom="column">
              <wp:posOffset>-700</wp:posOffset>
            </wp:positionH>
            <wp:positionV relativeFrom="paragraph">
              <wp:posOffset>60296</wp:posOffset>
            </wp:positionV>
            <wp:extent cx="466703" cy="468000"/>
            <wp:effectExtent l="0" t="0" r="0" b="8255"/>
            <wp:wrapNone/>
            <wp:docPr id="178357720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577206"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6703" cy="468000"/>
                    </a:xfrm>
                    <a:prstGeom prst="rect">
                      <a:avLst/>
                    </a:prstGeom>
                  </pic:spPr>
                </pic:pic>
              </a:graphicData>
            </a:graphic>
            <wp14:sizeRelH relativeFrom="page">
              <wp14:pctWidth>0</wp14:pctWidth>
            </wp14:sizeRelH>
            <wp14:sizeRelV relativeFrom="page">
              <wp14:pctHeight>0</wp14:pctHeight>
            </wp14:sizeRelV>
          </wp:anchor>
        </w:drawing>
      </w:r>
      <w:r w:rsidR="00F34076" w:rsidRPr="004E7E59">
        <w:t>Understanding</w:t>
      </w:r>
      <w:r w:rsidR="00F34076">
        <w:t xml:space="preserve"> </w:t>
      </w:r>
      <w:r w:rsidR="00F34076" w:rsidRPr="00F34076">
        <w:t>members’</w:t>
      </w:r>
      <w:r w:rsidR="00F34076">
        <w:t xml:space="preserve"> retirement</w:t>
      </w:r>
      <w:r w:rsidR="009A562C">
        <w:t> </w:t>
      </w:r>
      <w:r w:rsidR="00F34076">
        <w:t>income needs</w:t>
      </w:r>
      <w:bookmarkEnd w:id="0"/>
    </w:p>
    <w:p w14:paraId="5DA172F4" w14:textId="0722B026" w:rsidR="00F34076" w:rsidRDefault="00F34076" w:rsidP="00F34076">
      <w:r>
        <w:t xml:space="preserve">Best practice for understanding members’ retirement income needs means a trustee will: </w:t>
      </w:r>
    </w:p>
    <w:p w14:paraId="15C3E438" w14:textId="77777777" w:rsidR="00F34076" w:rsidRPr="00C03717" w:rsidRDefault="00F34076" w:rsidP="00F34076">
      <w:pPr>
        <w:pStyle w:val="NoSpacing"/>
      </w:pPr>
    </w:p>
    <w:tbl>
      <w:tblPr>
        <w:tblW w:w="5000" w:type="pct"/>
        <w:shd w:val="clear" w:color="auto" w:fill="F1F6FD"/>
        <w:tblCellMar>
          <w:top w:w="113" w:type="dxa"/>
          <w:left w:w="284" w:type="dxa"/>
          <w:bottom w:w="113" w:type="dxa"/>
          <w:right w:w="284" w:type="dxa"/>
        </w:tblCellMar>
        <w:tblLook w:val="0620" w:firstRow="1" w:lastRow="0" w:firstColumn="0" w:lastColumn="0" w:noHBand="1" w:noVBand="1"/>
      </w:tblPr>
      <w:tblGrid>
        <w:gridCol w:w="8504"/>
      </w:tblGrid>
      <w:tr w:rsidR="00F34076" w:rsidRPr="00914B47" w14:paraId="64FD0D7C" w14:textId="77777777" w:rsidTr="00D35457">
        <w:tc>
          <w:tcPr>
            <w:tcW w:w="5000" w:type="pct"/>
            <w:shd w:val="clear" w:color="auto" w:fill="F1F6FD"/>
            <w:hideMark/>
          </w:tcPr>
          <w:p w14:paraId="1716E933" w14:textId="6F7A1B00" w:rsidR="00F34076" w:rsidRPr="00914B47" w:rsidRDefault="00F34076" w:rsidP="00F34076">
            <w:pPr>
              <w:pStyle w:val="OutlineNumbered1"/>
            </w:pPr>
            <w:r w:rsidRPr="00914B47">
              <w:rPr>
                <w:rStyle w:val="Strong"/>
                <w:b w:val="0"/>
                <w:bCs w:val="0"/>
              </w:rPr>
              <w:t>Undertake regular research to ensure an up-to-date understanding of the composition of its membership base and how member characteristics, engagement</w:t>
            </w:r>
            <w:r w:rsidR="004E7E59" w:rsidRPr="00914B47">
              <w:rPr>
                <w:rStyle w:val="Strong"/>
                <w:b w:val="0"/>
                <w:bCs w:val="0"/>
              </w:rPr>
              <w:t xml:space="preserve"> </w:t>
            </w:r>
            <w:r w:rsidRPr="00914B47">
              <w:rPr>
                <w:rStyle w:val="Strong"/>
                <w:b w:val="0"/>
                <w:bCs w:val="0"/>
              </w:rPr>
              <w:t xml:space="preserve">preferences and retirement income needs are changing over time. </w:t>
            </w:r>
          </w:p>
        </w:tc>
      </w:tr>
    </w:tbl>
    <w:p w14:paraId="5AFB4495" w14:textId="3730257A" w:rsidR="00F34076" w:rsidRPr="00914B47" w:rsidRDefault="00F34076" w:rsidP="00F34076">
      <w:pPr>
        <w:pStyle w:val="SingleParagraph"/>
      </w:pPr>
    </w:p>
    <w:tbl>
      <w:tblPr>
        <w:tblW w:w="5000" w:type="pct"/>
        <w:shd w:val="clear" w:color="auto" w:fill="FDF6F1"/>
        <w:tblCellMar>
          <w:top w:w="113" w:type="dxa"/>
          <w:left w:w="284" w:type="dxa"/>
          <w:bottom w:w="113" w:type="dxa"/>
          <w:right w:w="227" w:type="dxa"/>
        </w:tblCellMar>
        <w:tblLook w:val="0620" w:firstRow="1" w:lastRow="0" w:firstColumn="0" w:lastColumn="0" w:noHBand="1" w:noVBand="1"/>
      </w:tblPr>
      <w:tblGrid>
        <w:gridCol w:w="8504"/>
      </w:tblGrid>
      <w:tr w:rsidR="00F34076" w:rsidRPr="00914B47" w14:paraId="5E2EE13A" w14:textId="77777777" w:rsidTr="00D35457">
        <w:tc>
          <w:tcPr>
            <w:tcW w:w="5000" w:type="pct"/>
            <w:shd w:val="clear" w:color="auto" w:fill="F1F6FD"/>
            <w:hideMark/>
          </w:tcPr>
          <w:p w14:paraId="7482EF9A" w14:textId="77777777" w:rsidR="00F34076" w:rsidRPr="00914B47" w:rsidRDefault="00F34076" w:rsidP="00F34076">
            <w:pPr>
              <w:pStyle w:val="OutlineNumbered1"/>
              <w:rPr>
                <w:rStyle w:val="Strong"/>
                <w:b w:val="0"/>
                <w:bCs w:val="0"/>
              </w:rPr>
            </w:pPr>
            <w:r w:rsidRPr="00914B47">
              <w:rPr>
                <w:rStyle w:val="Strong"/>
                <w:b w:val="0"/>
                <w:bCs w:val="0"/>
              </w:rPr>
              <w:t xml:space="preserve">Use accessible data and behavioural research to inform the design of information, engagement strategies and guidance services. </w:t>
            </w:r>
          </w:p>
        </w:tc>
      </w:tr>
    </w:tbl>
    <w:p w14:paraId="478358B1" w14:textId="0B329ECE" w:rsidR="00F34076" w:rsidRPr="00914B47" w:rsidRDefault="00F34076" w:rsidP="00F34076">
      <w:pPr>
        <w:pStyle w:val="SingleParagraph"/>
      </w:pPr>
    </w:p>
    <w:tbl>
      <w:tblPr>
        <w:tblW w:w="5000" w:type="pct"/>
        <w:shd w:val="clear" w:color="auto" w:fill="FDF6F1"/>
        <w:tblCellMar>
          <w:top w:w="113" w:type="dxa"/>
          <w:left w:w="284" w:type="dxa"/>
          <w:bottom w:w="113" w:type="dxa"/>
          <w:right w:w="227" w:type="dxa"/>
        </w:tblCellMar>
        <w:tblLook w:val="0620" w:firstRow="1" w:lastRow="0" w:firstColumn="0" w:lastColumn="0" w:noHBand="1" w:noVBand="1"/>
      </w:tblPr>
      <w:tblGrid>
        <w:gridCol w:w="8504"/>
      </w:tblGrid>
      <w:tr w:rsidR="00F34076" w:rsidRPr="00914B47" w14:paraId="5D8D2EC1" w14:textId="77777777" w:rsidTr="00D35457">
        <w:tc>
          <w:tcPr>
            <w:tcW w:w="5000" w:type="pct"/>
            <w:shd w:val="clear" w:color="auto" w:fill="F1F6FD"/>
            <w:hideMark/>
          </w:tcPr>
          <w:p w14:paraId="14EE6A5A" w14:textId="77777777" w:rsidR="00F34076" w:rsidRPr="00914B47" w:rsidRDefault="00F34076" w:rsidP="00F34076">
            <w:pPr>
              <w:pStyle w:val="OutlineNumbered1"/>
              <w:rPr>
                <w:rStyle w:val="Strong"/>
                <w:b w:val="0"/>
                <w:bCs w:val="0"/>
              </w:rPr>
            </w:pPr>
            <w:r w:rsidRPr="00914B47">
              <w:rPr>
                <w:rStyle w:val="Strong"/>
                <w:b w:val="0"/>
                <w:bCs w:val="0"/>
              </w:rPr>
              <w:t xml:space="preserve">Improve understanding of the membership base by: </w:t>
            </w:r>
          </w:p>
          <w:p w14:paraId="1972AF54" w14:textId="77777777" w:rsidR="00F34076" w:rsidRPr="00914B47" w:rsidRDefault="00F34076" w:rsidP="00F564DE">
            <w:pPr>
              <w:pStyle w:val="OutlineNumbered2"/>
            </w:pPr>
            <w:r w:rsidRPr="00914B47">
              <w:t>Identifying members who are in or approaching retirement.</w:t>
            </w:r>
          </w:p>
          <w:p w14:paraId="5FBCD892" w14:textId="77777777" w:rsidR="00F34076" w:rsidRPr="00914B47" w:rsidRDefault="00F34076" w:rsidP="00F564DE">
            <w:pPr>
              <w:pStyle w:val="OutlineNumbered2"/>
            </w:pPr>
            <w:r w:rsidRPr="00914B47">
              <w:t>Gathering information on characteristics relevant to its members’ retirement income needs, including during retirement.</w:t>
            </w:r>
          </w:p>
          <w:p w14:paraId="6ACD3593" w14:textId="77777777" w:rsidR="00F34076" w:rsidRPr="00914B47" w:rsidRDefault="00F34076" w:rsidP="00F564DE">
            <w:pPr>
              <w:pStyle w:val="OutlineNumbered2"/>
              <w:rPr>
                <w:rStyle w:val="Strong"/>
                <w:b w:val="0"/>
                <w:bCs w:val="0"/>
              </w:rPr>
            </w:pPr>
            <w:r w:rsidRPr="00914B47">
              <w:t>Asking members about their engagement preferences.</w:t>
            </w:r>
          </w:p>
        </w:tc>
      </w:tr>
    </w:tbl>
    <w:p w14:paraId="0C4780C0" w14:textId="77777777" w:rsidR="00F34076" w:rsidRPr="00914B47" w:rsidRDefault="00F34076" w:rsidP="00F34076">
      <w:pPr>
        <w:pStyle w:val="SingleParagraph"/>
      </w:pPr>
    </w:p>
    <w:tbl>
      <w:tblPr>
        <w:tblW w:w="5000" w:type="pct"/>
        <w:shd w:val="clear" w:color="auto" w:fill="FDF6F1"/>
        <w:tblCellMar>
          <w:top w:w="113" w:type="dxa"/>
          <w:left w:w="284" w:type="dxa"/>
          <w:bottom w:w="113" w:type="dxa"/>
          <w:right w:w="227" w:type="dxa"/>
        </w:tblCellMar>
        <w:tblLook w:val="0620" w:firstRow="1" w:lastRow="0" w:firstColumn="0" w:lastColumn="0" w:noHBand="1" w:noVBand="1"/>
      </w:tblPr>
      <w:tblGrid>
        <w:gridCol w:w="8504"/>
      </w:tblGrid>
      <w:tr w:rsidR="00F34076" w:rsidRPr="00914B47" w14:paraId="6A458484" w14:textId="77777777" w:rsidTr="00D35457">
        <w:tc>
          <w:tcPr>
            <w:tcW w:w="5000" w:type="pct"/>
            <w:shd w:val="clear" w:color="auto" w:fill="F1F6FD"/>
            <w:hideMark/>
          </w:tcPr>
          <w:p w14:paraId="2E230909" w14:textId="77777777" w:rsidR="00F34076" w:rsidRPr="00914B47" w:rsidRDefault="00F34076" w:rsidP="00F34076">
            <w:pPr>
              <w:pStyle w:val="OutlineNumbered1"/>
              <w:rPr>
                <w:rStyle w:val="Strong"/>
                <w:b w:val="0"/>
                <w:bCs w:val="0"/>
              </w:rPr>
            </w:pPr>
            <w:proofErr w:type="gramStart"/>
            <w:r w:rsidRPr="00914B47">
              <w:rPr>
                <w:rStyle w:val="Strong"/>
                <w:b w:val="0"/>
                <w:bCs w:val="0"/>
              </w:rPr>
              <w:t>For the purpose of</w:t>
            </w:r>
            <w:proofErr w:type="gramEnd"/>
            <w:r w:rsidRPr="00914B47">
              <w:rPr>
                <w:rStyle w:val="Strong"/>
                <w:b w:val="0"/>
                <w:bCs w:val="0"/>
              </w:rPr>
              <w:t xml:space="preserve"> the principles, develop at least three cohorts that reflect the composition of the membership at or approaching retirement to inform the design of retirement income solutions. </w:t>
            </w:r>
          </w:p>
          <w:p w14:paraId="111E7C75" w14:textId="77777777" w:rsidR="00F34076" w:rsidRPr="00914B47" w:rsidRDefault="00F34076" w:rsidP="00F34076">
            <w:pPr>
              <w:pStyle w:val="OutlineNumbered2"/>
              <w:numPr>
                <w:ilvl w:val="0"/>
                <w:numId w:val="16"/>
              </w:numPr>
            </w:pPr>
            <w:r w:rsidRPr="00914B47">
              <w:t xml:space="preserve">Base cohorts on information held and gathered by the trustee. </w:t>
            </w:r>
          </w:p>
          <w:p w14:paraId="59995457" w14:textId="77777777" w:rsidR="00F34076" w:rsidRPr="00914B47" w:rsidRDefault="00F34076" w:rsidP="00F564DE">
            <w:pPr>
              <w:pStyle w:val="OutlineNumbered2"/>
              <w:rPr>
                <w:rStyle w:val="Strong"/>
                <w:b w:val="0"/>
                <w:bCs w:val="0"/>
              </w:rPr>
            </w:pPr>
            <w:r w:rsidRPr="00914B47">
              <w:t xml:space="preserve">Use characteristics relevant to the development of retirement income solutions to develop cohorts, such as account balance and age. </w:t>
            </w:r>
          </w:p>
        </w:tc>
      </w:tr>
    </w:tbl>
    <w:p w14:paraId="07F99FE9" w14:textId="77777777" w:rsidR="00F34076" w:rsidRPr="004613E8" w:rsidRDefault="00F34076" w:rsidP="00F34076">
      <w:r w:rsidRPr="004613E8">
        <w:br w:type="page"/>
      </w:r>
    </w:p>
    <w:p w14:paraId="0E786CF6" w14:textId="0A0332AC" w:rsidR="00F34076" w:rsidRDefault="0076113D" w:rsidP="00F34076">
      <w:pPr>
        <w:pStyle w:val="Heading1"/>
      </w:pPr>
      <w:bookmarkStart w:id="1" w:name="_Toc222129893"/>
      <w:r>
        <w:rPr>
          <w:noProof/>
        </w:rPr>
        <w:lastRenderedPageBreak/>
        <w:drawing>
          <wp:anchor distT="0" distB="0" distL="114300" distR="114300" simplePos="0" relativeHeight="251666432" behindDoc="0" locked="0" layoutInCell="1" allowOverlap="1" wp14:anchorId="01EBAC0B" wp14:editId="63D05F33">
            <wp:simplePos x="0" y="0"/>
            <wp:positionH relativeFrom="column">
              <wp:posOffset>1967</wp:posOffset>
            </wp:positionH>
            <wp:positionV relativeFrom="paragraph">
              <wp:posOffset>54073</wp:posOffset>
            </wp:positionV>
            <wp:extent cx="466703" cy="468000"/>
            <wp:effectExtent l="0" t="0" r="0" b="8255"/>
            <wp:wrapNone/>
            <wp:docPr id="202247327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73276"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6703" cy="468000"/>
                    </a:xfrm>
                    <a:prstGeom prst="rect">
                      <a:avLst/>
                    </a:prstGeom>
                  </pic:spPr>
                </pic:pic>
              </a:graphicData>
            </a:graphic>
            <wp14:sizeRelH relativeFrom="page">
              <wp14:pctWidth>0</wp14:pctWidth>
            </wp14:sizeRelH>
            <wp14:sizeRelV relativeFrom="page">
              <wp14:pctHeight>0</wp14:pctHeight>
            </wp14:sizeRelV>
          </wp:anchor>
        </w:drawing>
      </w:r>
      <w:r w:rsidR="00F34076">
        <w:t>Designing the</w:t>
      </w:r>
      <w:r w:rsidR="00F34076" w:rsidRPr="002401B5" w:rsidDel="00AD4F42">
        <w:t xml:space="preserve"> </w:t>
      </w:r>
      <w:r w:rsidR="00F34076">
        <w:t>elements of a</w:t>
      </w:r>
      <w:r w:rsidR="00F34076" w:rsidDel="00AD4F42">
        <w:t xml:space="preserve"> </w:t>
      </w:r>
      <w:r w:rsidR="00F34076">
        <w:t>quality</w:t>
      </w:r>
      <w:r w:rsidR="009A562C">
        <w:t> </w:t>
      </w:r>
      <w:r w:rsidR="00F34076" w:rsidRPr="00F81B3E">
        <w:t>retirement</w:t>
      </w:r>
      <w:r w:rsidR="00F34076">
        <w:t xml:space="preserve"> income </w:t>
      </w:r>
      <w:r w:rsidR="00F34076" w:rsidRPr="00F34076" w:rsidDel="00AD4F42">
        <w:t>solution</w:t>
      </w:r>
      <w:bookmarkEnd w:id="1"/>
    </w:p>
    <w:p w14:paraId="3CF8DF80" w14:textId="77777777" w:rsidR="00F34076" w:rsidRDefault="00F34076" w:rsidP="00F34076">
      <w:r>
        <w:t xml:space="preserve">Best practice for designing the products and product settings to build quality retirement income solutions means a trustee will: </w:t>
      </w:r>
    </w:p>
    <w:p w14:paraId="32A30BF1" w14:textId="77777777" w:rsidR="00F34076" w:rsidRPr="00C03717" w:rsidRDefault="00F34076" w:rsidP="00F34076">
      <w:pPr>
        <w:pStyle w:val="NoSpacing"/>
      </w:pPr>
    </w:p>
    <w:tbl>
      <w:tblPr>
        <w:tblW w:w="5000" w:type="pct"/>
        <w:shd w:val="clear" w:color="auto" w:fill="FDF6F1"/>
        <w:tblCellMar>
          <w:top w:w="113" w:type="dxa"/>
          <w:left w:w="284" w:type="dxa"/>
          <w:bottom w:w="113" w:type="dxa"/>
          <w:right w:w="227" w:type="dxa"/>
        </w:tblCellMar>
        <w:tblLook w:val="0620" w:firstRow="1" w:lastRow="0" w:firstColumn="0" w:lastColumn="0" w:noHBand="1" w:noVBand="1"/>
      </w:tblPr>
      <w:tblGrid>
        <w:gridCol w:w="8504"/>
      </w:tblGrid>
      <w:tr w:rsidR="00F34076" w:rsidRPr="00914B47" w14:paraId="09F56FCE" w14:textId="77777777" w:rsidTr="00D35457">
        <w:tc>
          <w:tcPr>
            <w:tcW w:w="5000" w:type="pct"/>
            <w:shd w:val="clear" w:color="auto" w:fill="FDF6F1"/>
            <w:hideMark/>
          </w:tcPr>
          <w:p w14:paraId="340DD93E" w14:textId="77777777" w:rsidR="00F34076" w:rsidRPr="00914B47" w:rsidRDefault="00F34076" w:rsidP="00F34076">
            <w:pPr>
              <w:pStyle w:val="OutlineNumbered1"/>
              <w:rPr>
                <w:rStyle w:val="Strong"/>
                <w:b w:val="0"/>
                <w:bCs w:val="0"/>
              </w:rPr>
            </w:pPr>
            <w:r w:rsidRPr="00914B47">
              <w:rPr>
                <w:rStyle w:val="Strong"/>
                <w:b w:val="0"/>
                <w:bCs w:val="0"/>
              </w:rPr>
              <w:t xml:space="preserve">Provide their members with access to: </w:t>
            </w:r>
          </w:p>
          <w:p w14:paraId="1253FE50" w14:textId="77777777" w:rsidR="00F34076" w:rsidRPr="00914B47" w:rsidRDefault="00F34076" w:rsidP="00F34076">
            <w:pPr>
              <w:pStyle w:val="OutlineNumbered2"/>
              <w:numPr>
                <w:ilvl w:val="0"/>
                <w:numId w:val="17"/>
              </w:numPr>
            </w:pPr>
            <w:r w:rsidRPr="00914B47">
              <w:t xml:space="preserve">A lifetime income </w:t>
            </w:r>
            <w:r w:rsidRPr="00914B47" w:rsidDel="00B367D6">
              <w:t xml:space="preserve">product </w:t>
            </w:r>
            <w:r w:rsidRPr="00914B47">
              <w:t xml:space="preserve">that is not the Age Pension.  </w:t>
            </w:r>
          </w:p>
          <w:p w14:paraId="3B4FEDEC" w14:textId="77777777" w:rsidR="00F34076" w:rsidRPr="00914B47" w:rsidRDefault="00F34076" w:rsidP="00F564DE">
            <w:pPr>
              <w:pStyle w:val="OutlineNumbered2"/>
            </w:pPr>
            <w:r w:rsidRPr="00914B47">
              <w:t>A</w:t>
            </w:r>
            <w:r w:rsidRPr="00914B47" w:rsidDel="009723D6">
              <w:t>n</w:t>
            </w:r>
            <w:r w:rsidRPr="00914B47">
              <w:t xml:space="preserve"> account-based pension</w:t>
            </w:r>
            <w:r w:rsidRPr="00914B47" w:rsidDel="009723D6">
              <w:t>.</w:t>
            </w:r>
            <w:r w:rsidRPr="00914B47">
              <w:t xml:space="preserve"> </w:t>
            </w:r>
          </w:p>
          <w:p w14:paraId="04674CAE" w14:textId="77777777" w:rsidR="00F34076" w:rsidRPr="00914B47" w:rsidRDefault="00F34076" w:rsidP="00F564DE">
            <w:pPr>
              <w:pStyle w:val="OutlineNumbered2"/>
            </w:pPr>
            <w:r w:rsidRPr="00914B47">
              <w:t xml:space="preserve">Lump sums. </w:t>
            </w:r>
          </w:p>
        </w:tc>
      </w:tr>
    </w:tbl>
    <w:p w14:paraId="27CED4FB" w14:textId="77777777" w:rsidR="00F34076" w:rsidRPr="00914B47" w:rsidRDefault="00F34076" w:rsidP="00F34076">
      <w:pPr>
        <w:pStyle w:val="SingleParagraph"/>
      </w:pPr>
    </w:p>
    <w:tbl>
      <w:tblPr>
        <w:tblW w:w="5000" w:type="pct"/>
        <w:shd w:val="clear" w:color="auto" w:fill="FDF6F1"/>
        <w:tblCellMar>
          <w:top w:w="113" w:type="dxa"/>
          <w:left w:w="284" w:type="dxa"/>
          <w:bottom w:w="113" w:type="dxa"/>
          <w:right w:w="284" w:type="dxa"/>
        </w:tblCellMar>
        <w:tblLook w:val="0620" w:firstRow="1" w:lastRow="0" w:firstColumn="0" w:lastColumn="0" w:noHBand="1" w:noVBand="1"/>
      </w:tblPr>
      <w:tblGrid>
        <w:gridCol w:w="8504"/>
      </w:tblGrid>
      <w:tr w:rsidR="00F34076" w:rsidRPr="00914B47" w14:paraId="2D980677" w14:textId="77777777" w:rsidTr="00D35457">
        <w:tc>
          <w:tcPr>
            <w:tcW w:w="5000" w:type="pct"/>
            <w:shd w:val="clear" w:color="auto" w:fill="FDF6F1"/>
            <w:hideMark/>
          </w:tcPr>
          <w:p w14:paraId="44CD5BED" w14:textId="77777777" w:rsidR="00F34076" w:rsidRPr="00914B47" w:rsidRDefault="00F34076" w:rsidP="00F34076">
            <w:pPr>
              <w:pStyle w:val="OutlineNumbered1"/>
              <w:rPr>
                <w:rStyle w:val="Strong"/>
                <w:b w:val="0"/>
                <w:bCs w:val="0"/>
              </w:rPr>
            </w:pPr>
            <w:r w:rsidRPr="00914B47">
              <w:rPr>
                <w:rStyle w:val="Strong"/>
                <w:b w:val="0"/>
                <w:bCs w:val="0"/>
              </w:rPr>
              <w:t xml:space="preserve">Design product settings that allow for the construction of retirement income solutions that meet members’ retirement income needs, including: </w:t>
            </w:r>
          </w:p>
          <w:p w14:paraId="154C7C86" w14:textId="10189A04" w:rsidR="00F34076" w:rsidRPr="00914B47" w:rsidRDefault="00F34076" w:rsidP="00F34076">
            <w:pPr>
              <w:pStyle w:val="OutlineNumbered2"/>
              <w:numPr>
                <w:ilvl w:val="0"/>
                <w:numId w:val="18"/>
              </w:numPr>
            </w:pPr>
            <w:r w:rsidRPr="00914B47">
              <w:t>Lifetime income product settings that have regard to member preferences around expected risk and return, for example managing longevity or investment</w:t>
            </w:r>
            <w:r w:rsidR="00061F1A" w:rsidRPr="00914B47">
              <w:t> </w:t>
            </w:r>
            <w:r w:rsidRPr="00914B47">
              <w:t xml:space="preserve">risk. </w:t>
            </w:r>
          </w:p>
          <w:p w14:paraId="3251E9F6" w14:textId="7ED7B39D" w:rsidR="00F34076" w:rsidRPr="00914B47" w:rsidRDefault="00F34076" w:rsidP="00F564DE">
            <w:pPr>
              <w:pStyle w:val="OutlineNumbered2"/>
            </w:pPr>
            <w:r w:rsidRPr="00914B47">
              <w:t>Account-based pension product settings that help to manage expected risks, for</w:t>
            </w:r>
            <w:r w:rsidR="00FA04A1" w:rsidRPr="00914B47">
              <w:t> </w:t>
            </w:r>
            <w:r w:rsidRPr="00914B47">
              <w:t xml:space="preserve">example sequencing, market and inflation risks. </w:t>
            </w:r>
          </w:p>
          <w:p w14:paraId="0B894E93" w14:textId="77777777" w:rsidR="00F34076" w:rsidRPr="00914B47" w:rsidRDefault="00F34076" w:rsidP="00F564DE">
            <w:pPr>
              <w:pStyle w:val="OutlineNumbered2"/>
              <w:ind w:left="757" w:hanging="360"/>
            </w:pPr>
            <w:r w:rsidRPr="00914B47">
              <w:t>Trustee-designed drawdown</w:t>
            </w:r>
            <w:r w:rsidRPr="00914B47" w:rsidDel="004A50F5">
              <w:t xml:space="preserve"> </w:t>
            </w:r>
            <w:r w:rsidRPr="00914B47">
              <w:t>pathways for account-based pensions that</w:t>
            </w:r>
            <w:r w:rsidRPr="00914B47" w:rsidDel="000D4922">
              <w:t xml:space="preserve"> </w:t>
            </w:r>
            <w:r w:rsidRPr="00914B47">
              <w:t xml:space="preserve">more </w:t>
            </w:r>
            <w:r w:rsidRPr="00914B47" w:rsidDel="000D4922">
              <w:t xml:space="preserve">efficiently </w:t>
            </w:r>
            <w:r w:rsidRPr="00914B47">
              <w:t xml:space="preserve">convert superannuation balances into income than the legislated minimum drawdown rates. </w:t>
            </w:r>
          </w:p>
        </w:tc>
      </w:tr>
    </w:tbl>
    <w:p w14:paraId="3C3CCB63" w14:textId="77777777" w:rsidR="00F34076" w:rsidRPr="00914B47" w:rsidRDefault="00F34076" w:rsidP="00F34076">
      <w:pPr>
        <w:pStyle w:val="SingleParagraph"/>
      </w:pPr>
    </w:p>
    <w:tbl>
      <w:tblPr>
        <w:tblW w:w="5000" w:type="pct"/>
        <w:shd w:val="clear" w:color="auto" w:fill="FDF6F1"/>
        <w:tblCellMar>
          <w:top w:w="113" w:type="dxa"/>
          <w:left w:w="284" w:type="dxa"/>
          <w:bottom w:w="113" w:type="dxa"/>
          <w:right w:w="227" w:type="dxa"/>
        </w:tblCellMar>
        <w:tblLook w:val="0620" w:firstRow="1" w:lastRow="0" w:firstColumn="0" w:lastColumn="0" w:noHBand="1" w:noVBand="1"/>
      </w:tblPr>
      <w:tblGrid>
        <w:gridCol w:w="8504"/>
      </w:tblGrid>
      <w:tr w:rsidR="00F34076" w:rsidRPr="00914B47" w14:paraId="3258CBD0" w14:textId="77777777" w:rsidTr="00D35457">
        <w:tc>
          <w:tcPr>
            <w:tcW w:w="5000" w:type="pct"/>
            <w:shd w:val="clear" w:color="auto" w:fill="FDF6F1"/>
            <w:hideMark/>
          </w:tcPr>
          <w:p w14:paraId="03536BBC" w14:textId="3C29B11D" w:rsidR="00F34076" w:rsidRPr="00914B47" w:rsidRDefault="00F34076" w:rsidP="00F34076">
            <w:pPr>
              <w:pStyle w:val="OutlineNumbered1"/>
              <w:rPr>
                <w:rStyle w:val="Strong"/>
                <w:b w:val="0"/>
                <w:bCs w:val="0"/>
              </w:rPr>
            </w:pPr>
            <w:r w:rsidRPr="00914B47">
              <w:rPr>
                <w:rStyle w:val="Strong"/>
                <w:b w:val="0"/>
                <w:bCs w:val="0"/>
              </w:rPr>
              <w:t>Allow all members that meet a relevant condition of release access to a retirement income solution that includes an account-based pension component, irrespective of</w:t>
            </w:r>
            <w:r w:rsidR="00914B47">
              <w:rPr>
                <w:rStyle w:val="Strong"/>
                <w:b w:val="0"/>
                <w:bCs w:val="0"/>
              </w:rPr>
              <w:t> </w:t>
            </w:r>
            <w:r w:rsidRPr="00914B47">
              <w:rPr>
                <w:rStyle w:val="Strong"/>
                <w:b w:val="0"/>
                <w:bCs w:val="0"/>
              </w:rPr>
              <w:t>account balance.</w:t>
            </w:r>
            <w:r w:rsidRPr="00914B47">
              <w:rPr>
                <w:rStyle w:val="Strong"/>
                <w:b w:val="0"/>
                <w:bCs w:val="0"/>
                <w:vertAlign w:val="superscript"/>
              </w:rPr>
              <w:footnoteReference w:id="2"/>
            </w:r>
            <w:r w:rsidRPr="00914B47">
              <w:rPr>
                <w:rStyle w:val="Strong"/>
                <w:b w:val="0"/>
                <w:bCs w:val="0"/>
                <w:vertAlign w:val="superscript"/>
              </w:rPr>
              <w:t xml:space="preserve"> </w:t>
            </w:r>
          </w:p>
        </w:tc>
      </w:tr>
    </w:tbl>
    <w:p w14:paraId="138FAD1B" w14:textId="77777777" w:rsidR="00F34076" w:rsidRPr="00914B47" w:rsidRDefault="00F34076" w:rsidP="00F34076">
      <w:pPr>
        <w:pStyle w:val="SingleParagraph"/>
      </w:pPr>
    </w:p>
    <w:tbl>
      <w:tblPr>
        <w:tblW w:w="5000" w:type="pct"/>
        <w:shd w:val="clear" w:color="auto" w:fill="FDF6F1"/>
        <w:tblCellMar>
          <w:top w:w="113" w:type="dxa"/>
          <w:left w:w="284" w:type="dxa"/>
          <w:bottom w:w="113" w:type="dxa"/>
          <w:right w:w="227" w:type="dxa"/>
        </w:tblCellMar>
        <w:tblLook w:val="0620" w:firstRow="1" w:lastRow="0" w:firstColumn="0" w:lastColumn="0" w:noHBand="1" w:noVBand="1"/>
      </w:tblPr>
      <w:tblGrid>
        <w:gridCol w:w="8504"/>
      </w:tblGrid>
      <w:tr w:rsidR="00F34076" w:rsidRPr="00914B47" w14:paraId="6D76A10B" w14:textId="77777777" w:rsidTr="00D35457">
        <w:tc>
          <w:tcPr>
            <w:tcW w:w="5000" w:type="pct"/>
            <w:shd w:val="clear" w:color="auto" w:fill="FDF6F1"/>
            <w:hideMark/>
          </w:tcPr>
          <w:p w14:paraId="09F09451" w14:textId="77777777" w:rsidR="00F34076" w:rsidRPr="00914B47" w:rsidRDefault="00F34076" w:rsidP="00F34076">
            <w:pPr>
              <w:pStyle w:val="OutlineNumbered1"/>
              <w:rPr>
                <w:rStyle w:val="Strong"/>
                <w:b w:val="0"/>
                <w:bCs w:val="0"/>
              </w:rPr>
            </w:pPr>
            <w:r w:rsidRPr="00914B47">
              <w:rPr>
                <w:rStyle w:val="Strong"/>
                <w:b w:val="0"/>
                <w:bCs w:val="0"/>
              </w:rPr>
              <w:t>Ensure these products and product settings can be used to construct both trustee</w:t>
            </w:r>
            <w:r w:rsidRPr="00914B47">
              <w:rPr>
                <w:rStyle w:val="Strong"/>
                <w:b w:val="0"/>
                <w:bCs w:val="0"/>
              </w:rPr>
              <w:noBreakHyphen/>
              <w:t xml:space="preserve">designed retirement income solutions and allow members to tailor their own retirement income solution.  </w:t>
            </w:r>
          </w:p>
        </w:tc>
      </w:tr>
    </w:tbl>
    <w:p w14:paraId="7B0D16FB" w14:textId="77777777" w:rsidR="00F34076" w:rsidRPr="004613E8" w:rsidRDefault="00F34076" w:rsidP="00F34076">
      <w:r w:rsidRPr="004613E8">
        <w:br w:type="page"/>
      </w:r>
    </w:p>
    <w:p w14:paraId="4037A248" w14:textId="351FAD6E" w:rsidR="00F34076" w:rsidRDefault="0076113D" w:rsidP="00F34076">
      <w:pPr>
        <w:pStyle w:val="Heading1"/>
      </w:pPr>
      <w:bookmarkStart w:id="2" w:name="_Toc222129894"/>
      <w:r>
        <w:rPr>
          <w:noProof/>
        </w:rPr>
        <w:lastRenderedPageBreak/>
        <w:drawing>
          <wp:anchor distT="0" distB="0" distL="114300" distR="114300" simplePos="0" relativeHeight="251668480" behindDoc="0" locked="0" layoutInCell="1" allowOverlap="1" wp14:anchorId="1B4D2237" wp14:editId="797FF7D0">
            <wp:simplePos x="0" y="0"/>
            <wp:positionH relativeFrom="column">
              <wp:posOffset>-365</wp:posOffset>
            </wp:positionH>
            <wp:positionV relativeFrom="paragraph">
              <wp:posOffset>59296</wp:posOffset>
            </wp:positionV>
            <wp:extent cx="466703" cy="465410"/>
            <wp:effectExtent l="0" t="0" r="0" b="0"/>
            <wp:wrapNone/>
            <wp:docPr id="11375701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570113"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703" cy="465410"/>
                    </a:xfrm>
                    <a:prstGeom prst="rect">
                      <a:avLst/>
                    </a:prstGeom>
                  </pic:spPr>
                </pic:pic>
              </a:graphicData>
            </a:graphic>
            <wp14:sizeRelH relativeFrom="page">
              <wp14:pctWidth>0</wp14:pctWidth>
            </wp14:sizeRelH>
            <wp14:sizeRelV relativeFrom="page">
              <wp14:pctHeight>0</wp14:pctHeight>
            </wp14:sizeRelV>
          </wp:anchor>
        </w:drawing>
      </w:r>
      <w:r w:rsidR="00F34076">
        <w:t xml:space="preserve">Constructing </w:t>
      </w:r>
      <w:r w:rsidR="00F34076" w:rsidRPr="00D317B5">
        <w:t>retirement</w:t>
      </w:r>
      <w:r w:rsidR="00F34076">
        <w:t xml:space="preserve"> income solutions that meet members’ needs</w:t>
      </w:r>
      <w:bookmarkEnd w:id="2"/>
    </w:p>
    <w:p w14:paraId="31596AD1" w14:textId="77777777" w:rsidR="00F34076" w:rsidRDefault="00F34076" w:rsidP="00F34076">
      <w:r>
        <w:t xml:space="preserve">Best practice for constructing retirement income solutions that meet members retirement income needs means a trustee will: </w:t>
      </w:r>
    </w:p>
    <w:p w14:paraId="4E63926A" w14:textId="77777777" w:rsidR="00F34076" w:rsidRPr="0098555B" w:rsidRDefault="00F34076" w:rsidP="00F34076">
      <w:pPr>
        <w:pStyle w:val="NoSpacing"/>
      </w:pPr>
    </w:p>
    <w:tbl>
      <w:tblPr>
        <w:tblW w:w="5000" w:type="pct"/>
        <w:shd w:val="clear" w:color="auto" w:fill="FDF6F1"/>
        <w:tblCellMar>
          <w:top w:w="113" w:type="dxa"/>
          <w:left w:w="284" w:type="dxa"/>
          <w:bottom w:w="113" w:type="dxa"/>
          <w:right w:w="227" w:type="dxa"/>
        </w:tblCellMar>
        <w:tblLook w:val="0620" w:firstRow="1" w:lastRow="0" w:firstColumn="0" w:lastColumn="0" w:noHBand="1" w:noVBand="1"/>
      </w:tblPr>
      <w:tblGrid>
        <w:gridCol w:w="8504"/>
      </w:tblGrid>
      <w:tr w:rsidR="00F34076" w:rsidRPr="00914B47" w14:paraId="41CBF608" w14:textId="77777777" w:rsidTr="002A3EA6">
        <w:tc>
          <w:tcPr>
            <w:tcW w:w="5000" w:type="pct"/>
            <w:shd w:val="clear" w:color="auto" w:fill="F1F6FD"/>
            <w:hideMark/>
          </w:tcPr>
          <w:p w14:paraId="5CF4D914" w14:textId="77777777" w:rsidR="00F34076" w:rsidRPr="00914B47" w:rsidRDefault="00F34076" w:rsidP="00F34076">
            <w:pPr>
              <w:pStyle w:val="OutlineNumbered1"/>
              <w:rPr>
                <w:rStyle w:val="Strong"/>
                <w:b w:val="0"/>
                <w:bCs w:val="0"/>
              </w:rPr>
            </w:pPr>
            <w:r w:rsidRPr="00914B47">
              <w:rPr>
                <w:rStyle w:val="Strong"/>
                <w:b w:val="0"/>
                <w:bCs w:val="0"/>
              </w:rPr>
              <w:t xml:space="preserve">Construct a separate trustee-designed retirement income solution for each identified cohort, that balances members’ needs to maximise expected retirement income, manage expected risks, and maintain flexible access to capital. These should include: </w:t>
            </w:r>
          </w:p>
          <w:p w14:paraId="3838B5AC" w14:textId="77777777" w:rsidR="00F34076" w:rsidRPr="00914B47" w:rsidRDefault="00F34076" w:rsidP="00F34076">
            <w:pPr>
              <w:pStyle w:val="OutlineNumbered2"/>
              <w:numPr>
                <w:ilvl w:val="0"/>
                <w:numId w:val="19"/>
              </w:numPr>
            </w:pPr>
            <w:r w:rsidRPr="00914B47">
              <w:t xml:space="preserve">A lifetime income product component in at least one retirement income solution, that has regard to likely Age Pension eligibility. </w:t>
            </w:r>
          </w:p>
          <w:p w14:paraId="729E666A" w14:textId="77777777" w:rsidR="00F34076" w:rsidRPr="00914B47" w:rsidRDefault="00F34076" w:rsidP="00F564DE">
            <w:pPr>
              <w:pStyle w:val="OutlineNumbered2"/>
              <w:rPr>
                <w:rStyle w:val="Strong"/>
                <w:b w:val="0"/>
                <w:bCs w:val="0"/>
              </w:rPr>
            </w:pPr>
            <w:r w:rsidRPr="00914B47">
              <w:t xml:space="preserve">For most solutions, a drawdown pathway that is higher than the legislated minimum </w:t>
            </w:r>
            <w:r w:rsidRPr="00914B47">
              <w:rPr>
                <w:spacing w:val="-1"/>
              </w:rPr>
              <w:t>drawdown rate, considering stability of income delivered through relevant components.</w:t>
            </w:r>
            <w:r w:rsidRPr="00914B47">
              <w:t xml:space="preserve"> </w:t>
            </w:r>
          </w:p>
        </w:tc>
      </w:tr>
    </w:tbl>
    <w:p w14:paraId="48AA5EC2" w14:textId="77777777" w:rsidR="00F34076" w:rsidRPr="00914B47" w:rsidRDefault="00F34076" w:rsidP="00F34076">
      <w:pPr>
        <w:pStyle w:val="SingleParagraph"/>
      </w:pPr>
    </w:p>
    <w:tbl>
      <w:tblPr>
        <w:tblW w:w="5000" w:type="pct"/>
        <w:shd w:val="clear" w:color="auto" w:fill="FDF6F1"/>
        <w:tblCellMar>
          <w:top w:w="113" w:type="dxa"/>
          <w:left w:w="284" w:type="dxa"/>
          <w:bottom w:w="113" w:type="dxa"/>
          <w:right w:w="227" w:type="dxa"/>
        </w:tblCellMar>
        <w:tblLook w:val="0620" w:firstRow="1" w:lastRow="0" w:firstColumn="0" w:lastColumn="0" w:noHBand="1" w:noVBand="1"/>
      </w:tblPr>
      <w:tblGrid>
        <w:gridCol w:w="8504"/>
      </w:tblGrid>
      <w:tr w:rsidR="00F34076" w:rsidRPr="00914B47" w14:paraId="27F03156" w14:textId="77777777" w:rsidTr="002A3EA6">
        <w:tc>
          <w:tcPr>
            <w:tcW w:w="5000" w:type="pct"/>
            <w:shd w:val="clear" w:color="auto" w:fill="F1F6FD"/>
            <w:hideMark/>
          </w:tcPr>
          <w:p w14:paraId="4B0207C0" w14:textId="3D5696A2" w:rsidR="00F34076" w:rsidRPr="00914B47" w:rsidRDefault="00F34076" w:rsidP="00F34076">
            <w:pPr>
              <w:pStyle w:val="OutlineNumbered1"/>
              <w:rPr>
                <w:rStyle w:val="Strong"/>
                <w:b w:val="0"/>
                <w:bCs w:val="0"/>
              </w:rPr>
            </w:pPr>
            <w:r w:rsidRPr="00914B47">
              <w:rPr>
                <w:rStyle w:val="Strong"/>
                <w:b w:val="0"/>
                <w:bCs w:val="0"/>
              </w:rPr>
              <w:t>Ensure each trustee-designed retirement income solution is broadly calibrated to the</w:t>
            </w:r>
            <w:r w:rsidR="00914B47">
              <w:rPr>
                <w:rStyle w:val="Strong"/>
                <w:b w:val="0"/>
                <w:bCs w:val="0"/>
              </w:rPr>
              <w:t> </w:t>
            </w:r>
            <w:r w:rsidRPr="00914B47">
              <w:rPr>
                <w:rStyle w:val="Strong"/>
                <w:b w:val="0"/>
                <w:bCs w:val="0"/>
              </w:rPr>
              <w:t xml:space="preserve">financial characteristics of a retiree cohort. </w:t>
            </w:r>
          </w:p>
        </w:tc>
      </w:tr>
    </w:tbl>
    <w:p w14:paraId="44A168E3" w14:textId="77777777" w:rsidR="00F34076" w:rsidRPr="00914B47" w:rsidRDefault="00F34076" w:rsidP="00F34076">
      <w:pPr>
        <w:pStyle w:val="SingleParagraph"/>
      </w:pPr>
    </w:p>
    <w:tbl>
      <w:tblPr>
        <w:tblW w:w="5000" w:type="pct"/>
        <w:shd w:val="clear" w:color="auto" w:fill="FDF6F1"/>
        <w:tblCellMar>
          <w:top w:w="113" w:type="dxa"/>
          <w:left w:w="284" w:type="dxa"/>
          <w:bottom w:w="113" w:type="dxa"/>
          <w:right w:w="227" w:type="dxa"/>
        </w:tblCellMar>
        <w:tblLook w:val="0620" w:firstRow="1" w:lastRow="0" w:firstColumn="0" w:lastColumn="0" w:noHBand="1" w:noVBand="1"/>
      </w:tblPr>
      <w:tblGrid>
        <w:gridCol w:w="8504"/>
      </w:tblGrid>
      <w:tr w:rsidR="00F34076" w:rsidRPr="00914B47" w14:paraId="166D3ACD" w14:textId="77777777" w:rsidTr="002A3EA6">
        <w:tc>
          <w:tcPr>
            <w:tcW w:w="5000" w:type="pct"/>
            <w:shd w:val="clear" w:color="auto" w:fill="F1F6FD"/>
            <w:hideMark/>
          </w:tcPr>
          <w:p w14:paraId="7F41B297" w14:textId="6838889B" w:rsidR="00F34076" w:rsidRPr="00914B47" w:rsidRDefault="00F34076" w:rsidP="00F34076">
            <w:pPr>
              <w:pStyle w:val="OutlineNumbered1"/>
              <w:rPr>
                <w:rStyle w:val="Strong"/>
                <w:b w:val="0"/>
                <w:bCs w:val="0"/>
              </w:rPr>
            </w:pPr>
            <w:r w:rsidRPr="00914B47">
              <w:rPr>
                <w:rStyle w:val="Strong"/>
                <w:b w:val="0"/>
                <w:bCs w:val="0"/>
              </w:rPr>
              <w:t>Design guidance services that assist members to understand and select</w:t>
            </w:r>
            <w:r w:rsidRPr="00914B47" w:rsidDel="000D2EF1">
              <w:rPr>
                <w:rStyle w:val="Strong"/>
                <w:b w:val="0"/>
                <w:bCs w:val="0"/>
              </w:rPr>
              <w:t xml:space="preserve"> </w:t>
            </w:r>
            <w:r w:rsidRPr="00914B47">
              <w:rPr>
                <w:rStyle w:val="Strong"/>
                <w:b w:val="0"/>
                <w:bCs w:val="0"/>
              </w:rPr>
              <w:t>the components of their retirement income solution, for example through personas or</w:t>
            </w:r>
            <w:r w:rsidR="00914B47">
              <w:rPr>
                <w:rStyle w:val="Strong"/>
                <w:b w:val="0"/>
                <w:bCs w:val="0"/>
              </w:rPr>
              <w:t> </w:t>
            </w:r>
            <w:r w:rsidRPr="00914B47">
              <w:rPr>
                <w:rStyle w:val="Strong"/>
                <w:b w:val="0"/>
                <w:bCs w:val="0"/>
              </w:rPr>
              <w:t xml:space="preserve">assisted choice tools. </w:t>
            </w:r>
          </w:p>
        </w:tc>
      </w:tr>
    </w:tbl>
    <w:p w14:paraId="77758C55" w14:textId="77777777" w:rsidR="00F34076" w:rsidRPr="004613E8" w:rsidRDefault="00F34076" w:rsidP="00F34076">
      <w:r w:rsidRPr="004613E8">
        <w:br w:type="page"/>
      </w:r>
    </w:p>
    <w:p w14:paraId="73958C1E" w14:textId="56346F01" w:rsidR="00F34076" w:rsidRDefault="0076113D" w:rsidP="00F34076">
      <w:pPr>
        <w:pStyle w:val="Heading1"/>
      </w:pPr>
      <w:bookmarkStart w:id="3" w:name="_Toc222129895"/>
      <w:r>
        <w:rPr>
          <w:noProof/>
        </w:rPr>
        <w:lastRenderedPageBreak/>
        <w:drawing>
          <wp:anchor distT="0" distB="0" distL="114300" distR="114300" simplePos="0" relativeHeight="251670528" behindDoc="0" locked="0" layoutInCell="1" allowOverlap="1" wp14:anchorId="64C1D6C8" wp14:editId="33B57821">
            <wp:simplePos x="0" y="0"/>
            <wp:positionH relativeFrom="column">
              <wp:posOffset>1319</wp:posOffset>
            </wp:positionH>
            <wp:positionV relativeFrom="paragraph">
              <wp:posOffset>54073</wp:posOffset>
            </wp:positionV>
            <wp:extent cx="468000" cy="468000"/>
            <wp:effectExtent l="0" t="0" r="8255" b="8255"/>
            <wp:wrapNone/>
            <wp:docPr id="184074970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49703"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14:sizeRelH relativeFrom="page">
              <wp14:pctWidth>0</wp14:pctWidth>
            </wp14:sizeRelH>
            <wp14:sizeRelV relativeFrom="page">
              <wp14:pctHeight>0</wp14:pctHeight>
            </wp14:sizeRelV>
          </wp:anchor>
        </w:drawing>
      </w:r>
      <w:r w:rsidR="00F34076">
        <w:t>Supporting member engagement with</w:t>
      </w:r>
      <w:r w:rsidR="009A562C">
        <w:t> </w:t>
      </w:r>
      <w:r w:rsidR="00F34076">
        <w:t>retirement income solutions</w:t>
      </w:r>
      <w:bookmarkEnd w:id="3"/>
    </w:p>
    <w:p w14:paraId="4B2D42D3" w14:textId="4BEBC023" w:rsidR="00F34076" w:rsidRDefault="00F34076" w:rsidP="00F34076">
      <w:r>
        <w:t>Best practice for supporting members to choose a retirement income solution means a</w:t>
      </w:r>
      <w:r w:rsidR="00061F1A">
        <w:t> </w:t>
      </w:r>
      <w:r>
        <w:t xml:space="preserve">trustee will: </w:t>
      </w:r>
    </w:p>
    <w:p w14:paraId="22697019" w14:textId="77777777" w:rsidR="00F34076" w:rsidRPr="00A4116F" w:rsidRDefault="00F34076" w:rsidP="00F34076">
      <w:pPr>
        <w:pStyle w:val="NoSpacing"/>
      </w:pPr>
    </w:p>
    <w:tbl>
      <w:tblPr>
        <w:tblW w:w="5000" w:type="pct"/>
        <w:shd w:val="clear" w:color="auto" w:fill="FDF6F1"/>
        <w:tblCellMar>
          <w:top w:w="113" w:type="dxa"/>
          <w:left w:w="284" w:type="dxa"/>
          <w:bottom w:w="113" w:type="dxa"/>
          <w:right w:w="113" w:type="dxa"/>
        </w:tblCellMar>
        <w:tblLook w:val="0620" w:firstRow="1" w:lastRow="0" w:firstColumn="0" w:lastColumn="0" w:noHBand="1" w:noVBand="1"/>
      </w:tblPr>
      <w:tblGrid>
        <w:gridCol w:w="8504"/>
      </w:tblGrid>
      <w:tr w:rsidR="00F34076" w:rsidRPr="00914B47" w14:paraId="30208DC2" w14:textId="77777777" w:rsidTr="002A3EA6">
        <w:tc>
          <w:tcPr>
            <w:tcW w:w="5000" w:type="pct"/>
            <w:shd w:val="clear" w:color="auto" w:fill="FDF6F1"/>
            <w:hideMark/>
          </w:tcPr>
          <w:p w14:paraId="41FE2195" w14:textId="43D60FD4" w:rsidR="00F34076" w:rsidRPr="00914B47" w:rsidRDefault="00F34076" w:rsidP="00F34076">
            <w:pPr>
              <w:pStyle w:val="OutlineNumbered1"/>
              <w:rPr>
                <w:rStyle w:val="Strong"/>
                <w:b w:val="0"/>
                <w:bCs w:val="0"/>
              </w:rPr>
            </w:pPr>
            <w:r w:rsidRPr="00914B47">
              <w:rPr>
                <w:rStyle w:val="Strong"/>
                <w:b w:val="0"/>
                <w:bCs w:val="0"/>
              </w:rPr>
              <w:t>Support all members to understand their retirement income needs by providing forecasts or projections of income in both annual and pay-cycle terms, including</w:t>
            </w:r>
            <w:r w:rsidR="00061F1A" w:rsidRPr="00914B47">
              <w:rPr>
                <w:rStyle w:val="Strong"/>
                <w:b w:val="0"/>
                <w:bCs w:val="0"/>
              </w:rPr>
              <w:t> </w:t>
            </w:r>
            <w:r w:rsidRPr="00914B47">
              <w:rPr>
                <w:rStyle w:val="Strong"/>
                <w:b w:val="0"/>
                <w:bCs w:val="0"/>
              </w:rPr>
              <w:t xml:space="preserve">through: </w:t>
            </w:r>
          </w:p>
          <w:p w14:paraId="4D5B3B4D" w14:textId="77777777" w:rsidR="00F34076" w:rsidRPr="00914B47" w:rsidRDefault="00F34076" w:rsidP="00F34076">
            <w:pPr>
              <w:pStyle w:val="OutlineNumbered2"/>
              <w:numPr>
                <w:ilvl w:val="0"/>
                <w:numId w:val="20"/>
              </w:numPr>
            </w:pPr>
            <w:r w:rsidRPr="00914B47">
              <w:t xml:space="preserve">Annual member statements. </w:t>
            </w:r>
          </w:p>
          <w:p w14:paraId="3FFEE193" w14:textId="77777777" w:rsidR="00F34076" w:rsidRPr="00914B47" w:rsidRDefault="00F34076" w:rsidP="00F564DE">
            <w:pPr>
              <w:pStyle w:val="OutlineNumbered2"/>
              <w:rPr>
                <w:rStyle w:val="Strong"/>
                <w:b w:val="0"/>
                <w:bCs w:val="0"/>
              </w:rPr>
            </w:pPr>
            <w:r w:rsidRPr="00914B47">
              <w:t xml:space="preserve">Budgeting tools or expenditure calculators. </w:t>
            </w:r>
          </w:p>
        </w:tc>
      </w:tr>
    </w:tbl>
    <w:p w14:paraId="6BEB1EA5" w14:textId="77777777" w:rsidR="00F34076" w:rsidRPr="00914B47" w:rsidRDefault="00F34076" w:rsidP="00F34076">
      <w:pPr>
        <w:pStyle w:val="SingleParagraph"/>
      </w:pPr>
    </w:p>
    <w:tbl>
      <w:tblPr>
        <w:tblW w:w="5000" w:type="pct"/>
        <w:shd w:val="clear" w:color="auto" w:fill="FDF6F1"/>
        <w:tblCellMar>
          <w:top w:w="113" w:type="dxa"/>
          <w:left w:w="284" w:type="dxa"/>
          <w:bottom w:w="113" w:type="dxa"/>
          <w:right w:w="227" w:type="dxa"/>
        </w:tblCellMar>
        <w:tblLook w:val="0620" w:firstRow="1" w:lastRow="0" w:firstColumn="0" w:lastColumn="0" w:noHBand="1" w:noVBand="1"/>
      </w:tblPr>
      <w:tblGrid>
        <w:gridCol w:w="8504"/>
      </w:tblGrid>
      <w:tr w:rsidR="00F34076" w:rsidRPr="00914B47" w14:paraId="6F9A86C7" w14:textId="77777777" w:rsidTr="002A3EA6">
        <w:tc>
          <w:tcPr>
            <w:tcW w:w="5000" w:type="pct"/>
            <w:shd w:val="clear" w:color="auto" w:fill="FDF6F1"/>
            <w:hideMark/>
          </w:tcPr>
          <w:p w14:paraId="3603919C" w14:textId="77777777" w:rsidR="00F34076" w:rsidRPr="00914B47" w:rsidRDefault="00F34076" w:rsidP="00F34076">
            <w:pPr>
              <w:pStyle w:val="OutlineNumbered1"/>
              <w:rPr>
                <w:rStyle w:val="Strong"/>
                <w:b w:val="0"/>
                <w:bCs w:val="0"/>
              </w:rPr>
            </w:pPr>
            <w:r w:rsidRPr="00914B47">
              <w:rPr>
                <w:rStyle w:val="Strong"/>
                <w:b w:val="0"/>
                <w:bCs w:val="0"/>
              </w:rPr>
              <w:t xml:space="preserve">Foster member engagement during the accumulation phase by providing information and tools that can help members prepare for and understand their retirement income needs, including on: </w:t>
            </w:r>
          </w:p>
          <w:p w14:paraId="41F5D647" w14:textId="77777777" w:rsidR="00F34076" w:rsidRPr="00914B47" w:rsidRDefault="00F34076" w:rsidP="00F34076">
            <w:pPr>
              <w:pStyle w:val="OutlineNumbered2"/>
              <w:numPr>
                <w:ilvl w:val="0"/>
                <w:numId w:val="21"/>
              </w:numPr>
            </w:pPr>
            <w:r w:rsidRPr="00914B47">
              <w:t>Moving into the retirement phase of superannuation.</w:t>
            </w:r>
          </w:p>
          <w:p w14:paraId="0F2A3C03" w14:textId="77777777" w:rsidR="00F34076" w:rsidRPr="00914B47" w:rsidRDefault="00F34076" w:rsidP="00F564DE">
            <w:pPr>
              <w:pStyle w:val="OutlineNumbered2"/>
            </w:pPr>
            <w:r w:rsidRPr="00914B47">
              <w:t xml:space="preserve">Classes of retirement products and drawdown pathways. </w:t>
            </w:r>
          </w:p>
          <w:p w14:paraId="624CE6E0" w14:textId="77777777" w:rsidR="00F34076" w:rsidRPr="00914B47" w:rsidRDefault="00F34076" w:rsidP="00F564DE">
            <w:pPr>
              <w:pStyle w:val="OutlineNumbered2"/>
            </w:pPr>
            <w:r w:rsidRPr="00914B47">
              <w:t>Guidance services offered by the trustee.</w:t>
            </w:r>
          </w:p>
          <w:p w14:paraId="3B420A86" w14:textId="77777777" w:rsidR="00F34076" w:rsidRPr="00914B47" w:rsidRDefault="00F34076" w:rsidP="00F564DE">
            <w:pPr>
              <w:pStyle w:val="OutlineNumbered2"/>
              <w:rPr>
                <w:rStyle w:val="Strong"/>
                <w:b w:val="0"/>
                <w:bCs w:val="0"/>
              </w:rPr>
            </w:pPr>
            <w:r w:rsidRPr="00914B47">
              <w:t>Government resources on retirement related topics, including information on non</w:t>
            </w:r>
            <w:r w:rsidRPr="00914B47">
              <w:noBreakHyphen/>
              <w:t>superannuation sources of income in retirement such as the Age Pension and access to home equity.</w:t>
            </w:r>
          </w:p>
        </w:tc>
      </w:tr>
    </w:tbl>
    <w:p w14:paraId="163160CE" w14:textId="77777777" w:rsidR="00F34076" w:rsidRPr="00914B47" w:rsidRDefault="00F34076" w:rsidP="00F34076">
      <w:pPr>
        <w:pStyle w:val="SingleParagraph"/>
      </w:pPr>
    </w:p>
    <w:tbl>
      <w:tblPr>
        <w:tblW w:w="5000" w:type="pct"/>
        <w:shd w:val="clear" w:color="auto" w:fill="FDF6F1"/>
        <w:tblCellMar>
          <w:top w:w="113" w:type="dxa"/>
          <w:left w:w="284" w:type="dxa"/>
          <w:bottom w:w="113" w:type="dxa"/>
          <w:right w:w="227" w:type="dxa"/>
        </w:tblCellMar>
        <w:tblLook w:val="0620" w:firstRow="1" w:lastRow="0" w:firstColumn="0" w:lastColumn="0" w:noHBand="1" w:noVBand="1"/>
      </w:tblPr>
      <w:tblGrid>
        <w:gridCol w:w="8504"/>
      </w:tblGrid>
      <w:tr w:rsidR="00F34076" w:rsidRPr="00914B47" w14:paraId="147654CF" w14:textId="77777777" w:rsidTr="002A3EA6">
        <w:tc>
          <w:tcPr>
            <w:tcW w:w="5000" w:type="pct"/>
            <w:shd w:val="clear" w:color="auto" w:fill="FDF6F1"/>
            <w:hideMark/>
          </w:tcPr>
          <w:p w14:paraId="7F5B7083" w14:textId="77777777" w:rsidR="00F34076" w:rsidRPr="00914B47" w:rsidRDefault="00F34076" w:rsidP="00F34076">
            <w:pPr>
              <w:pStyle w:val="OutlineNumbered1"/>
              <w:rPr>
                <w:rStyle w:val="Strong"/>
                <w:b w:val="0"/>
                <w:bCs w:val="0"/>
              </w:rPr>
            </w:pPr>
            <w:r w:rsidRPr="00914B47">
              <w:rPr>
                <w:rStyle w:val="Strong"/>
                <w:b w:val="0"/>
                <w:bCs w:val="0"/>
              </w:rPr>
              <w:t xml:space="preserve">Engage with members approaching retirement, to: </w:t>
            </w:r>
          </w:p>
          <w:p w14:paraId="71F83BD6" w14:textId="77777777" w:rsidR="00F34076" w:rsidRPr="00914B47" w:rsidRDefault="00F34076" w:rsidP="00F34076">
            <w:pPr>
              <w:pStyle w:val="OutlineNumbered2"/>
              <w:numPr>
                <w:ilvl w:val="0"/>
                <w:numId w:val="22"/>
              </w:numPr>
            </w:pPr>
            <w:r w:rsidRPr="00914B47">
              <w:t>Provide information on trustee-designed retirement income solutions and a description of the financial characteristics used to inform each solution.</w:t>
            </w:r>
          </w:p>
          <w:p w14:paraId="5B1C7075" w14:textId="5246FAEE" w:rsidR="00F34076" w:rsidRPr="00914B47" w:rsidRDefault="00F34076" w:rsidP="00F564DE">
            <w:pPr>
              <w:pStyle w:val="OutlineNumbered2"/>
            </w:pPr>
            <w:r w:rsidRPr="00914B47">
              <w:t>Inform them of how to access information on all retirement products offered by</w:t>
            </w:r>
            <w:r w:rsidR="00061F1A" w:rsidRPr="00914B47">
              <w:t> </w:t>
            </w:r>
            <w:r w:rsidRPr="00914B47">
              <w:t>the fund.</w:t>
            </w:r>
          </w:p>
          <w:p w14:paraId="6D13321C" w14:textId="77777777" w:rsidR="00F34076" w:rsidRPr="00914B47" w:rsidRDefault="00F34076" w:rsidP="00F564DE">
            <w:pPr>
              <w:pStyle w:val="OutlineNumbered2"/>
              <w:rPr>
                <w:rStyle w:val="Strong"/>
                <w:b w:val="0"/>
                <w:bCs w:val="0"/>
              </w:rPr>
            </w:pPr>
            <w:r w:rsidRPr="00914B47">
              <w:t xml:space="preserve">Encourage further engagement with information and guidance services to help inform members’ choice of retirement income solution.  </w:t>
            </w:r>
          </w:p>
        </w:tc>
      </w:tr>
    </w:tbl>
    <w:p w14:paraId="1AA04DC3" w14:textId="77777777" w:rsidR="00F34076" w:rsidRPr="00914B47" w:rsidRDefault="00F34076" w:rsidP="00F34076">
      <w:pPr>
        <w:pStyle w:val="SingleParagraph"/>
      </w:pPr>
    </w:p>
    <w:tbl>
      <w:tblPr>
        <w:tblW w:w="5000" w:type="pct"/>
        <w:shd w:val="clear" w:color="auto" w:fill="FDF6F1"/>
        <w:tblCellMar>
          <w:top w:w="113" w:type="dxa"/>
          <w:left w:w="284" w:type="dxa"/>
          <w:bottom w:w="113" w:type="dxa"/>
          <w:right w:w="227" w:type="dxa"/>
        </w:tblCellMar>
        <w:tblLook w:val="0620" w:firstRow="1" w:lastRow="0" w:firstColumn="0" w:lastColumn="0" w:noHBand="1" w:noVBand="1"/>
      </w:tblPr>
      <w:tblGrid>
        <w:gridCol w:w="8504"/>
      </w:tblGrid>
      <w:tr w:rsidR="00F34076" w:rsidRPr="00914B47" w14:paraId="673938C6" w14:textId="77777777" w:rsidTr="002A3EA6">
        <w:tc>
          <w:tcPr>
            <w:tcW w:w="5000" w:type="pct"/>
            <w:shd w:val="clear" w:color="auto" w:fill="FDF6F1"/>
            <w:hideMark/>
          </w:tcPr>
          <w:p w14:paraId="12D3ED09" w14:textId="77777777" w:rsidR="00F34076" w:rsidRPr="00914B47" w:rsidRDefault="00F34076" w:rsidP="00F34076">
            <w:pPr>
              <w:pStyle w:val="OutlineNumbered1"/>
              <w:rPr>
                <w:rStyle w:val="Strong"/>
                <w:b w:val="0"/>
                <w:bCs w:val="0"/>
              </w:rPr>
            </w:pPr>
            <w:r w:rsidRPr="00914B47">
              <w:rPr>
                <w:rStyle w:val="Strong"/>
                <w:b w:val="0"/>
                <w:bCs w:val="0"/>
              </w:rPr>
              <w:t>Provide access to financial advice services that reflect the composition and preferences of its membership.</w:t>
            </w:r>
          </w:p>
        </w:tc>
      </w:tr>
    </w:tbl>
    <w:p w14:paraId="19440136" w14:textId="77777777" w:rsidR="00F34076" w:rsidRPr="00914B47" w:rsidRDefault="00F34076" w:rsidP="00F34076">
      <w:pPr>
        <w:pStyle w:val="SingleParagraph"/>
      </w:pPr>
    </w:p>
    <w:tbl>
      <w:tblPr>
        <w:tblW w:w="5000" w:type="pct"/>
        <w:shd w:val="clear" w:color="auto" w:fill="FDF6F1"/>
        <w:tblCellMar>
          <w:top w:w="113" w:type="dxa"/>
          <w:left w:w="284" w:type="dxa"/>
          <w:bottom w:w="113" w:type="dxa"/>
          <w:right w:w="227" w:type="dxa"/>
        </w:tblCellMar>
        <w:tblLook w:val="0620" w:firstRow="1" w:lastRow="0" w:firstColumn="0" w:lastColumn="0" w:noHBand="1" w:noVBand="1"/>
      </w:tblPr>
      <w:tblGrid>
        <w:gridCol w:w="8504"/>
      </w:tblGrid>
      <w:tr w:rsidR="00F34076" w:rsidRPr="00914B47" w14:paraId="55ECC3D5" w14:textId="77777777" w:rsidTr="002A3EA6">
        <w:tc>
          <w:tcPr>
            <w:tcW w:w="5000" w:type="pct"/>
            <w:shd w:val="clear" w:color="auto" w:fill="FDF6F1"/>
            <w:hideMark/>
          </w:tcPr>
          <w:p w14:paraId="60EF4311" w14:textId="77777777" w:rsidR="00F34076" w:rsidRPr="00914B47" w:rsidRDefault="00F34076" w:rsidP="00F34076">
            <w:pPr>
              <w:pStyle w:val="OutlineNumbered1"/>
              <w:rPr>
                <w:rStyle w:val="Strong"/>
                <w:b w:val="0"/>
                <w:bCs w:val="0"/>
              </w:rPr>
            </w:pPr>
            <w:r w:rsidRPr="00914B47">
              <w:rPr>
                <w:rStyle w:val="Strong"/>
                <w:b w:val="0"/>
                <w:bCs w:val="0"/>
              </w:rPr>
              <w:t xml:space="preserve">Consider members that receive personal financial advice in engagement strategies for </w:t>
            </w:r>
            <w:r w:rsidRPr="00914B47">
              <w:rPr>
                <w:rStyle w:val="Strong"/>
                <w:b w:val="0"/>
                <w:bCs w:val="0"/>
                <w:spacing w:val="-2"/>
              </w:rPr>
              <w:t>members approaching retirement, including information on trustee</w:t>
            </w:r>
            <w:r w:rsidRPr="00914B47">
              <w:rPr>
                <w:rStyle w:val="Strong"/>
                <w:b w:val="0"/>
                <w:bCs w:val="0"/>
                <w:spacing w:val="-2"/>
              </w:rPr>
              <w:noBreakHyphen/>
              <w:t>designed solutions</w:t>
            </w:r>
            <w:r w:rsidRPr="00914B47">
              <w:rPr>
                <w:spacing w:val="-2"/>
              </w:rPr>
              <w:t>.</w:t>
            </w:r>
            <w:r w:rsidRPr="00914B47">
              <w:t xml:space="preserve"> </w:t>
            </w:r>
          </w:p>
        </w:tc>
      </w:tr>
    </w:tbl>
    <w:p w14:paraId="7721A85A" w14:textId="77777777" w:rsidR="00F34076" w:rsidRPr="00B7049C" w:rsidRDefault="00F34076" w:rsidP="00F34076">
      <w:r w:rsidRPr="00B7049C">
        <w:br w:type="page"/>
      </w:r>
    </w:p>
    <w:p w14:paraId="61448D10" w14:textId="2FB349E8" w:rsidR="00F34076" w:rsidRPr="00451FC1" w:rsidRDefault="0076113D" w:rsidP="00F34076">
      <w:pPr>
        <w:pStyle w:val="Heading1"/>
        <w:ind w:right="5103"/>
      </w:pPr>
      <w:bookmarkStart w:id="4" w:name="_Toc222129896"/>
      <w:r>
        <w:rPr>
          <w:noProof/>
        </w:rPr>
        <w:lastRenderedPageBreak/>
        <w:drawing>
          <wp:anchor distT="0" distB="0" distL="114300" distR="114300" simplePos="0" relativeHeight="251672576" behindDoc="0" locked="0" layoutInCell="1" allowOverlap="1" wp14:anchorId="0C271184" wp14:editId="4C22E9DE">
            <wp:simplePos x="0" y="0"/>
            <wp:positionH relativeFrom="column">
              <wp:posOffset>1967</wp:posOffset>
            </wp:positionH>
            <wp:positionV relativeFrom="paragraph">
              <wp:posOffset>54073</wp:posOffset>
            </wp:positionV>
            <wp:extent cx="466703" cy="468000"/>
            <wp:effectExtent l="0" t="0" r="0" b="8255"/>
            <wp:wrapNone/>
            <wp:docPr id="8427789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7896"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6703" cy="468000"/>
                    </a:xfrm>
                    <a:prstGeom prst="rect">
                      <a:avLst/>
                    </a:prstGeom>
                  </pic:spPr>
                </pic:pic>
              </a:graphicData>
            </a:graphic>
            <wp14:sizeRelH relativeFrom="page">
              <wp14:pctWidth>0</wp14:pctWidth>
            </wp14:sizeRelH>
            <wp14:sizeRelV relativeFrom="page">
              <wp14:pctHeight>0</wp14:pctHeight>
            </wp14:sizeRelV>
          </wp:anchor>
        </w:drawing>
      </w:r>
      <w:r w:rsidR="00F34076" w:rsidRPr="00D1099D">
        <w:t>Review and</w:t>
      </w:r>
      <w:r w:rsidR="00F34076">
        <w:t xml:space="preserve"> </w:t>
      </w:r>
      <w:r w:rsidR="00F34076" w:rsidRPr="00D1099D">
        <w:t>improve</w:t>
      </w:r>
      <w:bookmarkEnd w:id="4"/>
    </w:p>
    <w:p w14:paraId="1DE48F22" w14:textId="77777777" w:rsidR="00F34076" w:rsidRDefault="00F34076" w:rsidP="00F34076">
      <w:r w:rsidRPr="00EA6677">
        <w:t xml:space="preserve">Best practice for review of its retiree cohorts and trustee-designed retirement income solutions means that a trustee will: </w:t>
      </w:r>
    </w:p>
    <w:p w14:paraId="6453C98A" w14:textId="77777777" w:rsidR="00F34076" w:rsidRPr="00A4116F" w:rsidRDefault="00F34076" w:rsidP="00F34076">
      <w:pPr>
        <w:pStyle w:val="NoSpacing"/>
      </w:pPr>
    </w:p>
    <w:tbl>
      <w:tblPr>
        <w:tblW w:w="5000" w:type="pct"/>
        <w:shd w:val="clear" w:color="auto" w:fill="FDF6F1"/>
        <w:tblCellMar>
          <w:top w:w="113" w:type="dxa"/>
          <w:left w:w="284" w:type="dxa"/>
          <w:bottom w:w="113" w:type="dxa"/>
          <w:right w:w="227" w:type="dxa"/>
        </w:tblCellMar>
        <w:tblLook w:val="0620" w:firstRow="1" w:lastRow="0" w:firstColumn="0" w:lastColumn="0" w:noHBand="1" w:noVBand="1"/>
      </w:tblPr>
      <w:tblGrid>
        <w:gridCol w:w="8504"/>
      </w:tblGrid>
      <w:tr w:rsidR="00F34076" w:rsidRPr="00914B47" w14:paraId="0CF90BB2" w14:textId="77777777" w:rsidTr="002A3EA6">
        <w:tc>
          <w:tcPr>
            <w:tcW w:w="5000" w:type="pct"/>
            <w:shd w:val="clear" w:color="auto" w:fill="F1F6FD"/>
            <w:hideMark/>
          </w:tcPr>
          <w:p w14:paraId="7D67AA31" w14:textId="77777777" w:rsidR="00F34076" w:rsidRPr="00914B47" w:rsidRDefault="00F34076" w:rsidP="00F34076">
            <w:pPr>
              <w:pStyle w:val="OutlineNumbered1"/>
              <w:rPr>
                <w:rStyle w:val="Strong"/>
                <w:b w:val="0"/>
                <w:bCs w:val="0"/>
              </w:rPr>
            </w:pPr>
            <w:r w:rsidRPr="00914B47">
              <w:rPr>
                <w:rStyle w:val="Strong"/>
                <w:b w:val="0"/>
                <w:bCs w:val="0"/>
              </w:rPr>
              <w:t xml:space="preserve">Assess the effectiveness of its trustee-designed retirement income solutions in meeting the needs of its cohorts and consider relevant data on measurable outcomes, usage, and member behaviour to improve the quality of its retirement income solution offerings. </w:t>
            </w:r>
          </w:p>
        </w:tc>
      </w:tr>
    </w:tbl>
    <w:p w14:paraId="494262BC" w14:textId="77777777" w:rsidR="00F34076" w:rsidRPr="00914B47" w:rsidRDefault="00F34076" w:rsidP="00F34076">
      <w:pPr>
        <w:pStyle w:val="SingleParagraph"/>
        <w:rPr>
          <w:rStyle w:val="Strong"/>
          <w:b w:val="0"/>
          <w:bCs w:val="0"/>
        </w:rPr>
      </w:pPr>
    </w:p>
    <w:tbl>
      <w:tblPr>
        <w:tblW w:w="5000" w:type="pct"/>
        <w:shd w:val="clear" w:color="auto" w:fill="FDF6F1"/>
        <w:tblCellMar>
          <w:top w:w="113" w:type="dxa"/>
          <w:left w:w="284" w:type="dxa"/>
          <w:bottom w:w="113" w:type="dxa"/>
          <w:right w:w="227" w:type="dxa"/>
        </w:tblCellMar>
        <w:tblLook w:val="0620" w:firstRow="1" w:lastRow="0" w:firstColumn="0" w:lastColumn="0" w:noHBand="1" w:noVBand="1"/>
      </w:tblPr>
      <w:tblGrid>
        <w:gridCol w:w="8504"/>
      </w:tblGrid>
      <w:tr w:rsidR="00F34076" w:rsidRPr="00914B47" w14:paraId="383EAEE4" w14:textId="77777777" w:rsidTr="002A3EA6">
        <w:tc>
          <w:tcPr>
            <w:tcW w:w="5000" w:type="pct"/>
            <w:shd w:val="clear" w:color="auto" w:fill="F1F6FD"/>
            <w:hideMark/>
          </w:tcPr>
          <w:p w14:paraId="12D2B38C" w14:textId="65F215E4" w:rsidR="00F34076" w:rsidRPr="00914B47" w:rsidRDefault="00F34076" w:rsidP="00F34076">
            <w:pPr>
              <w:pStyle w:val="OutlineNumbered1"/>
              <w:rPr>
                <w:rStyle w:val="Strong"/>
                <w:b w:val="0"/>
                <w:bCs w:val="0"/>
              </w:rPr>
            </w:pPr>
            <w:r w:rsidRPr="00914B47">
              <w:rPr>
                <w:rStyle w:val="Strong"/>
                <w:b w:val="0"/>
                <w:bCs w:val="0"/>
              </w:rPr>
              <w:t>Assess the effectiveness of guidance services and engagement strategies in supporting members to navigate their retirement income solution choice and collect</w:t>
            </w:r>
            <w:r w:rsidR="00F53AC9" w:rsidRPr="00914B47">
              <w:rPr>
                <w:rStyle w:val="Strong"/>
                <w:b w:val="0"/>
                <w:bCs w:val="0"/>
              </w:rPr>
              <w:t> </w:t>
            </w:r>
            <w:r w:rsidRPr="00914B47">
              <w:rPr>
                <w:rStyle w:val="Strong"/>
                <w:b w:val="0"/>
                <w:bCs w:val="0"/>
              </w:rPr>
              <w:t xml:space="preserve">relevant data on member experiences. </w:t>
            </w:r>
          </w:p>
        </w:tc>
      </w:tr>
    </w:tbl>
    <w:p w14:paraId="57C84109" w14:textId="77777777" w:rsidR="00F34076" w:rsidRPr="00914B47" w:rsidRDefault="00F34076" w:rsidP="00F34076">
      <w:pPr>
        <w:pStyle w:val="SingleParagraph"/>
        <w:rPr>
          <w:rStyle w:val="Strong"/>
          <w:b w:val="0"/>
          <w:bCs w:val="0"/>
        </w:rPr>
      </w:pPr>
    </w:p>
    <w:tbl>
      <w:tblPr>
        <w:tblW w:w="5000" w:type="pct"/>
        <w:shd w:val="clear" w:color="auto" w:fill="FDF6F1"/>
        <w:tblCellMar>
          <w:top w:w="113" w:type="dxa"/>
          <w:left w:w="284" w:type="dxa"/>
          <w:bottom w:w="113" w:type="dxa"/>
          <w:right w:w="227" w:type="dxa"/>
        </w:tblCellMar>
        <w:tblLook w:val="0620" w:firstRow="1" w:lastRow="0" w:firstColumn="0" w:lastColumn="0" w:noHBand="1" w:noVBand="1"/>
      </w:tblPr>
      <w:tblGrid>
        <w:gridCol w:w="8504"/>
      </w:tblGrid>
      <w:tr w:rsidR="00F34076" w:rsidRPr="00914B47" w14:paraId="4F5104D7" w14:textId="77777777" w:rsidTr="002A3EA6">
        <w:tc>
          <w:tcPr>
            <w:tcW w:w="5000" w:type="pct"/>
            <w:shd w:val="clear" w:color="auto" w:fill="F1F6FD"/>
            <w:hideMark/>
          </w:tcPr>
          <w:p w14:paraId="3873D8CD" w14:textId="77777777" w:rsidR="00F34076" w:rsidRPr="00914B47" w:rsidRDefault="00F34076" w:rsidP="00F34076">
            <w:pPr>
              <w:pStyle w:val="OutlineNumbered1"/>
              <w:rPr>
                <w:rStyle w:val="Strong"/>
                <w:b w:val="0"/>
                <w:bCs w:val="0"/>
              </w:rPr>
            </w:pPr>
            <w:r w:rsidRPr="00914B47">
              <w:rPr>
                <w:rStyle w:val="Strong"/>
                <w:b w:val="0"/>
                <w:bCs w:val="0"/>
              </w:rPr>
              <w:t>Have regard to the changing needs of members approaching retirement (over the short and medium term) when assessing the ongoing settings of trustee-designed retirement income solutions.</w:t>
            </w:r>
          </w:p>
        </w:tc>
      </w:tr>
    </w:tbl>
    <w:p w14:paraId="5ED37B15" w14:textId="40AE83AB" w:rsidR="00F804E0" w:rsidRDefault="00F804E0">
      <w:pPr>
        <w:spacing w:before="0" w:after="0"/>
      </w:pPr>
    </w:p>
    <w:sectPr w:rsidR="00F804E0" w:rsidSect="00B30D3E">
      <w:headerReference w:type="default" r:id="rId12"/>
      <w:footerReference w:type="default" r:id="rId13"/>
      <w:headerReference w:type="first" r:id="rId14"/>
      <w:footerReference w:type="first" r:id="rId15"/>
      <w:pgSz w:w="11906" w:h="16838" w:code="9"/>
      <w:pgMar w:top="1701" w:right="1701" w:bottom="1021" w:left="1701" w:header="567" w:footer="249"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85913" w14:textId="77777777" w:rsidR="00241A51" w:rsidRDefault="00241A51" w:rsidP="00886BC4">
      <w:r>
        <w:separator/>
      </w:r>
    </w:p>
    <w:p w14:paraId="7BEE1F44" w14:textId="77777777" w:rsidR="00241A51" w:rsidRDefault="00241A51"/>
  </w:endnote>
  <w:endnote w:type="continuationSeparator" w:id="0">
    <w:p w14:paraId="1E8FC8B9" w14:textId="77777777" w:rsidR="00241A51" w:rsidRDefault="00241A51" w:rsidP="00886BC4">
      <w:r>
        <w:continuationSeparator/>
      </w:r>
    </w:p>
    <w:p w14:paraId="0D14320F" w14:textId="77777777" w:rsidR="00241A51" w:rsidRDefault="00241A51"/>
  </w:endnote>
  <w:endnote w:type="continuationNotice" w:id="1">
    <w:p w14:paraId="2341226B" w14:textId="77777777" w:rsidR="00241A51" w:rsidRDefault="00241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D321" w14:textId="73CC1C28" w:rsidR="00A15DB7" w:rsidRPr="00F34076" w:rsidRDefault="00F34076" w:rsidP="00F34076">
    <w:pPr>
      <w:pStyle w:val="Footer"/>
      <w:tabs>
        <w:tab w:val="clear" w:pos="4320"/>
        <w:tab w:val="clear" w:pos="8640"/>
        <w:tab w:val="center" w:pos="7938"/>
      </w:tabs>
      <w:jc w:val="right"/>
    </w:pPr>
    <w:r w:rsidRPr="00AC3B66">
      <w:rPr>
        <w:noProof/>
        <w:position w:val="-10"/>
      </w:rPr>
      <w:drawing>
        <wp:inline distT="0" distB="0" distL="0" distR="0" wp14:anchorId="5648117F" wp14:editId="350DA0A4">
          <wp:extent cx="1324800" cy="201600"/>
          <wp:effectExtent l="0" t="0" r="0" b="8255"/>
          <wp:docPr id="1744967543" name="Picture 17449675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fldChar w:fldCharType="begin"/>
    </w:r>
    <w:r>
      <w:instrText xml:space="preserve"> SAVEDATE  \@ "d MMMM yyyy"  \* MERGEFORMAT </w:instrText>
    </w:r>
    <w:r>
      <w:fldChar w:fldCharType="separate"/>
    </w:r>
    <w:r w:rsidR="007B2730">
      <w:rPr>
        <w:noProof/>
      </w:rPr>
      <w:t>19 February 2026</w:t>
    </w:r>
    <w:r>
      <w:fldChar w:fldCharType="end"/>
    </w:r>
    <w:r>
      <w:t xml:space="preserve"> </w:t>
    </w:r>
    <w:r w:rsidR="004E7E59">
      <w:t xml:space="preserve"> </w:t>
    </w:r>
    <w:r>
      <w:t xml:space="preserve">|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D9A5" w14:textId="71FF6550" w:rsidR="00300C95" w:rsidRPr="00E81A92" w:rsidRDefault="00E81A92" w:rsidP="00BA123B">
    <w:pPr>
      <w:pStyle w:val="Footer"/>
      <w:tabs>
        <w:tab w:val="clear" w:pos="4320"/>
        <w:tab w:val="clear" w:pos="8640"/>
        <w:tab w:val="center" w:pos="7938"/>
      </w:tabs>
      <w:jc w:val="right"/>
    </w:pPr>
    <w:r w:rsidRPr="00AC3B66">
      <w:rPr>
        <w:noProof/>
        <w:position w:val="-10"/>
      </w:rPr>
      <w:drawing>
        <wp:inline distT="0" distB="0" distL="0" distR="0" wp14:anchorId="5173755A" wp14:editId="5569D3A3">
          <wp:extent cx="1324800" cy="201600"/>
          <wp:effectExtent l="0" t="0" r="0" b="8255"/>
          <wp:docPr id="1383380980" name="Picture 13833809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rsidR="00166A45">
      <w:fldChar w:fldCharType="begin"/>
    </w:r>
    <w:r w:rsidR="00166A45">
      <w:instrText xml:space="preserve"> SAVEDATE  \@ "d MMMM yyyy"  \* MERGEFORMAT </w:instrText>
    </w:r>
    <w:r w:rsidR="00166A45">
      <w:fldChar w:fldCharType="separate"/>
    </w:r>
    <w:r w:rsidR="007B2730">
      <w:rPr>
        <w:noProof/>
      </w:rPr>
      <w:t>19 February 2026</w:t>
    </w:r>
    <w:r w:rsidR="00166A45">
      <w:fldChar w:fldCharType="end"/>
    </w:r>
    <w:r>
      <w:t xml:space="preserve"> </w:t>
    </w:r>
    <w:r w:rsidR="004E7E59">
      <w:t xml:space="preserve"> </w:t>
    </w:r>
    <w:r>
      <w:t xml:space="preserve">|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2579" w14:textId="77777777" w:rsidR="00241A51" w:rsidRPr="00990137" w:rsidRDefault="00241A51" w:rsidP="00990137">
      <w:pPr>
        <w:pStyle w:val="FootnoteText"/>
      </w:pPr>
      <w:r w:rsidRPr="00990137">
        <w:separator/>
      </w:r>
    </w:p>
  </w:footnote>
  <w:footnote w:type="continuationSeparator" w:id="0">
    <w:p w14:paraId="5E01DFFB" w14:textId="77777777" w:rsidR="00241A51" w:rsidRDefault="00241A51" w:rsidP="00886BC4">
      <w:r>
        <w:continuationSeparator/>
      </w:r>
    </w:p>
    <w:p w14:paraId="08FA9659" w14:textId="77777777" w:rsidR="00241A51" w:rsidRDefault="00241A51"/>
  </w:footnote>
  <w:footnote w:type="continuationNotice" w:id="1">
    <w:p w14:paraId="4B072441" w14:textId="77777777" w:rsidR="00241A51" w:rsidRDefault="00241A51"/>
  </w:footnote>
  <w:footnote w:id="2">
    <w:p w14:paraId="2F000A4D" w14:textId="77F69C71" w:rsidR="00F34076" w:rsidRPr="00F34076" w:rsidRDefault="00F34076" w:rsidP="00990137">
      <w:pPr>
        <w:pStyle w:val="FootnoteText"/>
        <w:spacing w:before="60"/>
        <w:ind w:left="397" w:hanging="397"/>
        <w:rPr>
          <w:rStyle w:val="FootnoteReference"/>
          <w:vertAlign w:val="baseline"/>
        </w:rPr>
      </w:pPr>
      <w:r w:rsidRPr="00F34076">
        <w:rPr>
          <w:rStyle w:val="FootnoteReference"/>
          <w:vertAlign w:val="baseline"/>
        </w:rPr>
        <w:footnoteRef/>
      </w:r>
      <w:r w:rsidRPr="00F34076">
        <w:rPr>
          <w:rStyle w:val="FootnoteReference"/>
          <w:vertAlign w:val="baseline"/>
        </w:rPr>
        <w:t xml:space="preserve"> </w:t>
      </w:r>
      <w:r w:rsidRPr="00F34076">
        <w:rPr>
          <w:rStyle w:val="FootnoteReference"/>
          <w:vertAlign w:val="baseline"/>
        </w:rPr>
        <w:tab/>
        <w:t>For this purpose, a relevant condition of release refers to the member having reached a nil cashing restriction, such as retirement upon attaining preservation age, or reaching age 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621D" w14:textId="2EF4B756" w:rsidR="006D3EE7" w:rsidRPr="00F34076" w:rsidRDefault="00FC2E34" w:rsidP="007F53C0">
    <w:pPr>
      <w:pStyle w:val="Header"/>
      <w:rPr>
        <w:spacing w:val="-1"/>
      </w:rPr>
    </w:pPr>
    <w:r w:rsidRPr="00F34076">
      <w:rPr>
        <w:noProof/>
        <w:spacing w:val="-1"/>
      </w:rPr>
      <w:drawing>
        <wp:anchor distT="0" distB="0" distL="114300" distR="114300" simplePos="0" relativeHeight="251673603" behindDoc="1" locked="0" layoutInCell="1" allowOverlap="1" wp14:anchorId="10389BC1" wp14:editId="1245BE26">
          <wp:simplePos x="0" y="0"/>
          <wp:positionH relativeFrom="margin">
            <wp:posOffset>-1101399</wp:posOffset>
          </wp:positionH>
          <wp:positionV relativeFrom="page">
            <wp:posOffset>10633</wp:posOffset>
          </wp:positionV>
          <wp:extent cx="7599598" cy="1046266"/>
          <wp:effectExtent l="0" t="0" r="1905" b="1905"/>
          <wp:wrapNone/>
          <wp:docPr id="567247026" name="Picture 5672470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47026" name="Picture 56724702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598" cy="104626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E04BD" w:rsidRPr="00F34076">
      <w:rPr>
        <w:spacing w:val="-1"/>
      </w:rPr>
      <w:fldChar w:fldCharType="begin"/>
    </w:r>
    <w:r w:rsidR="008E04BD" w:rsidRPr="00F34076">
      <w:rPr>
        <w:spacing w:val="-1"/>
      </w:rPr>
      <w:instrText xml:space="preserve"> STYLEREF  "Fact sheet title"  \* MERGEFORMAT </w:instrText>
    </w:r>
    <w:r w:rsidR="008E04BD" w:rsidRPr="00F34076">
      <w:rPr>
        <w:spacing w:val="-1"/>
      </w:rPr>
      <w:fldChar w:fldCharType="separate"/>
    </w:r>
    <w:r w:rsidR="007B2730">
      <w:rPr>
        <w:noProof/>
        <w:spacing w:val="-1"/>
      </w:rPr>
      <w:t>Guidance on best practice principles for superannuation retirement income solutions</w:t>
    </w:r>
    <w:r w:rsidR="008E04BD" w:rsidRPr="00F34076">
      <w:rPr>
        <w:noProof/>
        <w:spacing w:val="-1"/>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F580" w14:textId="77777777" w:rsidR="00436B1F" w:rsidRDefault="00300C95">
    <w:pPr>
      <w:pStyle w:val="Header"/>
    </w:pPr>
    <w:r>
      <w:rPr>
        <w:noProof/>
      </w:rPr>
      <w:drawing>
        <wp:anchor distT="0" distB="0" distL="114300" distR="114300" simplePos="0" relativeHeight="251674627" behindDoc="1" locked="0" layoutInCell="1" allowOverlap="0" wp14:anchorId="7350C5D6" wp14:editId="7CC29FA5">
          <wp:simplePos x="0" y="0"/>
          <wp:positionH relativeFrom="margin">
            <wp:align>center</wp:align>
          </wp:positionH>
          <wp:positionV relativeFrom="page">
            <wp:align>top</wp:align>
          </wp:positionV>
          <wp:extent cx="7599600" cy="1519200"/>
          <wp:effectExtent l="0" t="0" r="1905" b="5080"/>
          <wp:wrapNone/>
          <wp:docPr id="1761227704" name="Picture 17612277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653560"/>
    <w:multiLevelType w:val="multilevel"/>
    <w:tmpl w:val="B9DA76D8"/>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7B55B3"/>
    <w:multiLevelType w:val="hybridMultilevel"/>
    <w:tmpl w:val="9E5CAD34"/>
    <w:lvl w:ilvl="0" w:tplc="73E21C80">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83B77DD"/>
    <w:multiLevelType w:val="hybridMultilevel"/>
    <w:tmpl w:val="25FEF3EE"/>
    <w:lvl w:ilvl="0" w:tplc="8370C44C">
      <w:start w:val="1"/>
      <w:numFmt w:val="lowerRoman"/>
      <w:pStyle w:val="OutlineNumbered2"/>
      <w:lvlText w:val="%1."/>
      <w:lvlJc w:val="left"/>
      <w:pPr>
        <w:ind w:left="75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10D2021"/>
    <w:multiLevelType w:val="multilevel"/>
    <w:tmpl w:val="B9DA76D8"/>
    <w:numStyleLink w:val="OutlineList"/>
  </w:abstractNum>
  <w:abstractNum w:abstractNumId="10"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2938207">
    <w:abstractNumId w:val="2"/>
  </w:num>
  <w:num w:numId="2" w16cid:durableId="96337980">
    <w:abstractNumId w:val="12"/>
  </w:num>
  <w:num w:numId="3" w16cid:durableId="1889341095">
    <w:abstractNumId w:val="10"/>
  </w:num>
  <w:num w:numId="4" w16cid:durableId="216212289">
    <w:abstractNumId w:val="11"/>
  </w:num>
  <w:num w:numId="5" w16cid:durableId="2008171716">
    <w:abstractNumId w:val="5"/>
  </w:num>
  <w:num w:numId="6" w16cid:durableId="1880582053">
    <w:abstractNumId w:val="0"/>
  </w:num>
  <w:num w:numId="7" w16cid:durableId="1278635914">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10306">
    <w:abstractNumId w:val="1"/>
  </w:num>
  <w:num w:numId="9" w16cid:durableId="690108307">
    <w:abstractNumId w:val="6"/>
  </w:num>
  <w:num w:numId="10" w16cid:durableId="741878267">
    <w:abstractNumId w:val="4"/>
  </w:num>
  <w:num w:numId="11" w16cid:durableId="797724066">
    <w:abstractNumId w:val="3"/>
  </w:num>
  <w:num w:numId="12" w16cid:durableId="306596971">
    <w:abstractNumId w:val="9"/>
    <w:lvlOverride w:ilvl="0">
      <w:lvl w:ilvl="0">
        <w:start w:val="1"/>
        <w:numFmt w:val="decimal"/>
        <w:pStyle w:val="OutlineNumbered1"/>
        <w:lvlText w:val="%1."/>
        <w:lvlJc w:val="left"/>
        <w:pPr>
          <w:tabs>
            <w:tab w:val="num" w:pos="851"/>
          </w:tabs>
          <w:ind w:left="851" w:hanging="851"/>
        </w:pPr>
        <w:rPr>
          <w:b w:val="0"/>
          <w:bCs w:val="0"/>
        </w:rPr>
      </w:lvl>
    </w:lvlOverride>
  </w:num>
  <w:num w:numId="13" w16cid:durableId="1739129519">
    <w:abstractNumId w:val="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4" w16cid:durableId="143200778">
    <w:abstractNumId w:val="7"/>
  </w:num>
  <w:num w:numId="15" w16cid:durableId="16005388">
    <w:abstractNumId w:val="8"/>
  </w:num>
  <w:num w:numId="16" w16cid:durableId="901525904">
    <w:abstractNumId w:val="8"/>
    <w:lvlOverride w:ilvl="0">
      <w:startOverride w:val="1"/>
    </w:lvlOverride>
  </w:num>
  <w:num w:numId="17" w16cid:durableId="1234730551">
    <w:abstractNumId w:val="8"/>
    <w:lvlOverride w:ilvl="0">
      <w:startOverride w:val="1"/>
    </w:lvlOverride>
  </w:num>
  <w:num w:numId="18" w16cid:durableId="1593776911">
    <w:abstractNumId w:val="8"/>
    <w:lvlOverride w:ilvl="0">
      <w:startOverride w:val="1"/>
    </w:lvlOverride>
  </w:num>
  <w:num w:numId="19" w16cid:durableId="2065637935">
    <w:abstractNumId w:val="8"/>
    <w:lvlOverride w:ilvl="0">
      <w:startOverride w:val="1"/>
    </w:lvlOverride>
  </w:num>
  <w:num w:numId="20" w16cid:durableId="2067102948">
    <w:abstractNumId w:val="8"/>
    <w:lvlOverride w:ilvl="0">
      <w:startOverride w:val="1"/>
    </w:lvlOverride>
  </w:num>
  <w:num w:numId="21" w16cid:durableId="615060012">
    <w:abstractNumId w:val="8"/>
    <w:lvlOverride w:ilvl="0">
      <w:startOverride w:val="1"/>
    </w:lvlOverride>
  </w:num>
  <w:num w:numId="22" w16cid:durableId="3560196">
    <w:abstractNumId w:val="8"/>
    <w:lvlOverride w:ilvl="0">
      <w:startOverride w:val="1"/>
    </w:lvlOverride>
  </w:num>
  <w:num w:numId="23" w16cid:durableId="36938304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F34076"/>
    <w:rsid w:val="0001182C"/>
    <w:rsid w:val="00016670"/>
    <w:rsid w:val="00016B6C"/>
    <w:rsid w:val="0002151A"/>
    <w:rsid w:val="00033942"/>
    <w:rsid w:val="00034138"/>
    <w:rsid w:val="000421F9"/>
    <w:rsid w:val="00045C24"/>
    <w:rsid w:val="0005184A"/>
    <w:rsid w:val="00060C76"/>
    <w:rsid w:val="00061F1A"/>
    <w:rsid w:val="00067E65"/>
    <w:rsid w:val="000753CE"/>
    <w:rsid w:val="000A4D2D"/>
    <w:rsid w:val="000B1EC3"/>
    <w:rsid w:val="000B3C90"/>
    <w:rsid w:val="000C02C9"/>
    <w:rsid w:val="000D33F2"/>
    <w:rsid w:val="000D7D2F"/>
    <w:rsid w:val="000E324C"/>
    <w:rsid w:val="000F2493"/>
    <w:rsid w:val="000F2562"/>
    <w:rsid w:val="000F33C9"/>
    <w:rsid w:val="00102238"/>
    <w:rsid w:val="00105EBE"/>
    <w:rsid w:val="001145FD"/>
    <w:rsid w:val="00115B2E"/>
    <w:rsid w:val="0011628E"/>
    <w:rsid w:val="001363E7"/>
    <w:rsid w:val="001376CC"/>
    <w:rsid w:val="00140697"/>
    <w:rsid w:val="0014178A"/>
    <w:rsid w:val="00144B84"/>
    <w:rsid w:val="00152525"/>
    <w:rsid w:val="00166A45"/>
    <w:rsid w:val="00174954"/>
    <w:rsid w:val="00182E9E"/>
    <w:rsid w:val="00183F40"/>
    <w:rsid w:val="00190D7B"/>
    <w:rsid w:val="00192367"/>
    <w:rsid w:val="001929D8"/>
    <w:rsid w:val="00197414"/>
    <w:rsid w:val="001A5155"/>
    <w:rsid w:val="001A5DCC"/>
    <w:rsid w:val="001B3A29"/>
    <w:rsid w:val="001B540E"/>
    <w:rsid w:val="001C5117"/>
    <w:rsid w:val="001C78AE"/>
    <w:rsid w:val="001D45A4"/>
    <w:rsid w:val="001E5623"/>
    <w:rsid w:val="001E6DC2"/>
    <w:rsid w:val="001E7840"/>
    <w:rsid w:val="001E7CF5"/>
    <w:rsid w:val="001F50DA"/>
    <w:rsid w:val="00202032"/>
    <w:rsid w:val="00203245"/>
    <w:rsid w:val="00205F44"/>
    <w:rsid w:val="002105F8"/>
    <w:rsid w:val="00215EE7"/>
    <w:rsid w:val="00222736"/>
    <w:rsid w:val="00223D87"/>
    <w:rsid w:val="002268AB"/>
    <w:rsid w:val="00226F00"/>
    <w:rsid w:val="0022749C"/>
    <w:rsid w:val="00227C77"/>
    <w:rsid w:val="00233887"/>
    <w:rsid w:val="00233A88"/>
    <w:rsid w:val="00241A51"/>
    <w:rsid w:val="00241B9A"/>
    <w:rsid w:val="0024226F"/>
    <w:rsid w:val="00245342"/>
    <w:rsid w:val="002462BD"/>
    <w:rsid w:val="00260712"/>
    <w:rsid w:val="00263339"/>
    <w:rsid w:val="00264180"/>
    <w:rsid w:val="002809F6"/>
    <w:rsid w:val="00283303"/>
    <w:rsid w:val="00287F32"/>
    <w:rsid w:val="0029134D"/>
    <w:rsid w:val="002978C8"/>
    <w:rsid w:val="002A0B32"/>
    <w:rsid w:val="002A3EA6"/>
    <w:rsid w:val="002A4B83"/>
    <w:rsid w:val="002A6430"/>
    <w:rsid w:val="002A79C5"/>
    <w:rsid w:val="002C26D9"/>
    <w:rsid w:val="002C531E"/>
    <w:rsid w:val="002D49D1"/>
    <w:rsid w:val="002F417B"/>
    <w:rsid w:val="002F6ADC"/>
    <w:rsid w:val="00300C95"/>
    <w:rsid w:val="003054A8"/>
    <w:rsid w:val="00306770"/>
    <w:rsid w:val="00307DA3"/>
    <w:rsid w:val="00327D31"/>
    <w:rsid w:val="003305CA"/>
    <w:rsid w:val="0034064A"/>
    <w:rsid w:val="00343AE9"/>
    <w:rsid w:val="0034564D"/>
    <w:rsid w:val="00353390"/>
    <w:rsid w:val="00357842"/>
    <w:rsid w:val="003650AA"/>
    <w:rsid w:val="00372AC1"/>
    <w:rsid w:val="003802F4"/>
    <w:rsid w:val="003831AB"/>
    <w:rsid w:val="00390C06"/>
    <w:rsid w:val="00391F19"/>
    <w:rsid w:val="003A63D1"/>
    <w:rsid w:val="003B1315"/>
    <w:rsid w:val="003C047D"/>
    <w:rsid w:val="003C4F86"/>
    <w:rsid w:val="003C789B"/>
    <w:rsid w:val="003E26C5"/>
    <w:rsid w:val="003F2E2F"/>
    <w:rsid w:val="003F424B"/>
    <w:rsid w:val="00425E05"/>
    <w:rsid w:val="00436B1F"/>
    <w:rsid w:val="00442C7E"/>
    <w:rsid w:val="00450CCE"/>
    <w:rsid w:val="004542B7"/>
    <w:rsid w:val="004546DC"/>
    <w:rsid w:val="00463D4E"/>
    <w:rsid w:val="00470BA0"/>
    <w:rsid w:val="0047507F"/>
    <w:rsid w:val="00477439"/>
    <w:rsid w:val="00485A3D"/>
    <w:rsid w:val="00486B7C"/>
    <w:rsid w:val="00490010"/>
    <w:rsid w:val="00490C62"/>
    <w:rsid w:val="00496135"/>
    <w:rsid w:val="0049673E"/>
    <w:rsid w:val="00496C34"/>
    <w:rsid w:val="004A13CF"/>
    <w:rsid w:val="004A2AFD"/>
    <w:rsid w:val="004A37EA"/>
    <w:rsid w:val="004A4424"/>
    <w:rsid w:val="004B08DC"/>
    <w:rsid w:val="004B1F82"/>
    <w:rsid w:val="004B56B0"/>
    <w:rsid w:val="004C5917"/>
    <w:rsid w:val="004C5E48"/>
    <w:rsid w:val="004D0778"/>
    <w:rsid w:val="004D75F6"/>
    <w:rsid w:val="004E424B"/>
    <w:rsid w:val="004E71FE"/>
    <w:rsid w:val="004E7E59"/>
    <w:rsid w:val="004F24D0"/>
    <w:rsid w:val="00502E10"/>
    <w:rsid w:val="00505009"/>
    <w:rsid w:val="00506BF4"/>
    <w:rsid w:val="00507097"/>
    <w:rsid w:val="0051600D"/>
    <w:rsid w:val="00516FB2"/>
    <w:rsid w:val="00523917"/>
    <w:rsid w:val="00524DCE"/>
    <w:rsid w:val="00525050"/>
    <w:rsid w:val="0053110F"/>
    <w:rsid w:val="00533FEF"/>
    <w:rsid w:val="00535C81"/>
    <w:rsid w:val="00546D8E"/>
    <w:rsid w:val="00546FDD"/>
    <w:rsid w:val="00551340"/>
    <w:rsid w:val="00552BAB"/>
    <w:rsid w:val="00560106"/>
    <w:rsid w:val="005606FD"/>
    <w:rsid w:val="00565A52"/>
    <w:rsid w:val="00566AD8"/>
    <w:rsid w:val="00570B86"/>
    <w:rsid w:val="00572444"/>
    <w:rsid w:val="005732EB"/>
    <w:rsid w:val="005803BF"/>
    <w:rsid w:val="00582FAD"/>
    <w:rsid w:val="00585F7E"/>
    <w:rsid w:val="00594ABF"/>
    <w:rsid w:val="005A11E6"/>
    <w:rsid w:val="005A2484"/>
    <w:rsid w:val="005A6A61"/>
    <w:rsid w:val="005B0968"/>
    <w:rsid w:val="005B207E"/>
    <w:rsid w:val="005B2484"/>
    <w:rsid w:val="005B3871"/>
    <w:rsid w:val="005B659D"/>
    <w:rsid w:val="005B6B98"/>
    <w:rsid w:val="005C1326"/>
    <w:rsid w:val="005C3527"/>
    <w:rsid w:val="005C3A3E"/>
    <w:rsid w:val="005C4B02"/>
    <w:rsid w:val="005E62D6"/>
    <w:rsid w:val="005F0FBF"/>
    <w:rsid w:val="005F2921"/>
    <w:rsid w:val="006014A0"/>
    <w:rsid w:val="00614971"/>
    <w:rsid w:val="00627218"/>
    <w:rsid w:val="006355D1"/>
    <w:rsid w:val="00635DD4"/>
    <w:rsid w:val="006369A6"/>
    <w:rsid w:val="00637692"/>
    <w:rsid w:val="0064017C"/>
    <w:rsid w:val="0064704A"/>
    <w:rsid w:val="00650E22"/>
    <w:rsid w:val="00652D9A"/>
    <w:rsid w:val="006916AD"/>
    <w:rsid w:val="00694B4F"/>
    <w:rsid w:val="006A118D"/>
    <w:rsid w:val="006A3972"/>
    <w:rsid w:val="006A712D"/>
    <w:rsid w:val="006C7FF7"/>
    <w:rsid w:val="006D27A6"/>
    <w:rsid w:val="006D3EE7"/>
    <w:rsid w:val="006D6960"/>
    <w:rsid w:val="006D7793"/>
    <w:rsid w:val="006E101D"/>
    <w:rsid w:val="006E6F8C"/>
    <w:rsid w:val="006E76BE"/>
    <w:rsid w:val="006F0918"/>
    <w:rsid w:val="006F56A2"/>
    <w:rsid w:val="006F6E04"/>
    <w:rsid w:val="00705AD6"/>
    <w:rsid w:val="00717216"/>
    <w:rsid w:val="00722F56"/>
    <w:rsid w:val="007343B8"/>
    <w:rsid w:val="00736715"/>
    <w:rsid w:val="007600FA"/>
    <w:rsid w:val="0076093D"/>
    <w:rsid w:val="0076113D"/>
    <w:rsid w:val="00761DA0"/>
    <w:rsid w:val="007622D7"/>
    <w:rsid w:val="007825F2"/>
    <w:rsid w:val="00784A3C"/>
    <w:rsid w:val="00793BD7"/>
    <w:rsid w:val="0079466D"/>
    <w:rsid w:val="007A4195"/>
    <w:rsid w:val="007A6E4D"/>
    <w:rsid w:val="007B2730"/>
    <w:rsid w:val="007B6953"/>
    <w:rsid w:val="007B7784"/>
    <w:rsid w:val="007C1094"/>
    <w:rsid w:val="007C3CD0"/>
    <w:rsid w:val="007D4EB7"/>
    <w:rsid w:val="007D6F47"/>
    <w:rsid w:val="007E013D"/>
    <w:rsid w:val="007E0975"/>
    <w:rsid w:val="007E36E4"/>
    <w:rsid w:val="007E5E07"/>
    <w:rsid w:val="007E7046"/>
    <w:rsid w:val="007F53C0"/>
    <w:rsid w:val="007F61E3"/>
    <w:rsid w:val="008139FB"/>
    <w:rsid w:val="00831D8A"/>
    <w:rsid w:val="00840223"/>
    <w:rsid w:val="00847719"/>
    <w:rsid w:val="008616B9"/>
    <w:rsid w:val="0088159C"/>
    <w:rsid w:val="0088211A"/>
    <w:rsid w:val="008824BE"/>
    <w:rsid w:val="00884F56"/>
    <w:rsid w:val="008854F6"/>
    <w:rsid w:val="00886667"/>
    <w:rsid w:val="00886BC4"/>
    <w:rsid w:val="008972E4"/>
    <w:rsid w:val="008A02F3"/>
    <w:rsid w:val="008A1C1D"/>
    <w:rsid w:val="008A48CA"/>
    <w:rsid w:val="008B2938"/>
    <w:rsid w:val="008B395C"/>
    <w:rsid w:val="008B61B2"/>
    <w:rsid w:val="008C5773"/>
    <w:rsid w:val="008D0CA6"/>
    <w:rsid w:val="008D4CD0"/>
    <w:rsid w:val="008D5358"/>
    <w:rsid w:val="008E0180"/>
    <w:rsid w:val="008E04BD"/>
    <w:rsid w:val="008E35A5"/>
    <w:rsid w:val="008F0B15"/>
    <w:rsid w:val="008F1AA6"/>
    <w:rsid w:val="008F2212"/>
    <w:rsid w:val="008F73C8"/>
    <w:rsid w:val="008F7E69"/>
    <w:rsid w:val="00903786"/>
    <w:rsid w:val="00903AB2"/>
    <w:rsid w:val="00905F29"/>
    <w:rsid w:val="0090719E"/>
    <w:rsid w:val="009109AA"/>
    <w:rsid w:val="00914B47"/>
    <w:rsid w:val="00926879"/>
    <w:rsid w:val="00933C8C"/>
    <w:rsid w:val="009367F6"/>
    <w:rsid w:val="0093741D"/>
    <w:rsid w:val="00942CB3"/>
    <w:rsid w:val="00944174"/>
    <w:rsid w:val="00951652"/>
    <w:rsid w:val="00952F2F"/>
    <w:rsid w:val="00965C4B"/>
    <w:rsid w:val="009757BB"/>
    <w:rsid w:val="0098151F"/>
    <w:rsid w:val="00986A46"/>
    <w:rsid w:val="00990137"/>
    <w:rsid w:val="009906A6"/>
    <w:rsid w:val="00992ADC"/>
    <w:rsid w:val="009A562C"/>
    <w:rsid w:val="009A6D32"/>
    <w:rsid w:val="009A71C4"/>
    <w:rsid w:val="009B15EC"/>
    <w:rsid w:val="009B1781"/>
    <w:rsid w:val="009B2546"/>
    <w:rsid w:val="009B464D"/>
    <w:rsid w:val="009C1F90"/>
    <w:rsid w:val="009C66A3"/>
    <w:rsid w:val="009D616A"/>
    <w:rsid w:val="009E6061"/>
    <w:rsid w:val="00A01086"/>
    <w:rsid w:val="00A05E57"/>
    <w:rsid w:val="00A0789C"/>
    <w:rsid w:val="00A1120D"/>
    <w:rsid w:val="00A133BE"/>
    <w:rsid w:val="00A13CB3"/>
    <w:rsid w:val="00A13F0D"/>
    <w:rsid w:val="00A15DB7"/>
    <w:rsid w:val="00A17503"/>
    <w:rsid w:val="00A215B3"/>
    <w:rsid w:val="00A24D20"/>
    <w:rsid w:val="00A32C4E"/>
    <w:rsid w:val="00A3452B"/>
    <w:rsid w:val="00A46A9A"/>
    <w:rsid w:val="00A50111"/>
    <w:rsid w:val="00A52C22"/>
    <w:rsid w:val="00A60022"/>
    <w:rsid w:val="00A6514E"/>
    <w:rsid w:val="00A8449C"/>
    <w:rsid w:val="00A84C3C"/>
    <w:rsid w:val="00A87F4B"/>
    <w:rsid w:val="00A909A3"/>
    <w:rsid w:val="00A91BD2"/>
    <w:rsid w:val="00A940BE"/>
    <w:rsid w:val="00A96316"/>
    <w:rsid w:val="00A9658A"/>
    <w:rsid w:val="00A970ED"/>
    <w:rsid w:val="00A97B21"/>
    <w:rsid w:val="00AA553F"/>
    <w:rsid w:val="00AB3D33"/>
    <w:rsid w:val="00AC0146"/>
    <w:rsid w:val="00AC1B27"/>
    <w:rsid w:val="00AC4C62"/>
    <w:rsid w:val="00AC60D4"/>
    <w:rsid w:val="00AE39EE"/>
    <w:rsid w:val="00AE53E5"/>
    <w:rsid w:val="00B129C3"/>
    <w:rsid w:val="00B15B56"/>
    <w:rsid w:val="00B24C1C"/>
    <w:rsid w:val="00B30D3E"/>
    <w:rsid w:val="00B32830"/>
    <w:rsid w:val="00B42FAF"/>
    <w:rsid w:val="00B50FEA"/>
    <w:rsid w:val="00B51175"/>
    <w:rsid w:val="00B5397C"/>
    <w:rsid w:val="00B54FA9"/>
    <w:rsid w:val="00B57B0B"/>
    <w:rsid w:val="00B64308"/>
    <w:rsid w:val="00B71F74"/>
    <w:rsid w:val="00B73C23"/>
    <w:rsid w:val="00B771FF"/>
    <w:rsid w:val="00B77C7D"/>
    <w:rsid w:val="00B82C45"/>
    <w:rsid w:val="00BA054F"/>
    <w:rsid w:val="00BA123B"/>
    <w:rsid w:val="00BA3721"/>
    <w:rsid w:val="00BA7802"/>
    <w:rsid w:val="00BB059B"/>
    <w:rsid w:val="00BB4B21"/>
    <w:rsid w:val="00BD3C26"/>
    <w:rsid w:val="00BD7ACD"/>
    <w:rsid w:val="00BD7EA0"/>
    <w:rsid w:val="00BE2210"/>
    <w:rsid w:val="00BE5AC7"/>
    <w:rsid w:val="00BF3E58"/>
    <w:rsid w:val="00BF4A8E"/>
    <w:rsid w:val="00BF73E4"/>
    <w:rsid w:val="00BF75D8"/>
    <w:rsid w:val="00C0628D"/>
    <w:rsid w:val="00C23C8C"/>
    <w:rsid w:val="00C3042D"/>
    <w:rsid w:val="00C3318A"/>
    <w:rsid w:val="00C362B7"/>
    <w:rsid w:val="00C3693F"/>
    <w:rsid w:val="00C37A6A"/>
    <w:rsid w:val="00C436B8"/>
    <w:rsid w:val="00C443D7"/>
    <w:rsid w:val="00C46D0F"/>
    <w:rsid w:val="00C56371"/>
    <w:rsid w:val="00C620FD"/>
    <w:rsid w:val="00C639E4"/>
    <w:rsid w:val="00C71CED"/>
    <w:rsid w:val="00C778C6"/>
    <w:rsid w:val="00C80C62"/>
    <w:rsid w:val="00C82A8A"/>
    <w:rsid w:val="00C8634C"/>
    <w:rsid w:val="00CA168B"/>
    <w:rsid w:val="00CA4694"/>
    <w:rsid w:val="00CB032B"/>
    <w:rsid w:val="00CB0554"/>
    <w:rsid w:val="00CC1136"/>
    <w:rsid w:val="00CC5606"/>
    <w:rsid w:val="00CD02A5"/>
    <w:rsid w:val="00CD7F0B"/>
    <w:rsid w:val="00CE1B6B"/>
    <w:rsid w:val="00CF1EA3"/>
    <w:rsid w:val="00CF5A2D"/>
    <w:rsid w:val="00D044DC"/>
    <w:rsid w:val="00D05A02"/>
    <w:rsid w:val="00D0725D"/>
    <w:rsid w:val="00D11F38"/>
    <w:rsid w:val="00D11F49"/>
    <w:rsid w:val="00D17467"/>
    <w:rsid w:val="00D2150F"/>
    <w:rsid w:val="00D215DF"/>
    <w:rsid w:val="00D33E3B"/>
    <w:rsid w:val="00D35457"/>
    <w:rsid w:val="00D40B85"/>
    <w:rsid w:val="00D535AC"/>
    <w:rsid w:val="00D555C7"/>
    <w:rsid w:val="00D566F4"/>
    <w:rsid w:val="00D56B7F"/>
    <w:rsid w:val="00D60855"/>
    <w:rsid w:val="00D621F5"/>
    <w:rsid w:val="00D81F86"/>
    <w:rsid w:val="00DC073E"/>
    <w:rsid w:val="00DC0743"/>
    <w:rsid w:val="00DC075C"/>
    <w:rsid w:val="00DC6FBB"/>
    <w:rsid w:val="00DD0595"/>
    <w:rsid w:val="00DD3439"/>
    <w:rsid w:val="00DD5D38"/>
    <w:rsid w:val="00DE05FE"/>
    <w:rsid w:val="00DE5EE8"/>
    <w:rsid w:val="00DE74EC"/>
    <w:rsid w:val="00DF0B01"/>
    <w:rsid w:val="00DF56B6"/>
    <w:rsid w:val="00DF5A46"/>
    <w:rsid w:val="00E10B5B"/>
    <w:rsid w:val="00E11105"/>
    <w:rsid w:val="00E16939"/>
    <w:rsid w:val="00E1766A"/>
    <w:rsid w:val="00E267E6"/>
    <w:rsid w:val="00E34501"/>
    <w:rsid w:val="00E35B8F"/>
    <w:rsid w:val="00E40078"/>
    <w:rsid w:val="00E4461B"/>
    <w:rsid w:val="00E4520C"/>
    <w:rsid w:val="00E563A1"/>
    <w:rsid w:val="00E627F9"/>
    <w:rsid w:val="00E62B01"/>
    <w:rsid w:val="00E64B67"/>
    <w:rsid w:val="00E66296"/>
    <w:rsid w:val="00E669CD"/>
    <w:rsid w:val="00E70A2C"/>
    <w:rsid w:val="00E813BB"/>
    <w:rsid w:val="00E81A92"/>
    <w:rsid w:val="00E83A1D"/>
    <w:rsid w:val="00E847A7"/>
    <w:rsid w:val="00E85FF2"/>
    <w:rsid w:val="00E86CBA"/>
    <w:rsid w:val="00E90E39"/>
    <w:rsid w:val="00E93C25"/>
    <w:rsid w:val="00E956B0"/>
    <w:rsid w:val="00EA5D8D"/>
    <w:rsid w:val="00EA7A45"/>
    <w:rsid w:val="00EB1557"/>
    <w:rsid w:val="00EC2A56"/>
    <w:rsid w:val="00ED3522"/>
    <w:rsid w:val="00EE570F"/>
    <w:rsid w:val="00EE5F89"/>
    <w:rsid w:val="00EF1B2D"/>
    <w:rsid w:val="00F0196A"/>
    <w:rsid w:val="00F07B2D"/>
    <w:rsid w:val="00F172EE"/>
    <w:rsid w:val="00F22FC2"/>
    <w:rsid w:val="00F248B6"/>
    <w:rsid w:val="00F31637"/>
    <w:rsid w:val="00F33B9F"/>
    <w:rsid w:val="00F34076"/>
    <w:rsid w:val="00F41932"/>
    <w:rsid w:val="00F44C22"/>
    <w:rsid w:val="00F4789A"/>
    <w:rsid w:val="00F51C00"/>
    <w:rsid w:val="00F51FDE"/>
    <w:rsid w:val="00F53AC9"/>
    <w:rsid w:val="00F57590"/>
    <w:rsid w:val="00F61364"/>
    <w:rsid w:val="00F614C4"/>
    <w:rsid w:val="00F61E2F"/>
    <w:rsid w:val="00F7256C"/>
    <w:rsid w:val="00F75A59"/>
    <w:rsid w:val="00F7650A"/>
    <w:rsid w:val="00F804E0"/>
    <w:rsid w:val="00F90901"/>
    <w:rsid w:val="00F95DDF"/>
    <w:rsid w:val="00F96108"/>
    <w:rsid w:val="00FA04A1"/>
    <w:rsid w:val="00FA70A7"/>
    <w:rsid w:val="00FB5337"/>
    <w:rsid w:val="00FB7AEB"/>
    <w:rsid w:val="00FC2874"/>
    <w:rsid w:val="00FC2E34"/>
    <w:rsid w:val="00FD06DF"/>
    <w:rsid w:val="00FD0B4D"/>
    <w:rsid w:val="00FE2E19"/>
    <w:rsid w:val="00FE316C"/>
    <w:rsid w:val="00FF44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8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qFormat/>
    <w:rsid w:val="00F34076"/>
    <w:pPr>
      <w:keepNext/>
      <w:spacing w:before="600" w:after="720" w:line="460" w:lineRule="exact"/>
      <w:ind w:left="1021"/>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1315"/>
    <w:pPr>
      <w:jc w:val="right"/>
    </w:pPr>
  </w:style>
  <w:style w:type="character" w:customStyle="1" w:styleId="HeaderChar">
    <w:name w:val="Header Char"/>
    <w:basedOn w:val="DefaultParagraphFont"/>
    <w:link w:val="Header"/>
    <w:rsid w:val="003B1315"/>
    <w:rPr>
      <w:rFonts w:ascii="Calibri Light" w:eastAsia="Times New Roman" w:hAnsi="Calibri Light"/>
      <w:sz w:val="22"/>
      <w:lang w:eastAsia="en-AU"/>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152525"/>
    <w:pPr>
      <w:spacing w:before="2040" w:after="240"/>
      <w:outlineLvl w:val="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F34076"/>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F34076"/>
    <w:pPr>
      <w:numPr>
        <w:numId w:val="7"/>
      </w:numPr>
      <w:tabs>
        <w:tab w:val="clear" w:pos="520"/>
      </w:tabs>
      <w:spacing w:before="0"/>
      <w:ind w:left="284" w:hanging="284"/>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F34076"/>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8F0B15"/>
    <w:rPr>
      <w:vertAlign w:val="superscript"/>
    </w:rPr>
  </w:style>
  <w:style w:type="paragraph" w:styleId="FootnoteText">
    <w:name w:val="footnote text"/>
    <w:basedOn w:val="Normal"/>
    <w:link w:val="FootnoteTextChar"/>
    <w:uiPriority w:val="99"/>
    <w:rsid w:val="00990137"/>
    <w:pPr>
      <w:spacing w:after="0"/>
    </w:pPr>
    <w:rPr>
      <w:sz w:val="20"/>
    </w:rPr>
  </w:style>
  <w:style w:type="character" w:customStyle="1" w:styleId="FootnoteTextChar">
    <w:name w:val="Footnote Text Char"/>
    <w:basedOn w:val="DefaultParagraphFont"/>
    <w:link w:val="FootnoteText"/>
    <w:uiPriority w:val="99"/>
    <w:rsid w:val="00990137"/>
    <w:rPr>
      <w:rFonts w:ascii="Calibri Light" w:eastAsia="Times New Roman" w:hAnsi="Calibri Light"/>
      <w:lang w:eastAsia="en-AU"/>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table" w:customStyle="1" w:styleId="BlueBox">
    <w:name w:val="Blue Box"/>
    <w:basedOn w:val="TableNormal"/>
    <w:uiPriority w:val="99"/>
    <w:rsid w:val="00E813BB"/>
    <w:tblPr>
      <w:tblCellMar>
        <w:top w:w="227" w:type="dxa"/>
        <w:left w:w="227" w:type="dxa"/>
        <w:bottom w:w="227" w:type="dxa"/>
        <w:right w:w="227" w:type="dxa"/>
      </w:tblCellMar>
    </w:tblPr>
    <w:tcPr>
      <w:shd w:val="clear" w:color="auto" w:fill="F2F9FC"/>
    </w:tcPr>
  </w:style>
  <w:style w:type="paragraph" w:customStyle="1" w:styleId="ChartandTableFootnoteAlpha">
    <w:name w:val="Chart and Table Footnote Alpha"/>
    <w:rsid w:val="00F34076"/>
    <w:pPr>
      <w:numPr>
        <w:numId w:val="13"/>
      </w:numPr>
      <w:tabs>
        <w:tab w:val="num" w:pos="284"/>
      </w:tabs>
      <w:ind w:left="284" w:hanging="284"/>
      <w:jc w:val="both"/>
    </w:pPr>
    <w:rPr>
      <w:rFonts w:eastAsia="Times New Roman"/>
      <w:color w:val="000000"/>
      <w:sz w:val="18"/>
      <w:szCs w:val="16"/>
      <w:lang w:eastAsia="en-AU"/>
    </w:rPr>
  </w:style>
  <w:style w:type="paragraph" w:customStyle="1" w:styleId="OutlineNumbered1">
    <w:name w:val="Outline Numbered 1"/>
    <w:basedOn w:val="Normal"/>
    <w:link w:val="OutlineNumbered1Char"/>
    <w:rsid w:val="00F34076"/>
    <w:pPr>
      <w:numPr>
        <w:numId w:val="12"/>
      </w:numPr>
      <w:ind w:left="397" w:hanging="397"/>
    </w:pPr>
  </w:style>
  <w:style w:type="paragraph" w:customStyle="1" w:styleId="OutlineNumbered2">
    <w:name w:val="Outline Numbered 2"/>
    <w:basedOn w:val="Normal"/>
    <w:link w:val="OutlineNumbered2Char"/>
    <w:rsid w:val="00F34076"/>
    <w:pPr>
      <w:numPr>
        <w:numId w:val="15"/>
      </w:numPr>
      <w:spacing w:before="0"/>
      <w:ind w:left="754" w:hanging="357"/>
    </w:pPr>
  </w:style>
  <w:style w:type="paragraph" w:customStyle="1" w:styleId="OutlineNumbered3">
    <w:name w:val="Outline Numbered 3"/>
    <w:basedOn w:val="Normal"/>
    <w:rsid w:val="00F34076"/>
    <w:pPr>
      <w:numPr>
        <w:ilvl w:val="2"/>
        <w:numId w:val="12"/>
      </w:numPr>
      <w:spacing w:before="0"/>
    </w:pPr>
  </w:style>
  <w:style w:type="paragraph" w:customStyle="1" w:styleId="SingleParagraph">
    <w:name w:val="Single Paragraph"/>
    <w:basedOn w:val="Normal"/>
    <w:next w:val="Normal"/>
    <w:link w:val="SingleParagraphChar"/>
    <w:rsid w:val="00F34076"/>
    <w:pPr>
      <w:spacing w:before="0" w:after="0"/>
    </w:pPr>
  </w:style>
  <w:style w:type="numbering" w:customStyle="1" w:styleId="OutlineList">
    <w:name w:val="OutlineList"/>
    <w:uiPriority w:val="99"/>
    <w:rsid w:val="00F34076"/>
    <w:pPr>
      <w:numPr>
        <w:numId w:val="11"/>
      </w:numPr>
    </w:pPr>
  </w:style>
  <w:style w:type="numbering" w:customStyle="1" w:styleId="ChartandTableFootnoteAlphaList">
    <w:name w:val="ChartandTableFootnoteAlphaList"/>
    <w:uiPriority w:val="99"/>
    <w:rsid w:val="00F34076"/>
    <w:pPr>
      <w:numPr>
        <w:numId w:val="14"/>
      </w:numPr>
    </w:pPr>
  </w:style>
  <w:style w:type="character" w:customStyle="1" w:styleId="SingleParagraphChar">
    <w:name w:val="Single Paragraph Char"/>
    <w:basedOn w:val="DefaultParagraphFont"/>
    <w:link w:val="SingleParagraph"/>
    <w:rsid w:val="00F34076"/>
    <w:rPr>
      <w:rFonts w:ascii="Calibri Light" w:eastAsia="Times New Roman" w:hAnsi="Calibri Light"/>
      <w:sz w:val="22"/>
      <w:lang w:eastAsia="en-AU"/>
    </w:rPr>
  </w:style>
  <w:style w:type="character" w:styleId="Strong">
    <w:name w:val="Strong"/>
    <w:basedOn w:val="DefaultParagraphFont"/>
    <w:qFormat/>
    <w:rsid w:val="00F34076"/>
    <w:rPr>
      <w:b/>
      <w:bCs/>
    </w:rPr>
  </w:style>
  <w:style w:type="character" w:customStyle="1" w:styleId="OutlineNumbered1Char">
    <w:name w:val="Outline Numbered 1 Char"/>
    <w:basedOn w:val="DashChar"/>
    <w:link w:val="OutlineNumbered1"/>
    <w:rsid w:val="00F34076"/>
    <w:rPr>
      <w:rFonts w:ascii="Calibri Light" w:eastAsia="Times New Roman" w:hAnsi="Calibri Light"/>
      <w:sz w:val="22"/>
      <w:lang w:eastAsia="en-AU"/>
    </w:rPr>
  </w:style>
  <w:style w:type="character" w:customStyle="1" w:styleId="OutlineNumbered2Char">
    <w:name w:val="Outline Numbered 2 Char"/>
    <w:basedOn w:val="DashChar"/>
    <w:link w:val="OutlineNumbered2"/>
    <w:rsid w:val="00F34076"/>
    <w:rPr>
      <w:rFonts w:ascii="Calibri Light" w:eastAsia="Times New Roman" w:hAnsi="Calibri Light"/>
      <w:sz w:val="22"/>
      <w:lang w:eastAsia="en-AU"/>
    </w:rPr>
  </w:style>
  <w:style w:type="character" w:styleId="CommentReference">
    <w:name w:val="annotation reference"/>
    <w:basedOn w:val="DefaultParagraphFont"/>
    <w:semiHidden/>
    <w:unhideWhenUsed/>
    <w:rsid w:val="0064017C"/>
    <w:rPr>
      <w:sz w:val="16"/>
      <w:szCs w:val="16"/>
    </w:rPr>
  </w:style>
  <w:style w:type="paragraph" w:styleId="CommentText">
    <w:name w:val="annotation text"/>
    <w:basedOn w:val="Normal"/>
    <w:link w:val="CommentTextChar"/>
    <w:unhideWhenUsed/>
    <w:rsid w:val="0064017C"/>
    <w:rPr>
      <w:sz w:val="20"/>
    </w:rPr>
  </w:style>
  <w:style w:type="character" w:customStyle="1" w:styleId="CommentTextChar">
    <w:name w:val="Comment Text Char"/>
    <w:basedOn w:val="DefaultParagraphFont"/>
    <w:link w:val="CommentText"/>
    <w:rsid w:val="0064017C"/>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64017C"/>
    <w:rPr>
      <w:b/>
      <w:bCs/>
    </w:rPr>
  </w:style>
  <w:style w:type="character" w:customStyle="1" w:styleId="CommentSubjectChar">
    <w:name w:val="Comment Subject Char"/>
    <w:basedOn w:val="CommentTextChar"/>
    <w:link w:val="CommentSubject"/>
    <w:semiHidden/>
    <w:rsid w:val="0064017C"/>
    <w:rPr>
      <w:rFonts w:ascii="Calibri Light" w:eastAsia="Times New Roman" w:hAnsi="Calibri Light"/>
      <w:b/>
      <w:bCs/>
      <w:lang w:eastAsia="en-AU"/>
    </w:rPr>
  </w:style>
  <w:style w:type="paragraph" w:customStyle="1" w:styleId="Introspacing">
    <w:name w:val="Intro spacing"/>
    <w:basedOn w:val="Normal"/>
    <w:qFormat/>
    <w:rsid w:val="00152525"/>
    <w:pPr>
      <w:spacing w:before="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best practice principles for superannuation retirement income solutions</dc:title>
  <dc:subject/>
  <dc:creator>Australian Government</dc:creator>
  <cp:keywords/>
  <dc:description/>
  <cp:lastModifiedBy/>
  <cp:revision>1</cp:revision>
  <dcterms:created xsi:type="dcterms:W3CDTF">2026-02-20T05:38:00Z</dcterms:created>
  <dcterms:modified xsi:type="dcterms:W3CDTF">2026-02-20T05:38:00Z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2026-02-20T05:38:37Z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b91d0c85-ef94-4e5a-99be-c55e1c150fe2</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